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429260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446405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159385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-92710</wp:posOffset>
            </wp:positionV>
            <wp:extent cx="77470" cy="7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1"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-92710</wp:posOffset>
            </wp:positionV>
            <wp:extent cx="77470" cy="7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82" w:lineRule="exact"/>
        <w:rPr>
          <w:sz w:val="24"/>
          <w:szCs w:val="24"/>
          <w:color w:val="auto"/>
        </w:rPr>
      </w:pPr>
    </w:p>
    <w:tbl>
      <w:tblPr>
        <w:tblLayout w:type="fixed"/>
        <w:tblInd w:w="3140" w:type="dxa"/>
        <w:tblCellMar>
          <w:top w:w="0" w:type="dxa"/>
          <w:left w:w="0" w:type="dxa"/>
          <w:bottom w:w="0" w:type="dxa"/>
          <w:right w:w="0" w:type="dxa"/>
        </w:tblCellMar>
      </w:tblPr>
      <w:tr>
        <w:trPr>
          <w:trHeight w:val="184"/>
        </w:trPr>
        <w:tc>
          <w:tcPr>
            <w:tcW w:w="306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89"/>
              </w:rPr>
              <w:t>TO</w:t>
            </w:r>
          </w:p>
        </w:tc>
      </w:tr>
      <w:tr>
        <w:trPr>
          <w:trHeight w:val="296"/>
        </w:trPr>
        <w:tc>
          <w:tcPr>
            <w:tcW w:w="4120" w:type="dxa"/>
            <w:vAlign w:val="bottom"/>
            <w:gridSpan w:val="3"/>
          </w:tcPr>
          <w:p>
            <w:pPr>
              <w:ind w:left="980"/>
              <w:spacing w:after="0"/>
              <w:rPr>
                <w:sz w:val="20"/>
                <w:szCs w:val="20"/>
                <w:color w:val="auto"/>
              </w:rPr>
            </w:pPr>
            <w:r>
              <w:rPr>
                <w:rFonts w:ascii="Arial" w:cs="Arial" w:eastAsia="Arial" w:hAnsi="Arial"/>
                <w:sz w:val="16"/>
                <w:szCs w:val="16"/>
                <w:b w:val="1"/>
                <w:bCs w:val="1"/>
                <w:color w:val="auto"/>
              </w:rPr>
              <w:t>COMMISSION FILE NUMBER 001-36680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148590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-200025</wp:posOffset>
            </wp:positionV>
            <wp:extent cx="510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476"/>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5"/>
          </w:tcPr>
          <w:p>
            <w:pPr>
              <w:jc w:val="center"/>
              <w:ind w:right="500"/>
              <w:spacing w:after="0"/>
              <w:rPr>
                <w:sz w:val="20"/>
                <w:szCs w:val="20"/>
                <w:color w:val="auto"/>
              </w:rPr>
            </w:pPr>
            <w:r>
              <w:rPr>
                <w:rFonts w:ascii="Arial" w:cs="Arial" w:eastAsia="Arial" w:hAnsi="Arial"/>
                <w:sz w:val="39"/>
                <w:szCs w:val="39"/>
                <w:b w:val="1"/>
                <w:bCs w:val="1"/>
                <w:color w:val="auto"/>
                <w:w w:val="93"/>
              </w:rPr>
              <w:t>HubSpot,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jc w:val="center"/>
              <w:ind w:left="1380"/>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vMerge w:val="restart"/>
          </w:tcPr>
          <w:p>
            <w:pPr>
              <w:jc w:val="center"/>
              <w:ind w:right="1860"/>
              <w:spacing w:after="0"/>
              <w:rPr>
                <w:sz w:val="20"/>
                <w:szCs w:val="20"/>
                <w:color w:val="auto"/>
              </w:rPr>
            </w:pPr>
            <w:r>
              <w:rPr>
                <w:rFonts w:ascii="Arial" w:cs="Arial" w:eastAsia="Arial" w:hAnsi="Arial"/>
                <w:sz w:val="16"/>
                <w:szCs w:val="16"/>
                <w:b w:val="1"/>
                <w:bCs w:val="1"/>
                <w:color w:val="auto"/>
                <w:w w:val="91"/>
              </w:rPr>
              <w:t>20-2632791</w:t>
            </w:r>
          </w:p>
        </w:tc>
        <w:tc>
          <w:tcPr>
            <w:tcW w:w="0" w:type="dxa"/>
            <w:vAlign w:val="bottom"/>
          </w:tcPr>
          <w:p>
            <w:pPr>
              <w:spacing w:after="0"/>
              <w:rPr>
                <w:sz w:val="1"/>
                <w:szCs w:val="1"/>
                <w:color w:val="auto"/>
              </w:rPr>
            </w:pPr>
          </w:p>
        </w:tc>
      </w:tr>
      <w:tr>
        <w:trPr>
          <w:trHeight w:val="382"/>
        </w:trPr>
        <w:tc>
          <w:tcPr>
            <w:tcW w:w="4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jc w:val="center"/>
              <w:ind w:left="1380"/>
              <w:spacing w:after="0"/>
              <w:rPr>
                <w:sz w:val="20"/>
                <w:szCs w:val="20"/>
                <w:color w:val="auto"/>
              </w:rPr>
            </w:pPr>
            <w:r>
              <w:rPr>
                <w:rFonts w:ascii="Arial" w:cs="Arial" w:eastAsia="Arial" w:hAnsi="Arial"/>
                <w:sz w:val="16"/>
                <w:szCs w:val="16"/>
                <w:b w:val="1"/>
                <w:bCs w:val="1"/>
                <w:color w:val="auto"/>
                <w:w w:val="91"/>
              </w:rPr>
              <w:t>(State or other jurisdiction of</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tcPr>
          <w:p>
            <w:pPr>
              <w:jc w:val="center"/>
              <w:ind w:right="1840"/>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1"/>
              </w:rPr>
              <w:t>incorporation or organization)</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jc w:val="center"/>
              <w:ind w:right="1860"/>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73"/>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91"/>
              </w:rPr>
              <w:t>25 First Street</w:t>
            </w:r>
          </w:p>
        </w:tc>
        <w:tc>
          <w:tcPr>
            <w:tcW w:w="4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2"/>
              </w:rPr>
              <w:t>Cambridge</w:t>
            </w:r>
            <w:r>
              <w:rPr>
                <w:rFonts w:ascii="Arial" w:cs="Arial" w:eastAsia="Arial" w:hAnsi="Arial"/>
                <w:sz w:val="17"/>
                <w:szCs w:val="17"/>
                <w:color w:val="auto"/>
                <w:w w:val="92"/>
              </w:rPr>
              <w:t>, Massachusetts</w:t>
            </w:r>
          </w:p>
        </w:tc>
        <w:tc>
          <w:tcPr>
            <w:tcW w:w="2700" w:type="dxa"/>
            <w:vAlign w:val="bottom"/>
            <w:gridSpan w:val="2"/>
          </w:tcPr>
          <w:p>
            <w:pPr>
              <w:jc w:val="right"/>
              <w:ind w:right="1920"/>
              <w:spacing w:after="0"/>
              <w:rPr>
                <w:sz w:val="20"/>
                <w:szCs w:val="20"/>
                <w:color w:val="auto"/>
              </w:rPr>
            </w:pPr>
            <w:r>
              <w:rPr>
                <w:rFonts w:ascii="Arial" w:cs="Arial" w:eastAsia="Arial" w:hAnsi="Arial"/>
                <w:sz w:val="16"/>
                <w:szCs w:val="16"/>
                <w:b w:val="1"/>
                <w:bCs w:val="1"/>
                <w:color w:val="auto"/>
              </w:rPr>
              <w:t>02141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40" w:type="dxa"/>
            <w:vAlign w:val="bottom"/>
          </w:tcPr>
          <w:p>
            <w:pPr>
              <w:spacing w:after="0"/>
              <w:rPr>
                <w:sz w:val="18"/>
                <w:szCs w:val="18"/>
                <w:color w:val="auto"/>
              </w:rPr>
            </w:pPr>
          </w:p>
        </w:tc>
        <w:tc>
          <w:tcPr>
            <w:tcW w:w="3180" w:type="dxa"/>
            <w:vAlign w:val="bottom"/>
            <w:gridSpan w:val="4"/>
          </w:tcPr>
          <w:p>
            <w:pPr>
              <w:ind w:left="600"/>
              <w:spacing w:after="0"/>
              <w:rPr>
                <w:sz w:val="20"/>
                <w:szCs w:val="20"/>
                <w:color w:val="auto"/>
              </w:rPr>
            </w:pPr>
            <w:r>
              <w:rPr>
                <w:rFonts w:ascii="Arial" w:cs="Arial" w:eastAsia="Arial" w:hAnsi="Arial"/>
                <w:sz w:val="16"/>
                <w:szCs w:val="16"/>
                <w:b w:val="1"/>
                <w:bCs w:val="1"/>
                <w:color w:val="auto"/>
              </w:rPr>
              <w:t>(Zip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2"/>
          </w:tcPr>
          <w:p>
            <w:pPr>
              <w:jc w:val="center"/>
              <w:ind w:left="301"/>
              <w:spacing w:after="0"/>
              <w:rPr>
                <w:sz w:val="20"/>
                <w:szCs w:val="20"/>
                <w:color w:val="auto"/>
              </w:rPr>
            </w:pPr>
            <w:r>
              <w:rPr>
                <w:rFonts w:ascii="Arial" w:cs="Arial" w:eastAsia="Arial" w:hAnsi="Arial"/>
                <w:sz w:val="16"/>
                <w:szCs w:val="16"/>
                <w:b w:val="1"/>
                <w:bCs w:val="1"/>
                <w:color w:val="auto"/>
                <w:w w:val="91"/>
              </w:rPr>
              <w:t>(888) 482-7768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680" w:type="dxa"/>
            <w:vAlign w:val="bottom"/>
            <w:gridSpan w:val="7"/>
          </w:tcPr>
          <w:p>
            <w:pPr>
              <w:jc w:val="center"/>
              <w:ind w:left="3500"/>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9"/>
        </w:trPr>
        <w:tc>
          <w:tcPr>
            <w:tcW w:w="4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Title of each class</w:t>
            </w:r>
          </w:p>
        </w:tc>
        <w:tc>
          <w:tcPr>
            <w:tcW w:w="44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tcPr>
          <w:p>
            <w:pPr>
              <w:jc w:val="center"/>
              <w:ind w:right="28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0760" w:type="dxa"/>
            <w:vAlign w:val="bottom"/>
            <w:gridSpan w:val="4"/>
          </w:tcPr>
          <w:p>
            <w:pPr>
              <w:spacing w:after="0" w:line="173" w:lineRule="exact"/>
              <w:rPr>
                <w:sz w:val="20"/>
                <w:szCs w:val="20"/>
                <w:color w:val="auto"/>
              </w:rPr>
            </w:pPr>
            <w:r>
              <w:rPr>
                <w:rFonts w:ascii="Arial" w:cs="Arial" w:eastAsia="Arial" w:hAnsi="Arial"/>
                <w:sz w:val="15"/>
                <w:szCs w:val="15"/>
                <w:color w:val="auto"/>
                <w:w w:val="93"/>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3"/>
              </w:rPr>
              <w:t>☒</w:t>
            </w:r>
            <w:r>
              <w:rPr>
                <w:rFonts w:ascii="Arial" w:cs="Arial" w:eastAsia="Arial" w:hAnsi="Arial"/>
                <w:sz w:val="15"/>
                <w:szCs w:val="15"/>
                <w:color w:val="auto"/>
                <w:w w:val="93"/>
              </w:rPr>
              <w:t xml:space="preserve"> NO</w:t>
            </w:r>
          </w:p>
        </w:tc>
        <w:tc>
          <w:tcPr>
            <w:tcW w:w="48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r>
      <w:tr>
        <w:trPr>
          <w:trHeight w:val="147"/>
        </w:trPr>
        <w:tc>
          <w:tcPr>
            <w:tcW w:w="10760" w:type="dxa"/>
            <w:vAlign w:val="bottom"/>
            <w:gridSpan w:val="4"/>
          </w:tcPr>
          <w:p>
            <w:pPr>
              <w:ind w:left="520"/>
              <w:spacing w:after="0" w:line="147" w:lineRule="exact"/>
              <w:rPr>
                <w:sz w:val="20"/>
                <w:szCs w:val="20"/>
                <w:color w:val="auto"/>
              </w:rPr>
            </w:pPr>
            <w:r>
              <w:rPr>
                <w:rFonts w:ascii="Arial" w:cs="Arial" w:eastAsia="Arial" w:hAnsi="Arial"/>
                <w:sz w:val="15"/>
                <w:szCs w:val="15"/>
                <w:color w:val="auto"/>
                <w:w w:val="93"/>
              </w:rPr>
              <w:t>Indicate by check mark whether the registrant has submitted electronically every Interactive Data file required to be submitted pursuant to Rule 405 of Regulation S-T</w:t>
            </w:r>
          </w:p>
        </w:tc>
        <w:tc>
          <w:tcPr>
            <w:tcW w:w="480" w:type="dxa"/>
            <w:vAlign w:val="bottom"/>
          </w:tcPr>
          <w:p>
            <w:pPr>
              <w:spacing w:after="0"/>
              <w:rPr>
                <w:sz w:val="12"/>
                <w:szCs w:val="12"/>
                <w:color w:val="auto"/>
              </w:rPr>
            </w:pPr>
          </w:p>
        </w:tc>
      </w:tr>
      <w:tr>
        <w:trPr>
          <w:trHeight w:val="201"/>
        </w:trPr>
        <w:tc>
          <w:tcPr>
            <w:tcW w:w="8460" w:type="dxa"/>
            <w:vAlign w:val="bottom"/>
            <w:gridSpan w:val="3"/>
          </w:tcPr>
          <w:p>
            <w:pPr>
              <w:spacing w:after="0"/>
              <w:rPr>
                <w:sz w:val="20"/>
                <w:szCs w:val="20"/>
                <w:color w:val="auto"/>
              </w:rPr>
            </w:pPr>
            <w:r>
              <w:rPr>
                <w:rFonts w:ascii="Arial" w:cs="Arial" w:eastAsia="Arial" w:hAnsi="Arial"/>
                <w:sz w:val="15"/>
                <w:szCs w:val="15"/>
                <w:color w:val="auto"/>
                <w:w w:val="92"/>
              </w:rPr>
              <w:t>(§232.405 of this chapter) during the preceding 12 months (or for such shorter period that the registrant was required to submit such files).</w:t>
            </w:r>
          </w:p>
        </w:tc>
        <w:tc>
          <w:tcPr>
            <w:tcW w:w="2300" w:type="dxa"/>
            <w:vAlign w:val="bottom"/>
          </w:tcPr>
          <w:p>
            <w:pPr>
              <w:ind w:left="100"/>
              <w:spacing w:after="0" w:line="173" w:lineRule="exact"/>
              <w:rPr>
                <w:sz w:val="20"/>
                <w:szCs w:val="20"/>
                <w:color w:val="auto"/>
              </w:rPr>
            </w:pPr>
            <w:r>
              <w:rPr>
                <w:rFonts w:ascii="Arial" w:cs="Arial" w:eastAsia="Arial" w:hAnsi="Arial"/>
                <w:sz w:val="15"/>
                <w:szCs w:val="15"/>
                <w:color w:val="auto"/>
              </w:rPr>
              <w:t>YES</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tc>
        <w:tc>
          <w:tcPr>
            <w:tcW w:w="480" w:type="dxa"/>
            <w:vAlign w:val="bottom"/>
          </w:tcPr>
          <w:p>
            <w:pPr>
              <w:spacing w:after="0"/>
              <w:rPr>
                <w:sz w:val="17"/>
                <w:szCs w:val="17"/>
                <w:color w:val="auto"/>
              </w:rPr>
            </w:pPr>
          </w:p>
        </w:tc>
      </w:tr>
      <w:tr>
        <w:trPr>
          <w:trHeight w:val="161"/>
        </w:trPr>
        <w:tc>
          <w:tcPr>
            <w:tcW w:w="10760" w:type="dxa"/>
            <w:vAlign w:val="bottom"/>
            <w:gridSpan w:val="4"/>
          </w:tcPr>
          <w:p>
            <w:pPr>
              <w:ind w:left="520"/>
              <w:spacing w:after="0" w:line="161" w:lineRule="exact"/>
              <w:rPr>
                <w:sz w:val="20"/>
                <w:szCs w:val="20"/>
                <w:color w:val="auto"/>
              </w:rPr>
            </w:pPr>
            <w:r>
              <w:rPr>
                <w:rFonts w:ascii="Arial" w:cs="Arial" w:eastAsia="Arial" w:hAnsi="Arial"/>
                <w:sz w:val="15"/>
                <w:szCs w:val="15"/>
                <w:color w:val="auto"/>
                <w:w w:val="91"/>
              </w:rPr>
              <w:t>Indicate by check mark whether the registrant is a large accelerated filer, an accelerated filer, a non-accelerated filer, smaller reporting company, or an emerging growth</w:t>
            </w:r>
          </w:p>
        </w:tc>
        <w:tc>
          <w:tcPr>
            <w:tcW w:w="480" w:type="dxa"/>
            <w:vAlign w:val="bottom"/>
          </w:tcPr>
          <w:p>
            <w:pPr>
              <w:spacing w:after="0"/>
              <w:rPr>
                <w:sz w:val="13"/>
                <w:szCs w:val="13"/>
                <w:color w:val="auto"/>
              </w:rPr>
            </w:pPr>
          </w:p>
        </w:tc>
      </w:tr>
      <w:tr>
        <w:trPr>
          <w:trHeight w:val="191"/>
        </w:trPr>
        <w:tc>
          <w:tcPr>
            <w:tcW w:w="10760" w:type="dxa"/>
            <w:vAlign w:val="bottom"/>
            <w:gridSpan w:val="4"/>
          </w:tcPr>
          <w:p>
            <w:pPr>
              <w:spacing w:after="0"/>
              <w:rPr>
                <w:sz w:val="20"/>
                <w:szCs w:val="20"/>
                <w:color w:val="auto"/>
              </w:rPr>
            </w:pPr>
            <w:r>
              <w:rPr>
                <w:rFonts w:ascii="Arial" w:cs="Arial" w:eastAsia="Arial" w:hAnsi="Arial"/>
                <w:sz w:val="15"/>
                <w:szCs w:val="15"/>
                <w:color w:val="auto"/>
                <w:w w:val="93"/>
              </w:rPr>
              <w:t>company. See the definitions of “large accelerated filer,” “accelerated filer,” “smaller reporting company,” and “emerging growth company” in Rule 12b-2 of the Exchange Act.</w:t>
            </w:r>
          </w:p>
        </w:tc>
        <w:tc>
          <w:tcPr>
            <w:tcW w:w="480" w:type="dxa"/>
            <w:vAlign w:val="bottom"/>
          </w:tcPr>
          <w:p>
            <w:pPr>
              <w:spacing w:after="0"/>
              <w:rPr>
                <w:sz w:val="16"/>
                <w:szCs w:val="16"/>
                <w:color w:val="auto"/>
              </w:rPr>
            </w:pPr>
          </w:p>
        </w:tc>
      </w:tr>
      <w:tr>
        <w:trPr>
          <w:trHeight w:val="305"/>
        </w:trPr>
        <w:tc>
          <w:tcPr>
            <w:tcW w:w="24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3280" w:type="dxa"/>
            <w:vAlign w:val="bottom"/>
            <w:gridSpan w:val="2"/>
          </w:tcPr>
          <w:p>
            <w:pPr>
              <w:ind w:left="4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r>
      <w:tr>
        <w:trPr>
          <w:trHeight w:val="188"/>
        </w:trPr>
        <w:tc>
          <w:tcPr>
            <w:tcW w:w="2420" w:type="dxa"/>
            <w:vAlign w:val="bottom"/>
          </w:tcPr>
          <w:p>
            <w:pPr>
              <w:spacing w:after="0"/>
              <w:rPr>
                <w:sz w:val="20"/>
                <w:szCs w:val="20"/>
                <w:color w:val="auto"/>
              </w:rPr>
            </w:pPr>
            <w:r>
              <w:rPr>
                <w:rFonts w:ascii="Arial" w:cs="Arial" w:eastAsia="Arial" w:hAnsi="Arial"/>
                <w:sz w:val="15"/>
                <w:szCs w:val="15"/>
                <w:color w:val="auto"/>
              </w:rPr>
              <w:t>Non-accelerated filer</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3280" w:type="dxa"/>
            <w:vAlign w:val="bottom"/>
            <w:gridSpan w:val="2"/>
          </w:tcPr>
          <w:p>
            <w:pPr>
              <w:ind w:left="4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r>
      <w:tr>
        <w:trPr>
          <w:trHeight w:val="239"/>
        </w:trPr>
        <w:tc>
          <w:tcPr>
            <w:tcW w:w="24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11240" w:type="dxa"/>
            <w:vAlign w:val="bottom"/>
            <w:gridSpan w:val="5"/>
          </w:tcPr>
          <w:p>
            <w:pPr>
              <w:ind w:left="520"/>
              <w:spacing w:after="0"/>
              <w:rPr>
                <w:sz w:val="20"/>
                <w:szCs w:val="20"/>
                <w:color w:val="auto"/>
              </w:rPr>
            </w:pPr>
            <w:r>
              <w:rPr>
                <w:rFonts w:ascii="Arial" w:cs="Arial" w:eastAsia="Arial" w:hAnsi="Arial"/>
                <w:sz w:val="15"/>
                <w:szCs w:val="15"/>
                <w:color w:val="auto"/>
                <w:w w:val="93"/>
              </w:rPr>
              <w:t>If an emerging growth company, indicate by check mark if the registrant has elected not to use the extended transition period for complying with any new or revised financial</w:t>
            </w:r>
          </w:p>
        </w:tc>
      </w:tr>
      <w:tr>
        <w:trPr>
          <w:trHeight w:val="239"/>
        </w:trPr>
        <w:tc>
          <w:tcPr>
            <w:tcW w:w="7480" w:type="dxa"/>
            <w:vAlign w:val="bottom"/>
            <w:gridSpan w:val="2"/>
          </w:tcPr>
          <w:p>
            <w:pPr>
              <w:spacing w:after="0" w:line="173" w:lineRule="exact"/>
              <w:rPr>
                <w:sz w:val="20"/>
                <w:szCs w:val="20"/>
                <w:color w:val="auto"/>
              </w:rPr>
            </w:pPr>
            <w:r>
              <w:rPr>
                <w:rFonts w:ascii="Arial" w:cs="Arial" w:eastAsia="Arial" w:hAnsi="Arial"/>
                <w:sz w:val="15"/>
                <w:szCs w:val="15"/>
                <w:color w:val="auto"/>
              </w:rPr>
              <w:t xml:space="preserve">accounting standards provided pursuant to Section 13(a)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9"/>
        </w:trPr>
        <w:tc>
          <w:tcPr>
            <w:tcW w:w="7480" w:type="dxa"/>
            <w:vAlign w:val="bottom"/>
            <w:gridSpan w:val="2"/>
          </w:tcPr>
          <w:p>
            <w:pPr>
              <w:ind w:left="520"/>
              <w:spacing w:after="0"/>
              <w:rPr>
                <w:sz w:val="20"/>
                <w:szCs w:val="20"/>
                <w:color w:val="auto"/>
              </w:rPr>
            </w:pPr>
            <w:r>
              <w:rPr>
                <w:rFonts w:ascii="Arial" w:cs="Arial" w:eastAsia="Arial" w:hAnsi="Arial"/>
                <w:sz w:val="15"/>
                <w:szCs w:val="15"/>
                <w:color w:val="auto"/>
                <w:w w:val="92"/>
              </w:rPr>
              <w:t>Indicate by check mark whether the registrant is a shell company (as defined in Rule 12b-2 of the Exchange Act).</w:t>
            </w:r>
          </w:p>
        </w:tc>
        <w:tc>
          <w:tcPr>
            <w:tcW w:w="980" w:type="dxa"/>
            <w:vAlign w:val="bottom"/>
          </w:tcPr>
          <w:p>
            <w:pPr>
              <w:ind w:left="8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23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80" w:type="dxa"/>
            <w:vAlign w:val="bottom"/>
          </w:tcPr>
          <w:p>
            <w:pPr>
              <w:spacing w:after="0"/>
              <w:rPr>
                <w:sz w:val="24"/>
                <w:szCs w:val="24"/>
                <w:color w:val="auto"/>
              </w:rPr>
            </w:pPr>
          </w:p>
        </w:tc>
      </w:tr>
      <w:tr>
        <w:trPr>
          <w:trHeight w:val="250"/>
        </w:trPr>
        <w:tc>
          <w:tcPr>
            <w:tcW w:w="7480" w:type="dxa"/>
            <w:vAlign w:val="bottom"/>
            <w:gridSpan w:val="2"/>
          </w:tcPr>
          <w:p>
            <w:pPr>
              <w:ind w:left="520"/>
              <w:spacing w:after="0"/>
              <w:rPr>
                <w:sz w:val="20"/>
                <w:szCs w:val="20"/>
                <w:color w:val="auto"/>
              </w:rPr>
            </w:pPr>
            <w:r>
              <w:rPr>
                <w:rFonts w:ascii="Arial" w:cs="Arial" w:eastAsia="Arial" w:hAnsi="Arial"/>
                <w:sz w:val="15"/>
                <w:szCs w:val="15"/>
                <w:color w:val="auto"/>
                <w:w w:val="95"/>
              </w:rPr>
              <w:t>There were 45,564,119 shares of the registrant’s Common Stock issued and outstanding as of July 31, 2020.</w:t>
            </w:r>
          </w:p>
        </w:tc>
        <w:tc>
          <w:tcPr>
            <w:tcW w:w="9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740"/>
        </w:trPr>
        <w:tc>
          <w:tcPr>
            <w:tcW w:w="24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p>
        </w:tc>
        <w:tc>
          <w:tcPr>
            <w:tcW w:w="9400" w:type="dxa"/>
            <w:vAlign w:val="bottom"/>
          </w:tcPr>
          <w:p>
            <w:pPr>
              <w:jc w:val="center"/>
              <w:ind w:left="11"/>
              <w:spacing w:after="0"/>
              <w:rPr>
                <w:sz w:val="20"/>
                <w:szCs w:val="20"/>
                <w:color w:val="auto"/>
              </w:rPr>
            </w:pPr>
            <w:r>
              <w:rPr>
                <w:rFonts w:ascii="Arial" w:cs="Arial" w:eastAsia="Arial" w:hAnsi="Arial"/>
                <w:sz w:val="18"/>
                <w:szCs w:val="18"/>
                <w:b w:val="1"/>
                <w:bCs w:val="1"/>
                <w:color w:val="auto"/>
                <w:w w:val="96"/>
              </w:rPr>
              <w:t>HUBSPOT, INC.</w:t>
            </w:r>
          </w:p>
        </w:tc>
        <w:tc>
          <w:tcPr>
            <w:tcW w:w="960" w:type="dxa"/>
            <w:vAlign w:val="bottom"/>
          </w:tcPr>
          <w:p>
            <w:pPr>
              <w:spacing w:after="0"/>
              <w:rPr>
                <w:sz w:val="20"/>
                <w:szCs w:val="20"/>
                <w:color w:val="auto"/>
              </w:rPr>
            </w:pPr>
          </w:p>
        </w:tc>
      </w:tr>
      <w:tr>
        <w:trPr>
          <w:trHeight w:val="429"/>
        </w:trPr>
        <w:tc>
          <w:tcPr>
            <w:tcW w:w="880" w:type="dxa"/>
            <w:vAlign w:val="bottom"/>
          </w:tcPr>
          <w:p>
            <w:pPr>
              <w:spacing w:after="0"/>
              <w:rPr>
                <w:sz w:val="24"/>
                <w:szCs w:val="24"/>
                <w:color w:val="auto"/>
              </w:rPr>
            </w:pPr>
          </w:p>
        </w:tc>
        <w:tc>
          <w:tcPr>
            <w:tcW w:w="9400" w:type="dxa"/>
            <w:vAlign w:val="bottom"/>
          </w:tcPr>
          <w:p>
            <w:pPr>
              <w:jc w:val="center"/>
              <w:ind w:left="11"/>
              <w:spacing w:after="0"/>
              <w:rPr>
                <w:sz w:val="20"/>
                <w:szCs w:val="20"/>
                <w:color w:val="auto"/>
              </w:rPr>
            </w:pPr>
            <w:r>
              <w:rPr>
                <w:rFonts w:ascii="Arial" w:cs="Arial" w:eastAsia="Arial" w:hAnsi="Arial"/>
                <w:sz w:val="18"/>
                <w:szCs w:val="18"/>
                <w:b w:val="1"/>
                <w:bCs w:val="1"/>
                <w:color w:val="auto"/>
                <w:w w:val="88"/>
              </w:rPr>
              <w:t>Table of Contents</w:t>
            </w:r>
          </w:p>
        </w:tc>
        <w:tc>
          <w:tcPr>
            <w:tcW w:w="960" w:type="dxa"/>
            <w:vAlign w:val="bottom"/>
          </w:tcPr>
          <w:p>
            <w:pPr>
              <w:spacing w:after="0"/>
              <w:rPr>
                <w:sz w:val="24"/>
                <w:szCs w:val="24"/>
                <w:color w:val="auto"/>
              </w:rPr>
            </w:pPr>
          </w:p>
        </w:tc>
      </w:tr>
      <w:tr>
        <w:trPr>
          <w:trHeight w:val="429"/>
        </w:trPr>
        <w:tc>
          <w:tcPr>
            <w:tcW w:w="880" w:type="dxa"/>
            <w:vAlign w:val="bottom"/>
          </w:tcPr>
          <w:p>
            <w:pPr>
              <w:spacing w:after="0"/>
              <w:rPr>
                <w:sz w:val="24"/>
                <w:szCs w:val="24"/>
                <w:color w:val="auto"/>
              </w:rPr>
            </w:pPr>
          </w:p>
        </w:tc>
        <w:tc>
          <w:tcPr>
            <w:tcW w:w="9400" w:type="dxa"/>
            <w:vAlign w:val="bottom"/>
          </w:tcPr>
          <w:p>
            <w:pPr>
              <w:jc w:val="center"/>
              <w:spacing w:after="0"/>
              <w:rPr>
                <w:rFonts w:ascii="Arial" w:cs="Arial" w:eastAsia="Arial" w:hAnsi="Arial"/>
                <w:sz w:val="18"/>
                <w:szCs w:val="18"/>
                <w:b w:val="1"/>
                <w:bCs w:val="1"/>
                <w:u w:val="single" w:color="auto"/>
                <w:color w:val="0000EE"/>
                <w:w w:val="94"/>
              </w:rPr>
            </w:pPr>
            <w:hyperlink w:anchor="page5">
              <w:r>
                <w:rPr>
                  <w:rFonts w:ascii="Arial" w:cs="Arial" w:eastAsia="Arial" w:hAnsi="Arial"/>
                  <w:sz w:val="18"/>
                  <w:szCs w:val="18"/>
                  <w:b w:val="1"/>
                  <w:bCs w:val="1"/>
                  <w:u w:val="single" w:color="auto"/>
                  <w:color w:val="0000EE"/>
                  <w:w w:val="94"/>
                </w:rPr>
                <w:t>Part I — Financial Information</w:t>
              </w:r>
            </w:hyperlink>
          </w:p>
        </w:tc>
        <w:tc>
          <w:tcPr>
            <w:tcW w:w="96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Financial Statements:</w:t>
              </w:r>
            </w:hyperlink>
          </w:p>
        </w:tc>
        <w:tc>
          <w:tcPr>
            <w:tcW w:w="960" w:type="dxa"/>
            <w:vAlign w:val="bottom"/>
          </w:tcPr>
          <w:p>
            <w:pPr>
              <w:spacing w:after="0"/>
              <w:rPr>
                <w:sz w:val="24"/>
                <w:szCs w:val="24"/>
                <w:color w:val="auto"/>
              </w:rPr>
            </w:pPr>
          </w:p>
        </w:tc>
      </w:tr>
      <w:tr>
        <w:trPr>
          <w:trHeight w:val="214"/>
        </w:trPr>
        <w:tc>
          <w:tcPr>
            <w:tcW w:w="880" w:type="dxa"/>
            <w:vAlign w:val="bottom"/>
          </w:tcPr>
          <w:p>
            <w:pPr>
              <w:spacing w:after="0"/>
              <w:rPr>
                <w:sz w:val="18"/>
                <w:szCs w:val="18"/>
                <w:color w:val="auto"/>
              </w:rPr>
            </w:pPr>
          </w:p>
        </w:tc>
        <w:tc>
          <w:tcPr>
            <w:tcW w:w="940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Balance Sheets as of June 30, 2020 and December 31, 2019</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4"/>
        </w:trPr>
        <w:tc>
          <w:tcPr>
            <w:tcW w:w="880" w:type="dxa"/>
            <w:vAlign w:val="bottom"/>
          </w:tcPr>
          <w:p>
            <w:pPr>
              <w:spacing w:after="0"/>
              <w:rPr>
                <w:sz w:val="18"/>
                <w:szCs w:val="18"/>
                <w:color w:val="auto"/>
              </w:rPr>
            </w:pPr>
          </w:p>
        </w:tc>
        <w:tc>
          <w:tcPr>
            <w:tcW w:w="940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 for the Three and Six Months Ended June 30, 2020 and 2019</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4"/>
        </w:trPr>
        <w:tc>
          <w:tcPr>
            <w:tcW w:w="880" w:type="dxa"/>
            <w:vAlign w:val="bottom"/>
          </w:tcPr>
          <w:p>
            <w:pPr>
              <w:spacing w:after="0"/>
              <w:rPr>
                <w:sz w:val="18"/>
                <w:szCs w:val="18"/>
                <w:color w:val="auto"/>
              </w:rPr>
            </w:pPr>
          </w:p>
        </w:tc>
        <w:tc>
          <w:tcPr>
            <w:tcW w:w="9400" w:type="dxa"/>
            <w:vAlign w:val="bottom"/>
          </w:tcPr>
          <w:p>
            <w:pPr>
              <w:ind w:left="100"/>
              <w:spacing w:after="0"/>
              <w:rPr>
                <w:rFonts w:ascii="Arial" w:cs="Arial" w:eastAsia="Arial" w:hAnsi="Arial"/>
                <w:sz w:val="18"/>
                <w:szCs w:val="18"/>
                <w:u w:val="single" w:color="auto"/>
                <w:color w:val="0000EE"/>
                <w:w w:val="95"/>
              </w:rPr>
            </w:pPr>
            <w:hyperlink w:anchor="page7">
              <w:r>
                <w:rPr>
                  <w:rFonts w:ascii="Arial" w:cs="Arial" w:eastAsia="Arial" w:hAnsi="Arial"/>
                  <w:sz w:val="18"/>
                  <w:szCs w:val="18"/>
                  <w:u w:val="single" w:color="auto"/>
                  <w:color w:val="0000EE"/>
                  <w:w w:val="95"/>
                </w:rPr>
                <w:t>Unaudited Consolidated Statements of Comprehensive Loss for the Three and Six Months Ended June 30, 2020 and 2019</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880" w:type="dxa"/>
            <w:vAlign w:val="bottom"/>
          </w:tcPr>
          <w:p>
            <w:pPr>
              <w:spacing w:after="0"/>
              <w:rPr>
                <w:sz w:val="18"/>
                <w:szCs w:val="18"/>
                <w:color w:val="auto"/>
              </w:rPr>
            </w:pPr>
          </w:p>
        </w:tc>
        <w:tc>
          <w:tcPr>
            <w:tcW w:w="9400" w:type="dxa"/>
            <w:vAlign w:val="bottom"/>
          </w:tcPr>
          <w:p>
            <w:pPr>
              <w:ind w:lef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Statements of Cash Flows for the Three and Six Months Ended June 30, 2020 and 2019</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880" w:type="dxa"/>
            <w:vAlign w:val="bottom"/>
          </w:tcPr>
          <w:p>
            <w:pPr>
              <w:spacing w:after="0"/>
              <w:rPr>
                <w:sz w:val="18"/>
                <w:szCs w:val="18"/>
                <w:color w:val="auto"/>
              </w:rPr>
            </w:pPr>
          </w:p>
        </w:tc>
        <w:tc>
          <w:tcPr>
            <w:tcW w:w="9400" w:type="dxa"/>
            <w:vAlign w:val="bottom"/>
          </w:tcPr>
          <w:p>
            <w:pPr>
              <w:ind w:left="1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Consolidated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tcPr>
          <w:p>
            <w:pPr>
              <w:ind w:left="1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40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7"/>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400" w:type="dxa"/>
            <w:vAlign w:val="bottom"/>
          </w:tcPr>
          <w:p>
            <w:pPr>
              <w:ind w:left="1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5"/>
        </w:trPr>
        <w:tc>
          <w:tcPr>
            <w:tcW w:w="880" w:type="dxa"/>
            <w:vAlign w:val="bottom"/>
          </w:tcPr>
          <w:p>
            <w:pPr>
              <w:spacing w:after="0"/>
              <w:rPr>
                <w:sz w:val="24"/>
                <w:szCs w:val="24"/>
                <w:color w:val="auto"/>
              </w:rPr>
            </w:pPr>
          </w:p>
        </w:tc>
        <w:tc>
          <w:tcPr>
            <w:tcW w:w="9400" w:type="dxa"/>
            <w:vAlign w:val="bottom"/>
          </w:tcPr>
          <w:p>
            <w:pPr>
              <w:jc w:val="center"/>
              <w:ind w:left="11"/>
              <w:spacing w:after="0"/>
              <w:rPr>
                <w:rFonts w:ascii="Arial" w:cs="Arial" w:eastAsia="Arial" w:hAnsi="Arial"/>
                <w:sz w:val="18"/>
                <w:szCs w:val="18"/>
                <w:b w:val="1"/>
                <w:bCs w:val="1"/>
                <w:u w:val="single" w:color="auto"/>
                <w:color w:val="0000EE"/>
                <w:w w:val="96"/>
              </w:rPr>
            </w:pPr>
            <w:hyperlink w:anchor="page36">
              <w:r>
                <w:rPr>
                  <w:rFonts w:ascii="Arial" w:cs="Arial" w:eastAsia="Arial" w:hAnsi="Arial"/>
                  <w:sz w:val="18"/>
                  <w:szCs w:val="18"/>
                  <w:b w:val="1"/>
                  <w:bCs w:val="1"/>
                  <w:u w:val="single" w:color="auto"/>
                  <w:color w:val="0000EE"/>
                  <w:w w:val="96"/>
                </w:rPr>
                <w:t>Part II — Other Information</w:t>
              </w:r>
            </w:hyperlink>
          </w:p>
        </w:tc>
        <w:tc>
          <w:tcPr>
            <w:tcW w:w="96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tcPr>
          <w:p>
            <w:pPr>
              <w:ind w:left="1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400" w:type="dxa"/>
            <w:vAlign w:val="bottom"/>
          </w:tcPr>
          <w:p>
            <w:pPr>
              <w:ind w:left="1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Unregistered Sales of Equity Securities and Use of Proceeds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40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Default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40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Mine Safety Disclosures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40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Other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400" w:type="dxa"/>
            <w:vAlign w:val="bottom"/>
          </w:tcPr>
          <w:p>
            <w:pPr>
              <w:ind w:left="10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4"/>
        </w:trPr>
        <w:tc>
          <w:tcPr>
            <w:tcW w:w="880" w:type="dxa"/>
            <w:vAlign w:val="bottom"/>
          </w:tcPr>
          <w:p>
            <w:pPr>
              <w:spacing w:after="0"/>
              <w:rPr>
                <w:rFonts w:ascii="Arial" w:cs="Arial" w:eastAsia="Arial" w:hAnsi="Arial"/>
                <w:sz w:val="18"/>
                <w:szCs w:val="18"/>
                <w:u w:val="single" w:color="auto"/>
                <w:color w:val="0000EE"/>
                <w:w w:val="99"/>
              </w:rPr>
            </w:pPr>
            <w:hyperlink w:anchor="page59">
              <w:r>
                <w:rPr>
                  <w:rFonts w:ascii="Arial" w:cs="Arial" w:eastAsia="Arial" w:hAnsi="Arial"/>
                  <w:sz w:val="18"/>
                  <w:szCs w:val="18"/>
                  <w:u w:val="single" w:color="auto"/>
                  <w:color w:val="0000EE"/>
                  <w:w w:val="99"/>
                </w:rPr>
                <w:t>Signatures</w:t>
              </w:r>
            </w:hyperlink>
          </w:p>
        </w:tc>
        <w:tc>
          <w:tcPr>
            <w:tcW w:w="9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EX-31.1</w:t>
            </w:r>
          </w:p>
        </w:tc>
        <w:tc>
          <w:tcPr>
            <w:tcW w:w="9400" w:type="dxa"/>
            <w:vAlign w:val="bottom"/>
          </w:tcPr>
          <w:p>
            <w:pPr>
              <w:ind w:left="100"/>
              <w:spacing w:after="0"/>
              <w:rPr>
                <w:sz w:val="20"/>
                <w:szCs w:val="20"/>
                <w:color w:val="auto"/>
              </w:rPr>
            </w:pPr>
            <w:r>
              <w:rPr>
                <w:rFonts w:ascii="Arial" w:cs="Arial" w:eastAsia="Arial" w:hAnsi="Arial"/>
                <w:sz w:val="18"/>
                <w:szCs w:val="18"/>
                <w:color w:val="auto"/>
              </w:rPr>
              <w:t>CERTIFICATION OF THE CEO PURSUANT TO SECTION 302</w:t>
            </w:r>
          </w:p>
        </w:tc>
        <w:tc>
          <w:tcPr>
            <w:tcW w:w="960" w:type="dxa"/>
            <w:vAlign w:val="bottom"/>
          </w:tcPr>
          <w:p>
            <w:pPr>
              <w:spacing w:after="0"/>
              <w:rPr>
                <w:sz w:val="18"/>
                <w:szCs w:val="18"/>
                <w:color w:val="auto"/>
              </w:rPr>
            </w:pP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EX-31.2</w:t>
            </w:r>
          </w:p>
        </w:tc>
        <w:tc>
          <w:tcPr>
            <w:tcW w:w="9400" w:type="dxa"/>
            <w:vAlign w:val="bottom"/>
          </w:tcPr>
          <w:p>
            <w:pPr>
              <w:ind w:left="100"/>
              <w:spacing w:after="0"/>
              <w:rPr>
                <w:sz w:val="20"/>
                <w:szCs w:val="20"/>
                <w:color w:val="auto"/>
              </w:rPr>
            </w:pPr>
            <w:r>
              <w:rPr>
                <w:rFonts w:ascii="Arial" w:cs="Arial" w:eastAsia="Arial" w:hAnsi="Arial"/>
                <w:sz w:val="18"/>
                <w:szCs w:val="18"/>
                <w:color w:val="auto"/>
              </w:rPr>
              <w:t>CERTIFICATION OF THE CFO PURSUANT TO SECTION 302</w:t>
            </w:r>
          </w:p>
        </w:tc>
        <w:tc>
          <w:tcPr>
            <w:tcW w:w="960" w:type="dxa"/>
            <w:vAlign w:val="bottom"/>
          </w:tcPr>
          <w:p>
            <w:pPr>
              <w:spacing w:after="0"/>
              <w:rPr>
                <w:sz w:val="18"/>
                <w:szCs w:val="18"/>
                <w:color w:val="auto"/>
              </w:rPr>
            </w:pPr>
          </w:p>
        </w:tc>
      </w:tr>
      <w:tr>
        <w:trPr>
          <w:trHeight w:val="227"/>
        </w:trPr>
        <w:tc>
          <w:tcPr>
            <w:tcW w:w="880" w:type="dxa"/>
            <w:vAlign w:val="bottom"/>
          </w:tcPr>
          <w:p>
            <w:pPr>
              <w:spacing w:after="0"/>
              <w:rPr>
                <w:sz w:val="20"/>
                <w:szCs w:val="20"/>
                <w:color w:val="auto"/>
              </w:rPr>
            </w:pPr>
            <w:r>
              <w:rPr>
                <w:rFonts w:ascii="Arial" w:cs="Arial" w:eastAsia="Arial" w:hAnsi="Arial"/>
                <w:sz w:val="18"/>
                <w:szCs w:val="18"/>
                <w:color w:val="auto"/>
              </w:rPr>
              <w:t>EX-32.1</w:t>
            </w:r>
          </w:p>
        </w:tc>
        <w:tc>
          <w:tcPr>
            <w:tcW w:w="9400" w:type="dxa"/>
            <w:vAlign w:val="bottom"/>
          </w:tcPr>
          <w:p>
            <w:pPr>
              <w:ind w:left="100"/>
              <w:spacing w:after="0"/>
              <w:rPr>
                <w:sz w:val="20"/>
                <w:szCs w:val="20"/>
                <w:color w:val="auto"/>
              </w:rPr>
            </w:pPr>
            <w:r>
              <w:rPr>
                <w:rFonts w:ascii="Arial" w:cs="Arial" w:eastAsia="Arial" w:hAnsi="Arial"/>
                <w:sz w:val="18"/>
                <w:szCs w:val="18"/>
                <w:color w:val="auto"/>
              </w:rPr>
              <w:t>CERTIFICATION OF THE CEO AND CFO PURSUANT TO SECTION 906</w:t>
            </w:r>
          </w:p>
        </w:tc>
        <w:tc>
          <w:tcPr>
            <w:tcW w:w="960" w:type="dxa"/>
            <w:vAlign w:val="bottom"/>
          </w:tcPr>
          <w:p>
            <w:pPr>
              <w:spacing w:after="0"/>
              <w:rPr>
                <w:sz w:val="19"/>
                <w:szCs w:val="19"/>
                <w:color w:val="auto"/>
              </w:rPr>
            </w:pPr>
          </w:p>
        </w:tc>
      </w:tr>
      <w:tr>
        <w:trPr>
          <w:trHeight w:val="1188"/>
        </w:trPr>
        <w:tc>
          <w:tcPr>
            <w:tcW w:w="88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61"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14" w:lineRule="exact"/>
        <w:rPr>
          <w:rFonts w:ascii="Arial" w:cs="Arial" w:eastAsia="Arial" w:hAnsi="Arial"/>
          <w:sz w:val="18"/>
          <w:szCs w:val="18"/>
          <w:color w:val="auto"/>
        </w:rPr>
      </w:pPr>
    </w:p>
    <w:p>
      <w:pPr>
        <w:ind w:left="1020" w:right="8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67" w:lineRule="exact"/>
        <w:rPr>
          <w:rFonts w:ascii="Arial" w:cs="Arial" w:eastAsia="Arial" w:hAnsi="Arial"/>
          <w:sz w:val="18"/>
          <w:szCs w:val="18"/>
          <w:color w:val="auto"/>
        </w:rPr>
      </w:pPr>
    </w:p>
    <w:p>
      <w:pPr>
        <w:ind w:left="1020" w:right="4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7" w:lineRule="exact"/>
        <w:rPr>
          <w:rFonts w:ascii="Arial" w:cs="Arial" w:eastAsia="Arial" w:hAnsi="Arial"/>
          <w:sz w:val="18"/>
          <w:szCs w:val="18"/>
          <w:color w:val="auto"/>
        </w:rPr>
      </w:pPr>
    </w:p>
    <w:p>
      <w:pPr>
        <w:ind w:left="1020" w:right="58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cash flow from operations and the proceeds from our convertible debt and stock offerings to fund certain growth strategies and to support our business;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4" w:lineRule="exact"/>
        <w:rPr>
          <w:rFonts w:ascii="Arial" w:cs="Arial" w:eastAsia="Arial" w:hAnsi="Arial"/>
          <w:sz w:val="18"/>
          <w:szCs w:val="18"/>
          <w:color w:val="auto"/>
        </w:rPr>
      </w:pPr>
    </w:p>
    <w:p>
      <w:pPr>
        <w:ind w:left="1020" w:right="420" w:hanging="503"/>
        <w:spacing w:after="0" w:line="30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44"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26"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2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7" w:lineRule="exact"/>
        <w:rPr>
          <w:sz w:val="20"/>
          <w:szCs w:val="20"/>
          <w:color w:val="auto"/>
        </w:rPr>
      </w:pPr>
    </w:p>
    <w:p>
      <w:pPr>
        <w:jc w:val="both"/>
        <w:ind w:right="180" w:firstLine="510"/>
        <w:spacing w:after="0" w:line="307"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ind w:right="240" w:firstLine="510"/>
        <w:spacing w:after="0" w:line="260"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20"/>
          </w:cols>
          <w:pgMar w:left="320" w:top="447"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940" w:type="dxa"/>
            <w:vAlign w:val="bottom"/>
          </w:tcPr>
          <w:p>
            <w:pPr>
              <w:spacing w:after="0"/>
              <w:rPr>
                <w:sz w:val="20"/>
                <w:szCs w:val="20"/>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4"/>
              </w:rPr>
              <w:t>PART I — Financial Information</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1"/>
              </w:rPr>
              <w:t>HubSpot, Inc.</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940" w:type="dxa"/>
            <w:vAlign w:val="bottom"/>
            <w:tcBorders>
              <w:bottom w:val="single" w:sz="8" w:color="CFF0FC"/>
            </w:tcBorders>
          </w:tcPr>
          <w:p>
            <w:pPr>
              <w:spacing w:after="0"/>
              <w:rPr>
                <w:sz w:val="14"/>
                <w:szCs w:val="14"/>
                <w:color w:val="auto"/>
              </w:rPr>
            </w:pPr>
          </w:p>
        </w:tc>
        <w:tc>
          <w:tcPr>
            <w:tcW w:w="650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934,992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 net of allowance for doubtful accounts of $4,103 and $1,584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at June 30, 2020 and December 31, 2019, respectively</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Deferred commission expense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1,296,319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1,109,724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270,462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commission expense, net of current portion</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6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65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88"/>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1,810,976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1,569,268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10,814</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compensation costs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238,101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275,210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467,523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1,087,925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(445,247)</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(398,130)</w:t>
            </w:r>
          </w:p>
        </w:tc>
        <w:tc>
          <w:tcPr>
            <w:tcW w:w="0" w:type="dxa"/>
            <w:vAlign w:val="bottom"/>
          </w:tcPr>
          <w:p>
            <w:pPr>
              <w:spacing w:after="0"/>
              <w:rPr>
                <w:sz w:val="1"/>
                <w:szCs w:val="1"/>
                <w:color w:val="auto"/>
              </w:rPr>
            </w:pPr>
          </w:p>
        </w:tc>
      </w:tr>
      <w:tr>
        <w:trPr>
          <w:trHeight w:val="222"/>
        </w:trPr>
        <w:tc>
          <w:tcPr>
            <w:tcW w:w="7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723,051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1,810,976</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For the Three Months Ended June 30,</w:t>
            </w:r>
          </w:p>
        </w:tc>
        <w:tc>
          <w:tcPr>
            <w:tcW w:w="160" w:type="dxa"/>
            <w:vAlign w:val="bottom"/>
          </w:tcPr>
          <w:p>
            <w:pPr>
              <w:spacing w:after="0"/>
              <w:rPr>
                <w:sz w:val="14"/>
                <w:szCs w:val="14"/>
                <w:color w:val="auto"/>
              </w:rPr>
            </w:pPr>
          </w:p>
        </w:tc>
        <w:tc>
          <w:tcPr>
            <w:tcW w:w="2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154"/>
        </w:trPr>
        <w:tc>
          <w:tcPr>
            <w:tcW w:w="502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2"/>
              <w:spacing w:after="0" w:line="154"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196,415</w:t>
            </w:r>
          </w:p>
        </w:tc>
        <w:tc>
          <w:tcPr>
            <w:tcW w:w="140" w:type="dxa"/>
            <w:vAlign w:val="bottom"/>
          </w:tcPr>
          <w:p>
            <w:pPr>
              <w:spacing w:after="0"/>
              <w:rPr>
                <w:sz w:val="19"/>
                <w:szCs w:val="19"/>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155,876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387,643</w:t>
            </w:r>
          </w:p>
        </w:tc>
        <w:tc>
          <w:tcPr>
            <w:tcW w:w="140" w:type="dxa"/>
            <w:vAlign w:val="bottom"/>
          </w:tcPr>
          <w:p>
            <w:pPr>
              <w:spacing w:after="0"/>
              <w:rPr>
                <w:sz w:val="19"/>
                <w:szCs w:val="19"/>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7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revenue</w:t>
            </w:r>
          </w:p>
        </w:tc>
        <w:tc>
          <w:tcPr>
            <w:tcW w:w="7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163,255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402,575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7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cost of revenues</w:t>
            </w:r>
          </w:p>
        </w:tc>
        <w:tc>
          <w:tcPr>
            <w:tcW w:w="7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132,113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204,928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178,456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353,242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Arial" w:cs="Arial" w:eastAsia="Arial" w:hAnsi="Arial"/>
                <w:sz w:val="18"/>
                <w:szCs w:val="18"/>
                <w:color w:val="auto"/>
              </w:rPr>
              <w:t>Other expense: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(16,809)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(5,673)</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7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tcPr>
          <w:p>
            <w:pPr>
              <w:ind w:left="500"/>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21"/>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basic</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 net loss per share:</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80"/>
          </w:cols>
          <w:pgMar w:left="320" w:top="336"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4"/>
                <w:szCs w:val="14"/>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154"/>
        </w:trPr>
        <w:tc>
          <w:tcPr>
            <w:tcW w:w="57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7"/>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4"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7"/>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(28,457)</w:t>
            </w:r>
          </w:p>
        </w:tc>
        <w:tc>
          <w:tcPr>
            <w:tcW w:w="120" w:type="dxa"/>
            <w:vAlign w:val="bottom"/>
            <w:shd w:val="clear" w:color="auto" w:fill="CFF0FC"/>
          </w:tcPr>
          <w:p>
            <w:pPr>
              <w:spacing w:after="0"/>
              <w:rPr>
                <w:sz w:val="19"/>
                <w:szCs w:val="19"/>
                <w:color w:val="auto"/>
              </w:rPr>
            </w:pPr>
          </w:p>
        </w:tc>
      </w:tr>
      <w:tr>
        <w:trPr>
          <w:trHeight w:val="228"/>
        </w:trPr>
        <w:tc>
          <w:tcPr>
            <w:tcW w:w="57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r>
      <w:tr>
        <w:trPr>
          <w:trHeight w:val="214"/>
        </w:trPr>
        <w:tc>
          <w:tcPr>
            <w:tcW w:w="5780" w:type="dxa"/>
            <w:vAlign w:val="bottom"/>
          </w:tcPr>
          <w:p>
            <w:pPr>
              <w:ind w:left="260"/>
              <w:spacing w:after="0"/>
              <w:rPr>
                <w:sz w:val="20"/>
                <w:szCs w:val="20"/>
                <w:color w:val="auto"/>
              </w:rPr>
            </w:pPr>
            <w:r>
              <w:rPr>
                <w:rFonts w:ascii="Arial" w:cs="Arial" w:eastAsia="Arial" w:hAnsi="Arial"/>
                <w:sz w:val="18"/>
                <w:szCs w:val="18"/>
                <w:color w:val="auto"/>
                <w:w w:val="95"/>
              </w:rPr>
              <w:t>Changes in unrealized gain on investments, net of income taxes of ($76)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5780" w:type="dxa"/>
            <w:vAlign w:val="bottom"/>
          </w:tcPr>
          <w:p>
            <w:pPr>
              <w:ind w:left="380"/>
              <w:spacing w:after="0"/>
              <w:rPr>
                <w:sz w:val="20"/>
                <w:szCs w:val="20"/>
                <w:color w:val="auto"/>
              </w:rPr>
            </w:pPr>
            <w:r>
              <w:rPr>
                <w:rFonts w:ascii="Arial" w:cs="Arial" w:eastAsia="Arial" w:hAnsi="Arial"/>
                <w:sz w:val="18"/>
                <w:szCs w:val="18"/>
                <w:color w:val="auto"/>
                <w:w w:val="95"/>
              </w:rPr>
              <w:t>thousand for the three and six months ended June 30, 2020, and $156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5780" w:type="dxa"/>
            <w:vAlign w:val="bottom"/>
          </w:tcPr>
          <w:p>
            <w:pPr>
              <w:ind w:left="380"/>
              <w:spacing w:after="0"/>
              <w:rPr>
                <w:sz w:val="20"/>
                <w:szCs w:val="20"/>
                <w:color w:val="auto"/>
              </w:rPr>
            </w:pPr>
            <w:r>
              <w:rPr>
                <w:rFonts w:ascii="Arial" w:cs="Arial" w:eastAsia="Arial" w:hAnsi="Arial"/>
                <w:sz w:val="18"/>
                <w:szCs w:val="18"/>
                <w:color w:val="auto"/>
                <w:w w:val="91"/>
              </w:rPr>
              <w:t>thousand and $269 thousand for the three and six months ended June 30,</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5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FF0FC"/>
            </w:tcBorders>
          </w:tcPr>
          <w:p>
            <w:pPr>
              <w:spacing w:after="0"/>
              <w:rPr>
                <w:sz w:val="19"/>
                <w:szCs w:val="19"/>
                <w:color w:val="auto"/>
              </w:rPr>
            </w:pPr>
          </w:p>
        </w:tc>
      </w:tr>
      <w:tr>
        <w:trPr>
          <w:trHeight w:val="222"/>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(16,515)</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0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08"/>
        </w:trPr>
        <w:tc>
          <w:tcPr>
            <w:tcW w:w="67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04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(47,117)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(28,457)</w:t>
            </w:r>
          </w:p>
        </w:tc>
        <w:tc>
          <w:tcPr>
            <w:tcW w:w="0" w:type="dxa"/>
            <w:vAlign w:val="bottom"/>
          </w:tcPr>
          <w:p>
            <w:pPr>
              <w:spacing w:after="0"/>
              <w:rPr>
                <w:sz w:val="1"/>
                <w:szCs w:val="1"/>
                <w:color w:val="auto"/>
              </w:rPr>
            </w:pPr>
          </w:p>
        </w:tc>
      </w:tr>
      <w:tr>
        <w:trPr>
          <w:trHeight w:val="20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and cash equivalents provided</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by operating activities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58,837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500"/>
              <w:spacing w:after="0"/>
              <w:rPr>
                <w:sz w:val="20"/>
                <w:szCs w:val="20"/>
                <w:color w:val="auto"/>
              </w:rPr>
            </w:pPr>
            <w:r>
              <w:rPr>
                <w:rFonts w:ascii="Arial" w:cs="Arial" w:eastAsia="Arial" w:hAnsi="Arial"/>
                <w:sz w:val="16"/>
                <w:szCs w:val="16"/>
                <w:color w:val="auto"/>
              </w:rPr>
              <w:t>Loss on early extinguishment of 2022 Convertible Notes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10,493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 of 2022 Convertible Notes attributable to the debt discount</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(48,675)</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00" w:type="dxa"/>
            <w:vAlign w:val="bottom"/>
          </w:tcPr>
          <w:p>
            <w:pPr>
              <w:ind w:left="500"/>
              <w:spacing w:after="0"/>
              <w:rPr>
                <w:sz w:val="20"/>
                <w:szCs w:val="20"/>
                <w:color w:val="auto"/>
              </w:rPr>
            </w:pPr>
            <w:r>
              <w:rPr>
                <w:rFonts w:ascii="Arial" w:cs="Arial" w:eastAsia="Arial" w:hAnsi="Arial"/>
                <w:sz w:val="16"/>
                <w:szCs w:val="16"/>
                <w:color w:val="auto"/>
              </w:rPr>
              <w:t>Benefit for deferred income taxes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(422)</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discount and issuance costs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500"/>
              <w:spacing w:after="0"/>
              <w:rPr>
                <w:sz w:val="20"/>
                <w:szCs w:val="20"/>
                <w:color w:val="auto"/>
              </w:rPr>
            </w:pPr>
            <w:r>
              <w:rPr>
                <w:rFonts w:ascii="Arial" w:cs="Arial" w:eastAsia="Arial" w:hAnsi="Arial"/>
                <w:sz w:val="16"/>
                <w:szCs w:val="16"/>
                <w:color w:val="auto"/>
              </w:rPr>
              <w:t>Accretion of bond discount</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(3,490)</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(6,821)</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currency translation</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6700" w:type="dxa"/>
            <w:vAlign w:val="bottom"/>
          </w:tcPr>
          <w:p>
            <w:pPr>
              <w:ind w:left="500"/>
              <w:spacing w:after="0"/>
              <w:rPr>
                <w:sz w:val="20"/>
                <w:szCs w:val="20"/>
                <w:color w:val="auto"/>
              </w:rPr>
            </w:pPr>
            <w:r>
              <w:rPr>
                <w:rFonts w:ascii="Arial" w:cs="Arial" w:eastAsia="Arial" w:hAnsi="Arial"/>
                <w:sz w:val="16"/>
                <w:szCs w:val="16"/>
                <w:color w:val="auto"/>
              </w:rPr>
              <w:t>Changes in assets and liabilities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740"/>
              <w:spacing w:after="0"/>
              <w:rPr>
                <w:sz w:val="20"/>
                <w:szCs w:val="20"/>
                <w:color w:val="auto"/>
              </w:rPr>
            </w:pPr>
            <w:r>
              <w:rPr>
                <w:rFonts w:ascii="Arial" w:cs="Arial" w:eastAsia="Arial" w:hAnsi="Arial"/>
                <w:sz w:val="16"/>
                <w:szCs w:val="16"/>
                <w:color w:val="auto"/>
              </w:rPr>
              <w:t>Prepaid expenses and other assets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(20,420)</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(6,330)</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commission expense</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(5,837)</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(5,539)</w:t>
            </w:r>
          </w:p>
        </w:tc>
        <w:tc>
          <w:tcPr>
            <w:tcW w:w="0" w:type="dxa"/>
            <w:vAlign w:val="bottom"/>
          </w:tcPr>
          <w:p>
            <w:pPr>
              <w:spacing w:after="0"/>
              <w:rPr>
                <w:sz w:val="1"/>
                <w:szCs w:val="1"/>
                <w:color w:val="auto"/>
              </w:rPr>
            </w:pPr>
          </w:p>
        </w:tc>
      </w:tr>
      <w:tr>
        <w:trPr>
          <w:trHeight w:val="212"/>
        </w:trPr>
        <w:tc>
          <w:tcPr>
            <w:tcW w:w="6700" w:type="dxa"/>
            <w:vAlign w:val="bottom"/>
          </w:tcPr>
          <w:p>
            <w:pPr>
              <w:ind w:left="740"/>
              <w:spacing w:after="0"/>
              <w:rPr>
                <w:sz w:val="20"/>
                <w:szCs w:val="20"/>
                <w:color w:val="auto"/>
              </w:rPr>
            </w:pPr>
            <w:r>
              <w:rPr>
                <w:rFonts w:ascii="Arial" w:cs="Arial" w:eastAsia="Arial" w:hAnsi="Arial"/>
                <w:sz w:val="16"/>
                <w:szCs w:val="16"/>
                <w:color w:val="auto"/>
              </w:rPr>
              <w:t>Right-of-use assets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13,398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Operating lease liabilities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(12,314)</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(10,162)</w:t>
            </w:r>
          </w:p>
        </w:tc>
        <w:tc>
          <w:tcPr>
            <w:tcW w:w="0" w:type="dxa"/>
            <w:vAlign w:val="bottom"/>
          </w:tcPr>
          <w:p>
            <w:pPr>
              <w:spacing w:after="0"/>
              <w:rPr>
                <w:sz w:val="1"/>
                <w:szCs w:val="1"/>
                <w:color w:val="auto"/>
              </w:rPr>
            </w:pPr>
          </w:p>
        </w:tc>
      </w:tr>
      <w:tr>
        <w:trPr>
          <w:trHeight w:val="212"/>
        </w:trPr>
        <w:tc>
          <w:tcPr>
            <w:tcW w:w="670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10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7,128</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Net cash and cash equivalents (used in) provided by operating activities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(10,679)</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3"/>
              </w:rPr>
              <w:t>(967,028)</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(597,802)</w:t>
            </w:r>
          </w:p>
        </w:tc>
        <w:tc>
          <w:tcPr>
            <w:tcW w:w="0" w:type="dxa"/>
            <w:vAlign w:val="bottom"/>
          </w:tcPr>
          <w:p>
            <w:pPr>
              <w:spacing w:after="0"/>
              <w:rPr>
                <w:sz w:val="1"/>
                <w:szCs w:val="1"/>
                <w:color w:val="auto"/>
              </w:rPr>
            </w:pPr>
          </w:p>
        </w:tc>
      </w:tr>
      <w:tr>
        <w:trPr>
          <w:trHeight w:val="212"/>
        </w:trPr>
        <w:tc>
          <w:tcPr>
            <w:tcW w:w="6700" w:type="dxa"/>
            <w:vAlign w:val="bottom"/>
          </w:tcPr>
          <w:p>
            <w:pPr>
              <w:ind w:left="260"/>
              <w:spacing w:after="0"/>
              <w:rPr>
                <w:sz w:val="20"/>
                <w:szCs w:val="20"/>
                <w:color w:val="auto"/>
              </w:rPr>
            </w:pPr>
            <w:r>
              <w:rPr>
                <w:rFonts w:ascii="Arial" w:cs="Arial" w:eastAsia="Arial" w:hAnsi="Arial"/>
                <w:sz w:val="16"/>
                <w:szCs w:val="16"/>
                <w:color w:val="auto"/>
              </w:rPr>
              <w:t>Maturities of investments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710,002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 of investments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0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(19,897)</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(12,056)</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Capitalization of software development costs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(10,163)</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12"/>
        </w:trPr>
        <w:tc>
          <w:tcPr>
            <w:tcW w:w="6700" w:type="dxa"/>
            <w:vAlign w:val="bottom"/>
          </w:tcPr>
          <w:p>
            <w:pPr>
              <w:ind w:left="260"/>
              <w:spacing w:after="0"/>
              <w:rPr>
                <w:sz w:val="20"/>
                <w:szCs w:val="20"/>
                <w:color w:val="auto"/>
              </w:rPr>
            </w:pPr>
            <w:r>
              <w:rPr>
                <w:rFonts w:ascii="Arial" w:cs="Arial" w:eastAsia="Arial" w:hAnsi="Arial"/>
                <w:sz w:val="16"/>
                <w:szCs w:val="16"/>
                <w:color w:val="auto"/>
              </w:rPr>
              <w:t>Purchases of strategic investments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ind w:left="980"/>
              <w:spacing w:after="0"/>
              <w:rPr>
                <w:sz w:val="20"/>
                <w:szCs w:val="20"/>
                <w:color w:val="auto"/>
              </w:rPr>
            </w:pPr>
            <w:r>
              <w:rPr>
                <w:rFonts w:ascii="Arial" w:cs="Arial" w:eastAsia="Arial" w:hAnsi="Arial"/>
                <w:sz w:val="16"/>
                <w:szCs w:val="16"/>
                <w:color w:val="auto"/>
              </w:rPr>
              <w:t>Net cash and cash equivalents used in investing activities</w:t>
            </w:r>
          </w:p>
        </w:tc>
        <w:tc>
          <w:tcPr>
            <w:tcW w:w="10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3"/>
              </w:rPr>
              <w:t>(277,154)</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(273,153)</w:t>
            </w:r>
          </w:p>
        </w:tc>
        <w:tc>
          <w:tcPr>
            <w:tcW w:w="0" w:type="dxa"/>
            <w:vAlign w:val="bottom"/>
          </w:tcPr>
          <w:p>
            <w:pPr>
              <w:spacing w:after="0"/>
              <w:rPr>
                <w:sz w:val="1"/>
                <w:szCs w:val="1"/>
                <w:color w:val="auto"/>
              </w:rPr>
            </w:pPr>
          </w:p>
        </w:tc>
      </w:tr>
      <w:tr>
        <w:trPr>
          <w:trHeight w:val="205"/>
        </w:trPr>
        <w:tc>
          <w:tcPr>
            <w:tcW w:w="67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2025 Convertible Notes, net of issuance costs paid of</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$9.4 million</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450,614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700" w:type="dxa"/>
            <w:vAlign w:val="bottom"/>
          </w:tcPr>
          <w:p>
            <w:pPr>
              <w:ind w:left="260"/>
              <w:spacing w:after="0"/>
              <w:rPr>
                <w:sz w:val="20"/>
                <w:szCs w:val="20"/>
                <w:color w:val="auto"/>
              </w:rPr>
            </w:pPr>
            <w:r>
              <w:rPr>
                <w:rFonts w:ascii="Arial" w:cs="Arial" w:eastAsia="Arial" w:hAnsi="Arial"/>
                <w:sz w:val="16"/>
                <w:szCs w:val="16"/>
                <w:color w:val="auto"/>
              </w:rPr>
              <w:t>Proceeds from settlement of Convertible Note Hedges related to the 2022</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00" w:type="dxa"/>
            <w:vAlign w:val="bottom"/>
          </w:tcPr>
          <w:p>
            <w:pPr>
              <w:ind w:left="380"/>
              <w:spacing w:after="0"/>
              <w:rPr>
                <w:sz w:val="20"/>
                <w:szCs w:val="20"/>
                <w:color w:val="auto"/>
              </w:rPr>
            </w:pPr>
            <w:r>
              <w:rPr>
                <w:rFonts w:ascii="Arial" w:cs="Arial" w:eastAsia="Arial" w:hAnsi="Arial"/>
                <w:sz w:val="16"/>
                <w:szCs w:val="16"/>
                <w:color w:val="auto"/>
              </w:rPr>
              <w:t>Convertible Notes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362,492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 settlement of Warrants related to the 2022 Convertible Notes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3"/>
              </w:rPr>
              <w:t>(327,543)</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00" w:type="dxa"/>
            <w:vAlign w:val="bottom"/>
          </w:tcPr>
          <w:p>
            <w:pPr>
              <w:ind w:left="260"/>
              <w:spacing w:after="0"/>
              <w:rPr>
                <w:sz w:val="20"/>
                <w:szCs w:val="20"/>
                <w:color w:val="auto"/>
              </w:rPr>
            </w:pPr>
            <w:r>
              <w:rPr>
                <w:rFonts w:ascii="Arial" w:cs="Arial" w:eastAsia="Arial" w:hAnsi="Arial"/>
                <w:sz w:val="16"/>
                <w:szCs w:val="16"/>
                <w:color w:val="auto"/>
              </w:rPr>
              <w:t>Repayment of 2022 Convertible Notes attributable to the principal</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(234,366)</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 Capped Call Options related to the 2025 Convertible Notes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(50,600)</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700" w:type="dxa"/>
            <w:vAlign w:val="bottom"/>
          </w:tcPr>
          <w:p>
            <w:pPr>
              <w:ind w:left="260"/>
              <w:spacing w:after="0"/>
              <w:rPr>
                <w:sz w:val="20"/>
                <w:szCs w:val="20"/>
                <w:color w:val="auto"/>
              </w:rPr>
            </w:pPr>
            <w:r>
              <w:rPr>
                <w:rFonts w:ascii="Arial" w:cs="Arial" w:eastAsia="Arial" w:hAnsi="Arial"/>
                <w:sz w:val="16"/>
                <w:szCs w:val="16"/>
                <w:color w:val="auto"/>
              </w:rPr>
              <w:t>Proceeds from common stock offering, net of offering costs paid of $365</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Employee taxes paid related to the net share settlement of stock-based awards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(2,200)</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(2,735)</w:t>
            </w:r>
          </w:p>
        </w:tc>
        <w:tc>
          <w:tcPr>
            <w:tcW w:w="0" w:type="dxa"/>
            <w:vAlign w:val="bottom"/>
          </w:tcPr>
          <w:p>
            <w:pPr>
              <w:spacing w:after="0"/>
              <w:rPr>
                <w:sz w:val="1"/>
                <w:szCs w:val="1"/>
                <w:color w:val="auto"/>
              </w:rPr>
            </w:pPr>
          </w:p>
        </w:tc>
      </w:tr>
      <w:tr>
        <w:trPr>
          <w:trHeight w:val="212"/>
        </w:trPr>
        <w:tc>
          <w:tcPr>
            <w:tcW w:w="6700" w:type="dxa"/>
            <w:vAlign w:val="bottom"/>
          </w:tcPr>
          <w:p>
            <w:pPr>
              <w:ind w:left="260"/>
              <w:spacing w:after="0"/>
              <w:rPr>
                <w:sz w:val="20"/>
                <w:szCs w:val="20"/>
                <w:color w:val="auto"/>
              </w:rPr>
            </w:pPr>
            <w:r>
              <w:rPr>
                <w:rFonts w:ascii="Arial" w:cs="Arial" w:eastAsia="Arial" w:hAnsi="Arial"/>
                <w:sz w:val="16"/>
                <w:szCs w:val="16"/>
                <w:color w:val="auto"/>
              </w:rPr>
              <w:t>Proceeds related to the issuance of common stock under stock plans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15,208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finance lease obligations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5"/>
        </w:trPr>
        <w:tc>
          <w:tcPr>
            <w:tcW w:w="6700" w:type="dxa"/>
            <w:vAlign w:val="bottom"/>
            <w:tcBorders>
              <w:bottom w:val="single" w:sz="8" w:color="CFF0FC"/>
            </w:tcBorders>
          </w:tcPr>
          <w:p>
            <w:pPr>
              <w:ind w:left="980"/>
              <w:spacing w:after="0"/>
              <w:rPr>
                <w:sz w:val="20"/>
                <w:szCs w:val="20"/>
                <w:color w:val="auto"/>
              </w:rPr>
            </w:pPr>
            <w:r>
              <w:rPr>
                <w:rFonts w:ascii="Arial" w:cs="Arial" w:eastAsia="Arial" w:hAnsi="Arial"/>
                <w:sz w:val="16"/>
                <w:szCs w:val="16"/>
                <w:color w:val="auto"/>
              </w:rPr>
              <w:t>Net cash and cash equivalents provided by financing activities</w:t>
            </w:r>
          </w:p>
        </w:tc>
        <w:tc>
          <w:tcPr>
            <w:tcW w:w="1080" w:type="dxa"/>
            <w:vAlign w:val="bottom"/>
            <w:tcBorders>
              <w:bottom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213,577</w:t>
            </w:r>
          </w:p>
        </w:tc>
        <w:tc>
          <w:tcPr>
            <w:tcW w:w="28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350,426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(144)</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1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(74,400)</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278,515</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700" w:type="dxa"/>
            <w:vAlign w:val="bottom"/>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204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204,115</w:t>
            </w:r>
          </w:p>
        </w:tc>
        <w:tc>
          <w:tcPr>
            <w:tcW w:w="28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245,602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disclosure:</w:t>
            </w:r>
          </w:p>
        </w:tc>
        <w:tc>
          <w:tcPr>
            <w:tcW w:w="10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6"/>
                <w:szCs w:val="16"/>
                <w:color w:val="auto"/>
              </w:rPr>
              <w:t>Cash paid for interest</w:t>
            </w:r>
          </w:p>
        </w:tc>
        <w:tc>
          <w:tcPr>
            <w:tcW w:w="204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income taxes</w:t>
            </w:r>
          </w:p>
        </w:tc>
        <w:tc>
          <w:tcPr>
            <w:tcW w:w="2040" w:type="dxa"/>
            <w:vAlign w:val="bottom"/>
            <w:gridSpan w:val="2"/>
            <w:shd w:val="clear" w:color="auto" w:fill="CFF0FC"/>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204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51,742</w:t>
            </w:r>
          </w:p>
        </w:tc>
        <w:tc>
          <w:tcPr>
            <w:tcW w:w="2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6"/>
                <w:szCs w:val="16"/>
                <w:color w:val="auto"/>
              </w:rPr>
              <w:t>Capital expenditures incurred but not yet paid</w:t>
            </w:r>
          </w:p>
        </w:tc>
        <w:tc>
          <w:tcPr>
            <w:tcW w:w="204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447</w:t>
            </w:r>
          </w:p>
        </w:tc>
        <w:tc>
          <w:tcPr>
            <w:tcW w:w="2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Asset retirement obligations</w:t>
            </w:r>
          </w:p>
        </w:tc>
        <w:tc>
          <w:tcPr>
            <w:tcW w:w="2040" w:type="dxa"/>
            <w:vAlign w:val="bottom"/>
            <w:gridSpan w:val="2"/>
            <w:shd w:val="clear" w:color="auto" w:fill="CFF0FC"/>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6"/>
                <w:szCs w:val="16"/>
                <w:color w:val="auto"/>
              </w:rPr>
              <w:t>Issuance of common stock for repayment of 2022 Convertible Notes</w:t>
            </w:r>
          </w:p>
        </w:tc>
        <w:tc>
          <w:tcPr>
            <w:tcW w:w="204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330,497</w:t>
            </w:r>
          </w:p>
        </w:tc>
        <w:tc>
          <w:tcPr>
            <w:tcW w:w="2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2025 Convertible Notes issuance costs incurred but not paid</w:t>
            </w:r>
          </w:p>
        </w:tc>
        <w:tc>
          <w:tcPr>
            <w:tcW w:w="2040" w:type="dxa"/>
            <w:vAlign w:val="bottom"/>
            <w:gridSpan w:val="2"/>
            <w:shd w:val="clear" w:color="auto" w:fill="CFF0FC"/>
          </w:tcPr>
          <w:p>
            <w:pPr>
              <w:jc w:val="right"/>
              <w:ind w:right="8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80"/>
          </w:cols>
          <w:pgMar w:left="320" w:top="336" w:right="29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5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39"/>
          </w:cols>
          <w:pgMar w:left="320" w:top="612"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6" w:lineRule="exact"/>
        <w:rPr>
          <w:sz w:val="20"/>
          <w:szCs w:val="20"/>
          <w:color w:val="auto"/>
        </w:rPr>
      </w:pPr>
    </w:p>
    <w:p>
      <w:pPr>
        <w:ind w:right="40" w:firstLine="510"/>
        <w:spacing w:after="0" w:line="276" w:lineRule="auto"/>
        <w:rPr>
          <w:sz w:val="20"/>
          <w:szCs w:val="20"/>
          <w:color w:val="auto"/>
        </w:rPr>
      </w:pPr>
      <w:r>
        <w:rPr>
          <w:rFonts w:ascii="Arial" w:cs="Arial" w:eastAsia="Arial" w:hAnsi="Arial"/>
          <w:sz w:val="17"/>
          <w:szCs w:val="17"/>
          <w:color w:val="auto"/>
        </w:rPr>
        <w:t>HubSpot, Inc. (the “Company”) provides a cloud-based inbound marketing, sales and customer service platform, which is referred to in this document as the Company’s Growth Platform, that enables businesses to grow better. The Company’s Growth Platform, comprised of Marketing Hub, Sales Hub, Service Hub, Content Management System Hub, and a free customer relationship management system (“CRM”), features integrated applications and tools that enable businesses to create a cohesive and adaptable customer experience throughout the customer lifecycle.</w:t>
      </w:r>
    </w:p>
    <w:p>
      <w:pPr>
        <w:spacing w:after="0" w:line="173"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December 31, 2019, and these consolidated 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77"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2020.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89"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12, 2020. There have been no changes in the Company’s significant accounting policies from those that were disclosed in the Company’s Annual Report on Form 10-K that have had a material impact on our consolidated financial statements and related notes.</w:t>
      </w:r>
    </w:p>
    <w:p>
      <w:pPr>
        <w:spacing w:after="0" w:line="189" w:lineRule="exact"/>
        <w:rPr>
          <w:sz w:val="20"/>
          <w:szCs w:val="20"/>
          <w:color w:val="auto"/>
        </w:rPr>
      </w:pPr>
    </w:p>
    <w:p>
      <w:pPr>
        <w:ind w:right="60" w:firstLine="510"/>
        <w:spacing w:after="0" w:line="298" w:lineRule="auto"/>
        <w:rPr>
          <w:sz w:val="20"/>
          <w:szCs w:val="20"/>
          <w:color w:val="auto"/>
        </w:rPr>
      </w:pPr>
      <w:r>
        <w:rPr>
          <w:rFonts w:ascii="Arial" w:cs="Arial" w:eastAsia="Arial" w:hAnsi="Arial"/>
          <w:sz w:val="16"/>
          <w:szCs w:val="16"/>
          <w:color w:val="auto"/>
        </w:rPr>
        <w:t>In March 2020, the World Health Organization, or WHO, declared the outbreak of a disease caused by a novel strain of the coronavirus (COVID-19) to be a global pandemic, or pandemic. The Company has assessed the impact of the pandemic, and while the broader implications of the pandemic on the results of operations and overall financial performance remain uncertain, the Company assessed the potential impact on the June 30, 2020 financial statements and determined there were no material adjustments necessary with respect to these consolidated financial statements.</w:t>
      </w:r>
    </w:p>
    <w:p>
      <w:pPr>
        <w:spacing w:after="0" w:line="15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Given that the economic consequences of the pandemic have been exceptionally challenging for many customers, in March 2020, the Company implemented certain changes to pricing and packaging, including reducing prices on certain products and offering certain product functionality free of charge. The Company also paid certain Solutions Partners six months of commissions in advance of them being earned. While revenue, customer retention, and earnings are relatively predictable under a subscription-based business model, the effect of the pandemic will not be fully reflected in the results of operations and overall financial performance of the Company until future periods given the current macro-economic uncertainty.</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March 2020, the Coronavirus Aid, Relief, and Economic Security (“CARES”) Act was signed into law by the United States. The CARES Act provides a substantial stimulus and assistance package intended to address the impact of the COVID-19 pandemic, including tax relief and government loans, grants and investments. In June 2020, the Jobs Support Scheme (“JSS”) was announced by the Singapore government to provide support to employers and help enterprises retain their local employees during the pandemic. The CARES Act and the JSS did not have a material impact with respect to these consolidated financial statements.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420" w:firstLine="510"/>
        <w:spacing w:after="0" w:line="272"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0" w:name="page11"/>
    <w:bookmarkEnd w:id="10"/>
    <w:p>
      <w:pPr>
        <w:ind w:right="40" w:firstLine="510"/>
        <w:spacing w:after="0" w:line="291" w:lineRule="auto"/>
        <w:rPr>
          <w:sz w:val="20"/>
          <w:szCs w:val="20"/>
          <w:color w:val="auto"/>
        </w:rPr>
      </w:pPr>
      <w:r>
        <w:rPr>
          <w:rFonts w:ascii="Arial" w:cs="Arial" w:eastAsia="Arial" w:hAnsi="Arial"/>
          <w:sz w:val="16"/>
          <w:szCs w:val="16"/>
          <w:color w:val="auto"/>
        </w:rPr>
        <w:t>In January 2017, the Financial Accounting Standards Board (“FASB”) issued guidance simplifying the accounting for goodwill impairment by removing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the new guidance, goodwill impairment is recognized based on Step 1 of the current guidance, which calculates the carrying value in excess of the reporting unit’s fair value. The guidance was adopted effective January 1, 2020 and did not have a material impact on the consolidated financial statements.</w:t>
      </w:r>
    </w:p>
    <w:p>
      <w:pPr>
        <w:spacing w:after="0" w:line="56"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In June 2016, the FASB issued guidance that introduces a new methodology for accounting for credit losses on financial instruments. The guidance establishes a new forward-looking "expected loss model" that requires entities to estimate current expected credit losses on accounts receivable and financial instruments by using all practical and relevant information. The guidance was adopted effective January 1, 2020 and did not have a material impact on the consolidated financial statements.</w:t>
      </w:r>
    </w:p>
    <w:p>
      <w:pPr>
        <w:spacing w:after="0" w:line="8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December 2019, the FASB issued guidance simplifying the accounting for incomes taxes by removing (i) the exception to the incremental approach for intraperiod tax allocation when there is a loss from continuing operations and income or a gain from other items, (ii) the exception to recognize a deferred tax liability for equity method investments when a foreign subsidiary becomes an equity method investment, and (iii) the exception to the general methodology for calculating income taxes in an interim period when a year-to-date loss exceeds the anticipated loss for the year. The guidance also improves consistent application of and simplifies GAAP for other areas of Topic 740, Income Taxes. The guidance was adopted effective January 1, 2020, using a prospective approach and did not have a material impact on the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5" w:lineRule="exact"/>
        <w:rPr>
          <w:sz w:val="20"/>
          <w:szCs w:val="20"/>
          <w:color w:val="auto"/>
        </w:rPr>
      </w:pPr>
    </w:p>
    <w:p>
      <w:pPr>
        <w:ind w:right="200" w:firstLine="510"/>
        <w:spacing w:after="0" w:line="260" w:lineRule="auto"/>
        <w:rPr>
          <w:sz w:val="20"/>
          <w:szCs w:val="20"/>
          <w:color w:val="auto"/>
        </w:rPr>
      </w:pPr>
      <w:r>
        <w:rPr>
          <w:rFonts w:ascii="Arial" w:cs="Arial" w:eastAsia="Arial" w:hAnsi="Arial"/>
          <w:sz w:val="18"/>
          <w:szCs w:val="18"/>
          <w:color w:val="auto"/>
        </w:rPr>
        <w:t>The Company provides disaggregation of revenue based on geographic region (Note 13)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115"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revenue. Deferred revenue during the six months ended June 30, 2020 increased by $6.9 million resulting from $409.5 million of additional invoicing and was offset by revenue recognized of $402.6 million during the same period. $127.9 million of revenue was recognized during the three month period ended June 30, 2020 that was included in deferred revenue at the beginning of the period. $178.6 million of revenue was recognized during the six month period ended June 30, 2020 that was included in deferred revenue at the beginning of the period. As of June 30, 2020, approximately $189.1 million of revenue is expected to be recognized from remaining performance obligations for contracts with original performance obligations that exceed one year. The Company expects to recognize revenue on approximately 94% of these remaining performance obligations over the next 24 months, with the balance recognized thereafter.</w:t>
      </w:r>
    </w:p>
    <w:p>
      <w:pPr>
        <w:spacing w:after="0" w:line="194"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Additional contract liabilities of $1.9 million and $1.4 million were included in accrued expenses and other current liabilities on the consolidated balance sheet as of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3" w:lineRule="exact"/>
        <w:rPr>
          <w:sz w:val="20"/>
          <w:szCs w:val="20"/>
          <w:color w:val="auto"/>
        </w:rPr>
      </w:pPr>
    </w:p>
    <w:p>
      <w:pPr>
        <w:ind w:right="200" w:firstLine="510"/>
        <w:spacing w:after="0" w:line="256" w:lineRule="auto"/>
        <w:rPr>
          <w:sz w:val="20"/>
          <w:szCs w:val="20"/>
          <w:color w:val="auto"/>
        </w:rPr>
      </w:pPr>
      <w:r>
        <w:rPr>
          <w:rFonts w:ascii="Arial" w:cs="Arial" w:eastAsia="Arial" w:hAnsi="Arial"/>
          <w:sz w:val="18"/>
          <w:szCs w:val="18"/>
          <w:color w:val="auto"/>
        </w:rPr>
        <w:t>Deferred commission expense during the three months ended June 30, 2020 increased by $4.9 million as a result of deferring incremental costs of obtaining a contract of $15.0 million and was offset by amortization of $10.1 million during the same period. Deferred commission expense during the six months ended June 30, 2020 increased by $5.8 million as a result of deferring incremental costs of obtaining a contract of $26.6 million and was offset by amortization of $20.8 million during the same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Accounts receivable are carried at the original invoiced amount less an allowance for doubtful accounts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pandemic has added uncertainty to the collectability of certain receivables, particularly in industries hard hit by the pandemic. As a result, the Company recorded an incremental reserve associated with the pandemic during the three and six months ended June 30, 2020.</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 forward of the Company’s allowance for doubtful accounts:</w:t>
      </w:r>
    </w:p>
    <w:p>
      <w:pPr>
        <w:spacing w:after="0" w:line="80"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39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Provision</w:t>
            </w:r>
          </w:p>
        </w:tc>
        <w:tc>
          <w:tcPr>
            <w:tcW w:w="1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80" w:type="dxa"/>
            <w:vAlign w:val="bottom"/>
            <w:shd w:val="clear" w:color="auto" w:fill="CFF0FC"/>
          </w:tcPr>
          <w:p>
            <w:pPr>
              <w:spacing w:after="0"/>
              <w:rPr>
                <w:sz w:val="19"/>
                <w:szCs w:val="19"/>
                <w:color w:val="auto"/>
              </w:rPr>
            </w:pPr>
          </w:p>
        </w:tc>
      </w:tr>
      <w:tr>
        <w:trPr>
          <w:trHeight w:val="228"/>
        </w:trPr>
        <w:tc>
          <w:tcPr>
            <w:tcW w:w="3900" w:type="dxa"/>
            <w:vAlign w:val="bottom"/>
          </w:tcPr>
          <w:p>
            <w:pPr>
              <w:spacing w:after="0"/>
              <w:rPr>
                <w:sz w:val="20"/>
                <w:szCs w:val="20"/>
                <w:color w:val="auto"/>
              </w:rPr>
            </w:pPr>
            <w:r>
              <w:rPr>
                <w:rFonts w:ascii="Arial" w:cs="Arial" w:eastAsia="Arial" w:hAnsi="Arial"/>
                <w:sz w:val="18"/>
                <w:szCs w:val="18"/>
                <w:color w:val="auto"/>
              </w:rPr>
              <w:t>Write-offs, net of recoveries</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(4,434)</w:t>
            </w:r>
          </w:p>
        </w:tc>
      </w:tr>
      <w:tr>
        <w:trPr>
          <w:trHeight w:val="221"/>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6"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below), the Conversion Option of the 2022 Notes, and the Conversion Option of the 2025 Notes (the “Conversion Options”) (Note 8) are considered to be potential common stock equivalents.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1120" w:type="dxa"/>
            <w:vAlign w:val="bottom"/>
          </w:tcPr>
          <w:p>
            <w:pPr>
              <w:spacing w:after="0"/>
              <w:rPr>
                <w:sz w:val="14"/>
                <w:szCs w:val="14"/>
                <w:color w:val="auto"/>
              </w:rPr>
            </w:pPr>
          </w:p>
        </w:tc>
      </w:tr>
      <w:tr>
        <w:trPr>
          <w:trHeight w:val="154"/>
        </w:trPr>
        <w:tc>
          <w:tcPr>
            <w:tcW w:w="114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55"/>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4"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6"/>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4"/>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35"/>
        </w:trPr>
        <w:tc>
          <w:tcPr>
            <w:tcW w:w="114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(29,401)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(17,357)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(47,117)</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(28,457)</w:t>
            </w:r>
          </w:p>
        </w:tc>
        <w:tc>
          <w:tcPr>
            <w:tcW w:w="1120" w:type="dxa"/>
            <w:vAlign w:val="bottom"/>
          </w:tcPr>
          <w:p>
            <w:pPr>
              <w:spacing w:after="0"/>
              <w:rPr>
                <w:sz w:val="20"/>
                <w:szCs w:val="20"/>
                <w:color w:val="auto"/>
              </w:rPr>
            </w:pPr>
          </w:p>
        </w:tc>
      </w:tr>
      <w:tr>
        <w:trPr>
          <w:trHeight w:val="40"/>
        </w:trPr>
        <w:tc>
          <w:tcPr>
            <w:tcW w:w="1140" w:type="dxa"/>
            <w:vAlign w:val="bottom"/>
          </w:tcPr>
          <w:p>
            <w:pPr>
              <w:spacing w:after="0"/>
              <w:rPr>
                <w:sz w:val="3"/>
                <w:szCs w:val="3"/>
                <w:color w:val="auto"/>
              </w:rPr>
            </w:pPr>
          </w:p>
        </w:tc>
        <w:tc>
          <w:tcPr>
            <w:tcW w:w="40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40" w:type="dxa"/>
            <w:vAlign w:val="bottom"/>
            <w:tcBorders>
              <w:bottom w:val="single" w:sz="8" w:color="auto"/>
            </w:tcBorders>
            <w:shd w:val="clear" w:color="auto" w:fill="000000"/>
          </w:tcPr>
          <w:p>
            <w:pPr>
              <w:spacing w:after="0"/>
              <w:rPr>
                <w:sz w:val="3"/>
                <w:szCs w:val="3"/>
                <w:color w:val="auto"/>
              </w:rPr>
            </w:pPr>
          </w:p>
        </w:tc>
        <w:tc>
          <w:tcPr>
            <w:tcW w:w="1120" w:type="dxa"/>
            <w:vAlign w:val="bottom"/>
            <w:tcBorders>
              <w:bottom w:val="single" w:sz="8" w:color="auto"/>
            </w:tcBorders>
            <w:shd w:val="clear" w:color="auto" w:fill="000000"/>
          </w:tcPr>
          <w:p>
            <w:pPr>
              <w:spacing w:after="0"/>
              <w:rPr>
                <w:sz w:val="3"/>
                <w:szCs w:val="3"/>
                <w:color w:val="auto"/>
              </w:rPr>
            </w:pPr>
          </w:p>
        </w:tc>
        <w:tc>
          <w:tcPr>
            <w:tcW w:w="180" w:type="dxa"/>
            <w:vAlign w:val="bottom"/>
            <w:tcBorders>
              <w:right w:val="single" w:sz="8" w:color="CFF0FC"/>
            </w:tcBorders>
            <w:shd w:val="clear" w:color="auto" w:fill="CFF0FC"/>
          </w:tcPr>
          <w:p>
            <w:pPr>
              <w:spacing w:after="0"/>
              <w:rPr>
                <w:sz w:val="3"/>
                <w:szCs w:val="3"/>
                <w:color w:val="auto"/>
              </w:rPr>
            </w:pPr>
          </w:p>
        </w:tc>
        <w:tc>
          <w:tcPr>
            <w:tcW w:w="260" w:type="dxa"/>
            <w:vAlign w:val="bottom"/>
            <w:tcBorders>
              <w:bottom w:val="single" w:sz="8" w:color="auto"/>
            </w:tcBorders>
            <w:shd w:val="clear" w:color="auto" w:fill="000000"/>
          </w:tcPr>
          <w:p>
            <w:pPr>
              <w:spacing w:after="0"/>
              <w:rPr>
                <w:sz w:val="3"/>
                <w:szCs w:val="3"/>
                <w:color w:val="auto"/>
              </w:rPr>
            </w:pPr>
          </w:p>
        </w:tc>
        <w:tc>
          <w:tcPr>
            <w:tcW w:w="820" w:type="dxa"/>
            <w:vAlign w:val="bottom"/>
            <w:tcBorders>
              <w:bottom w:val="single" w:sz="8" w:color="auto"/>
            </w:tcBorders>
            <w:shd w:val="clear" w:color="auto" w:fill="000000"/>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0" w:type="dxa"/>
            <w:vAlign w:val="bottom"/>
            <w:tcBorders>
              <w:bottom w:val="single" w:sz="8" w:color="auto"/>
            </w:tcBorders>
            <w:shd w:val="clear" w:color="auto" w:fill="CFF0FC"/>
          </w:tcPr>
          <w:p>
            <w:pPr>
              <w:spacing w:after="0"/>
              <w:rPr>
                <w:sz w:val="3"/>
                <w:szCs w:val="3"/>
                <w:color w:val="auto"/>
              </w:rPr>
            </w:pPr>
          </w:p>
        </w:tc>
        <w:tc>
          <w:tcPr>
            <w:tcW w:w="860" w:type="dxa"/>
            <w:vAlign w:val="bottom"/>
            <w:tcBorders>
              <w:bottom w:val="single" w:sz="8" w:color="auto"/>
            </w:tcBorders>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CFF0FC"/>
          </w:tcPr>
          <w:p>
            <w:pPr>
              <w:spacing w:after="0"/>
              <w:rPr>
                <w:sz w:val="3"/>
                <w:szCs w:val="3"/>
                <w:color w:val="auto"/>
              </w:rPr>
            </w:pPr>
          </w:p>
        </w:tc>
        <w:tc>
          <w:tcPr>
            <w:tcW w:w="700" w:type="dxa"/>
            <w:vAlign w:val="bottom"/>
            <w:tcBorders>
              <w:bottom w:val="single" w:sz="8" w:color="auto"/>
            </w:tcBorders>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120" w:type="dxa"/>
            <w:vAlign w:val="bottom"/>
          </w:tcPr>
          <w:p>
            <w:pPr>
              <w:spacing w:after="0"/>
              <w:rPr>
                <w:sz w:val="3"/>
                <w:szCs w:val="3"/>
                <w:color w:val="auto"/>
              </w:rPr>
            </w:pPr>
          </w:p>
        </w:tc>
      </w:tr>
      <w:tr>
        <w:trPr>
          <w:trHeight w:val="194"/>
        </w:trPr>
        <w:tc>
          <w:tcPr>
            <w:tcW w:w="5220" w:type="dxa"/>
            <w:vAlign w:val="bottom"/>
            <w:gridSpan w:val="2"/>
          </w:tcPr>
          <w:p>
            <w:pPr>
              <w:ind w:left="1140"/>
              <w:spacing w:after="0" w:line="194" w:lineRule="exact"/>
              <w:rPr>
                <w:sz w:val="20"/>
                <w:szCs w:val="20"/>
                <w:color w:val="auto"/>
              </w:rPr>
            </w:pPr>
            <w:r>
              <w:rPr>
                <w:rFonts w:ascii="Arial" w:cs="Arial" w:eastAsia="Arial" w:hAnsi="Arial"/>
                <w:sz w:val="18"/>
                <w:szCs w:val="18"/>
                <w:color w:val="auto"/>
              </w:rPr>
              <w:t>Weighted-average common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7"/>
        </w:trPr>
        <w:tc>
          <w:tcPr>
            <w:tcW w:w="114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44,130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41,352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3"/>
              </w:rPr>
              <w:t>Dilutive effect of share equivalents resulting from stock</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4"/>
              </w:rPr>
              <w:t>options, RSUs, ESPP, Warrants and the Conversion</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07"/>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Weighted-average common shares,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1140" w:type="dxa"/>
            <w:vAlign w:val="bottom"/>
          </w:tcPr>
          <w:p>
            <w:pPr>
              <w:spacing w:after="0"/>
              <w:rPr>
                <w:sz w:val="19"/>
                <w:szCs w:val="19"/>
                <w:color w:val="auto"/>
              </w:rPr>
            </w:pPr>
          </w:p>
        </w:tc>
        <w:tc>
          <w:tcPr>
            <w:tcW w:w="40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outstanding — diluted</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43,703</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41,352</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08"/>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75"/>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6"/>
        </w:trPr>
        <w:tc>
          <w:tcPr>
            <w:tcW w:w="114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2" w:name="page13"/>
    <w:bookmarkEnd w:id="12"/>
    <w:p>
      <w:pPr>
        <w:ind w:right="200" w:firstLine="510"/>
        <w:spacing w:after="0" w:line="260"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185"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The Company expects to settle the principal amount of the 2022 Notes and the 2025 Notes (the “Notes”) in cash, and therefore, the Company uses the treasury stock method for calculating any potential dilutive effect of the Warrants and Conversion Options on diluted net income per share, if applicable. As a result, only the amount by which the conversion cost of the Notes, if settled in shares, exceeds the aggregated principal amount of the Notes (the “Conversion Spread”) is considered in the diluted earnings per share computation. The Conversion Spread has a dilutive impact on net income per share when the average market price of the Company’s common stock for a given period of time exceeds the initial conversion price of $94.77 per share for the 2022 Notes and $282.52 for the 2025 Notes. The average stock price for the three months ended June 30, 2020 was $179.84 and for the six month period ended June 30, 2020 was $173.13.</w:t>
      </w:r>
    </w:p>
    <w:p>
      <w:pPr>
        <w:spacing w:after="0" w:line="195" w:lineRule="exact"/>
        <w:rPr>
          <w:sz w:val="20"/>
          <w:szCs w:val="20"/>
          <w:color w:val="auto"/>
        </w:rPr>
      </w:pPr>
    </w:p>
    <w:p>
      <w:pPr>
        <w:ind w:right="200" w:firstLine="510"/>
        <w:spacing w:after="0" w:line="276" w:lineRule="auto"/>
        <w:rPr>
          <w:sz w:val="20"/>
          <w:szCs w:val="20"/>
          <w:color w:val="auto"/>
        </w:rPr>
      </w:pPr>
      <w:r>
        <w:rPr>
          <w:rFonts w:ascii="Arial" w:cs="Arial" w:eastAsia="Arial" w:hAnsi="Arial"/>
          <w:sz w:val="17"/>
          <w:szCs w:val="17"/>
          <w:color w:val="auto"/>
        </w:rPr>
        <w:t>As the last reported sale price of the Company’s common stock for at least 20 trading days during the period of 30 consecutive trading days ending on the last trading day of the calendar quarter ended June 30, 2020 was equal to or greater than 130% of the conversion price of $94.77 on each applicable trading day, the 2022 Notes are convertible at the option of the holders thereof during the calendar quarter ending September 30, 2020. For disclosure purposes, the potentially dilutive effect of the Conversion Spread is calculated and included in the table below.</w:t>
      </w:r>
    </w:p>
    <w:p>
      <w:pPr>
        <w:spacing w:after="0" w:line="173" w:lineRule="exact"/>
        <w:rPr>
          <w:sz w:val="20"/>
          <w:szCs w:val="20"/>
          <w:color w:val="auto"/>
        </w:rPr>
      </w:pPr>
    </w:p>
    <w:p>
      <w:pPr>
        <w:ind w:right="200" w:firstLine="510"/>
        <w:spacing w:after="0" w:line="256" w:lineRule="auto"/>
        <w:rPr>
          <w:sz w:val="20"/>
          <w:szCs w:val="20"/>
          <w:color w:val="auto"/>
        </w:rPr>
      </w:pPr>
      <w:r>
        <w:rPr>
          <w:rFonts w:ascii="Arial" w:cs="Arial" w:eastAsia="Arial" w:hAnsi="Arial"/>
          <w:sz w:val="18"/>
          <w:szCs w:val="18"/>
          <w:color w:val="auto"/>
        </w:rPr>
        <w:t>As of June 30, 2020, the conditions allowing holders of the 2025 Notes to convert have not been met as the conversion rights can only be exercised after September 30, 2020. Also, the last reported price of the Company's common stock for at least 20 trading days during the period of 30 consecutive trading days ending on the last trading day of the calendar quarter ended June 30, 2020 was not equal to or greater than 130% of the conversion price of $282.52 on each applicable trading day.</w:t>
      </w:r>
    </w:p>
    <w:p>
      <w:pPr>
        <w:spacing w:after="0" w:line="189" w:lineRule="exact"/>
        <w:rPr>
          <w:sz w:val="20"/>
          <w:szCs w:val="20"/>
          <w:color w:val="auto"/>
        </w:rPr>
      </w:pPr>
    </w:p>
    <w:p>
      <w:pPr>
        <w:ind w:right="660" w:firstLine="510"/>
        <w:spacing w:after="0" w:line="272" w:lineRule="auto"/>
        <w:rPr>
          <w:sz w:val="20"/>
          <w:szCs w:val="20"/>
          <w:color w:val="auto"/>
        </w:rPr>
      </w:pPr>
      <w:r>
        <w:rPr>
          <w:rFonts w:ascii="Arial" w:cs="Arial" w:eastAsia="Arial" w:hAnsi="Arial"/>
          <w:sz w:val="18"/>
          <w:szCs w:val="18"/>
          <w:color w:val="auto"/>
        </w:rPr>
        <w:t>The Warrants give the holders the option to purchase the Company’s common stock at $115.80 per share. If the market value per share of the Company’s common stock exceeds the $115.80 share price, the Warrants could have a dilutive effect.</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As of June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4"/>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4"/>
        </w:trPr>
        <w:tc>
          <w:tcPr>
            <w:tcW w:w="2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jc w:val="right"/>
              <w:ind w:right="16"/>
              <w:spacing w:after="0" w:line="154" w:lineRule="exact"/>
              <w:rPr>
                <w:sz w:val="20"/>
                <w:szCs w:val="20"/>
                <w:color w:val="auto"/>
              </w:rPr>
            </w:pPr>
            <w:r>
              <w:rPr>
                <w:rFonts w:ascii="Arial" w:cs="Arial" w:eastAsia="Arial" w:hAnsi="Arial"/>
                <w:sz w:val="14"/>
                <w:szCs w:val="14"/>
                <w:b w:val="1"/>
                <w:bCs w:val="1"/>
                <w:color w:val="auto"/>
                <w:w w:val="97"/>
              </w:rPr>
              <w:t>(in 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7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0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88"/>
              </w:rPr>
              <w:t>1,280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FF0FC"/>
          </w:tcPr>
          <w:p>
            <w:pPr>
              <w:spacing w:after="0"/>
              <w:rPr>
                <w:sz w:val="19"/>
                <w:szCs w:val="19"/>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8"/>
                <w:szCs w:val="18"/>
                <w:color w:val="auto"/>
              </w:rPr>
              <w:t>RSUs</w:t>
            </w:r>
          </w:p>
        </w:tc>
        <w:tc>
          <w:tcPr>
            <w:tcW w:w="3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jc w:val="right"/>
              <w:ind w:right="556"/>
              <w:spacing w:after="0"/>
              <w:rPr>
                <w:sz w:val="20"/>
                <w:szCs w:val="20"/>
                <w:color w:val="auto"/>
              </w:rPr>
            </w:pPr>
            <w:r>
              <w:rPr>
                <w:rFonts w:ascii="Arial" w:cs="Arial" w:eastAsia="Arial" w:hAnsi="Arial"/>
                <w:sz w:val="18"/>
                <w:szCs w:val="18"/>
                <w:color w:val="auto"/>
                <w:w w:val="88"/>
              </w:rPr>
              <w:t>1,865</w:t>
            </w:r>
          </w:p>
        </w:tc>
        <w:tc>
          <w:tcPr>
            <w:tcW w:w="840" w:type="dxa"/>
            <w:vAlign w:val="bottom"/>
          </w:tcPr>
          <w:p>
            <w:pPr>
              <w:jc w:val="right"/>
              <w:spacing w:after="0"/>
              <w:rPr>
                <w:sz w:val="20"/>
                <w:szCs w:val="20"/>
                <w:color w:val="auto"/>
              </w:rPr>
            </w:pPr>
            <w:r>
              <w:rPr>
                <w:rFonts w:ascii="Arial" w:cs="Arial" w:eastAsia="Arial" w:hAnsi="Arial"/>
                <w:sz w:val="18"/>
                <w:szCs w:val="18"/>
                <w:color w:val="auto"/>
              </w:rPr>
              <w:t>1,948</w:t>
            </w:r>
          </w:p>
        </w:tc>
        <w:tc>
          <w:tcPr>
            <w:tcW w:w="80" w:type="dxa"/>
            <w:vAlign w:val="bottom"/>
          </w:tcPr>
          <w:p>
            <w:pPr>
              <w:spacing w:after="0"/>
              <w:rPr>
                <w:sz w:val="19"/>
                <w:szCs w:val="19"/>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0"/>
              </w:rPr>
              <w:t>Conversion Option of the 2022</w:t>
            </w:r>
          </w:p>
        </w:tc>
        <w:tc>
          <w:tcPr>
            <w:tcW w:w="4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0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88"/>
              </w:rPr>
              <w:t>2,831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80" w:type="dxa"/>
            <w:vAlign w:val="bottom"/>
            <w:shd w:val="clear" w:color="auto" w:fill="CFF0FC"/>
          </w:tcPr>
          <w:p>
            <w:pPr>
              <w:spacing w:after="0"/>
              <w:rPr>
                <w:sz w:val="19"/>
                <w:szCs w:val="19"/>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8"/>
                <w:szCs w:val="18"/>
                <w:color w:val="auto"/>
                <w:w w:val="90"/>
              </w:rPr>
              <w:t>Conversion Option of the 2025</w:t>
            </w: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06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19" w:lineRule="exact"/>
        <w:rPr>
          <w:sz w:val="20"/>
          <w:szCs w:val="20"/>
          <w:color w:val="auto"/>
        </w:rPr>
      </w:pPr>
    </w:p>
    <w:p>
      <w:pPr>
        <w:ind w:right="40" w:firstLine="510"/>
        <w:spacing w:after="0" w:line="282"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62"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4" w:lineRule="exact"/>
        <w:rPr>
          <w:rFonts w:ascii="Arial" w:cs="Arial" w:eastAsia="Arial" w:hAnsi="Arial"/>
          <w:sz w:val="18"/>
          <w:szCs w:val="18"/>
          <w:color w:val="auto"/>
        </w:rPr>
      </w:pPr>
    </w:p>
    <w:p>
      <w:pPr>
        <w:ind w:left="1020" w:right="80" w:hanging="503"/>
        <w:spacing w:after="0" w:line="307"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44"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3" w:name="page14"/>
    <w:bookmarkEnd w:id="13"/>
    <w:p>
      <w:pPr>
        <w:ind w:right="240" w:firstLine="510"/>
        <w:spacing w:after="0" w:line="272"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June 30, 2020 and December 31, 2019:</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line="154" w:lineRule="exact"/>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4"/>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102,995</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102,995</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124,181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124,181</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849,438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849,438</w:t>
            </w:r>
          </w:p>
        </w:tc>
        <w:tc>
          <w:tcPr>
            <w:tcW w:w="100" w:type="dxa"/>
            <w:vAlign w:val="bottom"/>
            <w:shd w:val="clear" w:color="auto" w:fill="CFF0FC"/>
          </w:tcPr>
          <w:p>
            <w:pPr>
              <w:spacing w:after="0"/>
              <w:rPr>
                <w:sz w:val="19"/>
                <w:szCs w:val="19"/>
                <w:color w:val="auto"/>
              </w:rPr>
            </w:pPr>
          </w:p>
        </w:tc>
      </w:tr>
      <w:tr>
        <w:trPr>
          <w:trHeight w:val="227"/>
        </w:trPr>
        <w:tc>
          <w:tcPr>
            <w:tcW w:w="504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tcPr>
          <w:p>
            <w:pPr>
              <w:spacing w:after="0"/>
              <w:rPr>
                <w:sz w:val="19"/>
                <w:szCs w:val="19"/>
                <w:color w:val="auto"/>
              </w:rPr>
            </w:pPr>
          </w:p>
        </w:tc>
      </w:tr>
      <w:tr>
        <w:trPr>
          <w:trHeight w:val="221"/>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102,995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999,116</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1,102,111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6"/>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5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line="154" w:lineRule="exact"/>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4"/>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96,618</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96,618</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87,138</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87,138</w:t>
            </w: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FF0FC"/>
          </w:tcPr>
          <w:p>
            <w:pPr>
              <w:spacing w:after="0"/>
              <w:rPr>
                <w:sz w:val="19"/>
                <w:szCs w:val="19"/>
                <w:color w:val="auto"/>
              </w:rPr>
            </w:pPr>
          </w:p>
        </w:tc>
      </w:tr>
      <w:tr>
        <w:trPr>
          <w:trHeight w:val="228"/>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tcPr>
          <w:p>
            <w:pPr>
              <w:spacing w:after="0"/>
              <w:rPr>
                <w:sz w:val="19"/>
                <w:szCs w:val="19"/>
                <w:color w:val="auto"/>
              </w:rPr>
            </w:pPr>
          </w:p>
        </w:tc>
      </w:tr>
      <w:tr>
        <w:trPr>
          <w:trHeight w:val="221"/>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814,342</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Company considers all highly liquid investments purchased with a original maturity of three months or less to be cash equivalents. The fair value of the Company’s investments in certain money market funds is their face value and such instruments are classified as Level 1 and are included in cash and cash equivalents, and restricted cash (within prepaid expenses and other current assets and other long-term assets) on the consolidated balance sheets. At June 30, 2020 and December 31, 2019, our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92" w:lineRule="exact"/>
        <w:rPr>
          <w:sz w:val="20"/>
          <w:szCs w:val="20"/>
          <w:color w:val="auto"/>
        </w:rPr>
      </w:pPr>
    </w:p>
    <w:p>
      <w:pPr>
        <w:jc w:val="both"/>
        <w:ind w:right="140" w:firstLine="544"/>
        <w:spacing w:after="0" w:line="260" w:lineRule="auto"/>
        <w:rPr>
          <w:sz w:val="20"/>
          <w:szCs w:val="20"/>
          <w:color w:val="auto"/>
        </w:rPr>
      </w:pPr>
      <w:r>
        <w:rPr>
          <w:rFonts w:ascii="Arial" w:cs="Arial" w:eastAsia="Arial" w:hAnsi="Arial"/>
          <w:sz w:val="18"/>
          <w:szCs w:val="18"/>
          <w:color w:val="auto"/>
        </w:rPr>
        <w:t>As of June 30, 2020, the fair value of the 2022 Notes was $303.6 million and the fair value of the 2025 Notes was $492.1 million. The fair values were determined based on the quoted prices of the 2022 and 2025 Notes in an inactive market on the last trading day of the reporting period and have been classified as Level 2 within the fair value hierarchy.</w:t>
      </w:r>
    </w:p>
    <w:p>
      <w:pPr>
        <w:spacing w:after="0" w:line="185" w:lineRule="exact"/>
        <w:rPr>
          <w:sz w:val="20"/>
          <w:szCs w:val="20"/>
          <w:color w:val="auto"/>
        </w:rPr>
      </w:pPr>
    </w:p>
    <w:p>
      <w:pPr>
        <w:ind w:right="480" w:firstLine="510"/>
        <w:spacing w:after="0" w:line="272" w:lineRule="auto"/>
        <w:rPr>
          <w:sz w:val="20"/>
          <w:szCs w:val="20"/>
          <w:color w:val="auto"/>
        </w:rPr>
      </w:pPr>
      <w:r>
        <w:rPr>
          <w:rFonts w:ascii="Arial" w:cs="Arial" w:eastAsia="Arial" w:hAnsi="Arial"/>
          <w:sz w:val="18"/>
          <w:szCs w:val="18"/>
          <w:color w:val="auto"/>
        </w:rPr>
        <w:t>For certain other financial instruments, including accounts receivable, accounts payable, capital leases and other current liabilities, the carrying amounts approximate their fair value due to the relatively short maturity of these balances.</w:t>
      </w:r>
    </w:p>
    <w:p>
      <w:pPr>
        <w:spacing w:after="0" w:line="174" w:lineRule="exact"/>
        <w:rPr>
          <w:sz w:val="20"/>
          <w:szCs w:val="20"/>
          <w:color w:val="auto"/>
        </w:rPr>
      </w:pPr>
    </w:p>
    <w:p>
      <w:pPr>
        <w:ind w:right="280" w:firstLine="510"/>
        <w:spacing w:after="0" w:line="272" w:lineRule="auto"/>
        <w:rPr>
          <w:sz w:val="20"/>
          <w:szCs w:val="20"/>
          <w:color w:val="auto"/>
        </w:rPr>
      </w:pPr>
      <w:r>
        <w:rPr>
          <w:rFonts w:ascii="Arial" w:cs="Arial" w:eastAsia="Arial" w:hAnsi="Arial"/>
          <w:sz w:val="18"/>
          <w:szCs w:val="18"/>
          <w:color w:val="auto"/>
        </w:rPr>
        <w:t>Restricted cash is comprised of money market funds and certificates of deposit related to landlord guarantees for leased facilities. These restricted cash balances have been excluded from our cash and cash equivalents balance on our consolidated balance sheets.</w:t>
      </w:r>
    </w:p>
    <w:p>
      <w:pPr>
        <w:spacing w:after="0" w:line="174"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$5.2 million of strategic investments without readily determinable fair values at June 30, 2020 and $4.4 million of strategic investments without readily determinable fair values at December 31, 2019. These investments are included in other assets on the consolidated balance sheets. For the six months ended June 30, 2020, the Company recorded an impairment of $250 thousand.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June 30, 2020 and December 31, 2019.</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2"/>
              </w:rPr>
              <w:t>June 30, 2020</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2"/>
        </w:trPr>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2"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1"/>
                <w:szCs w:val="11"/>
                <w:color w:val="auto"/>
              </w:rPr>
            </w:pPr>
          </w:p>
        </w:tc>
      </w:t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8"/>
          </w:tcPr>
          <w:p>
            <w:pPr>
              <w:jc w:val="center"/>
              <w:ind w:right="120"/>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22,074</w:t>
            </w:r>
          </w:p>
        </w:tc>
        <w:tc>
          <w:tcPr>
            <w:tcW w:w="3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22,074</w:t>
            </w:r>
          </w:p>
        </w:tc>
        <w:tc>
          <w:tcPr>
            <w:tcW w:w="80" w:type="dxa"/>
            <w:vAlign w:val="bottom"/>
            <w:shd w:val="clear" w:color="auto" w:fill="CFF0FC"/>
          </w:tcPr>
          <w:p>
            <w:pPr>
              <w:spacing w:after="0"/>
              <w:rPr>
                <w:sz w:val="19"/>
                <w:szCs w:val="19"/>
                <w:color w:val="auto"/>
              </w:rPr>
            </w:pPr>
          </w:p>
        </w:tc>
      </w:tr>
      <w:tr>
        <w:trPr>
          <w:trHeight w:val="227"/>
        </w:trPr>
        <w:tc>
          <w:tcPr>
            <w:tcW w:w="3420" w:type="dxa"/>
            <w:vAlign w:val="bottom"/>
          </w:tcPr>
          <w:p>
            <w:pPr>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123,219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124,181</w:t>
            </w:r>
          </w:p>
        </w:tc>
        <w:tc>
          <w:tcPr>
            <w:tcW w:w="80" w:type="dxa"/>
            <w:vAlign w:val="bottom"/>
          </w:tcPr>
          <w:p>
            <w:pPr>
              <w:spacing w:after="0"/>
              <w:rPr>
                <w:sz w:val="19"/>
                <w:szCs w:val="19"/>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849,328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849,438</w:t>
            </w:r>
          </w:p>
        </w:tc>
        <w:tc>
          <w:tcPr>
            <w:tcW w:w="80" w:type="dxa"/>
            <w:vAlign w:val="bottom"/>
            <w:shd w:val="clear" w:color="auto" w:fill="CFF0FC"/>
          </w:tcPr>
          <w:p>
            <w:pPr>
              <w:spacing w:after="0"/>
              <w:rPr>
                <w:sz w:val="19"/>
                <w:szCs w:val="19"/>
                <w:color w:val="auto"/>
              </w:rPr>
            </w:pPr>
          </w:p>
        </w:tc>
      </w:tr>
      <w:tr>
        <w:trPr>
          <w:trHeight w:val="228"/>
        </w:trPr>
        <w:tc>
          <w:tcPr>
            <w:tcW w:w="34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r>
      <w:tr>
        <w:trPr>
          <w:trHeight w:val="221"/>
        </w:trPr>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995,015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996,087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3"/>
        </w:trPr>
        <w:tc>
          <w:tcPr>
            <w:tcW w:w="3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2"/>
        </w:trPr>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2"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00"/>
              <w:spacing w:after="0" w:line="132"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ind w:left="80"/>
              <w:spacing w:after="0" w:line="132" w:lineRule="exact"/>
              <w:rPr>
                <w:sz w:val="20"/>
                <w:szCs w:val="20"/>
                <w:color w:val="auto"/>
              </w:rPr>
            </w:pPr>
            <w:r>
              <w:rPr>
                <w:rFonts w:ascii="Arial" w:cs="Arial" w:eastAsia="Arial" w:hAnsi="Arial"/>
                <w:sz w:val="14"/>
                <w:szCs w:val="14"/>
                <w:b w:val="1"/>
                <w:bCs w:val="1"/>
                <w:color w:val="auto"/>
              </w:rPr>
              <w:t>Aggregate</w:t>
            </w:r>
          </w:p>
        </w:tc>
        <w:tc>
          <w:tcPr>
            <w:tcW w:w="100" w:type="dxa"/>
            <w:vAlign w:val="bottom"/>
            <w:gridSpan w:val="2"/>
          </w:tcPr>
          <w:p>
            <w:pPr>
              <w:spacing w:after="0"/>
              <w:rPr>
                <w:sz w:val="11"/>
                <w:szCs w:val="11"/>
                <w:color w:val="auto"/>
              </w:rPr>
            </w:pPr>
          </w:p>
        </w:tc>
      </w:t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3"/>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8"/>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3420" w:type="dxa"/>
            <w:vAlign w:val="bottom"/>
          </w:tcPr>
          <w:p>
            <w:pPr>
              <w:spacing w:after="0"/>
              <w:rPr>
                <w:sz w:val="20"/>
                <w:szCs w:val="20"/>
                <w:color w:val="auto"/>
              </w:rPr>
            </w:pPr>
            <w:r>
              <w:rPr>
                <w:rFonts w:ascii="Arial" w:cs="Arial" w:eastAsia="Arial" w:hAnsi="Arial"/>
                <w:sz w:val="18"/>
                <w:szCs w:val="18"/>
                <w:color w:val="auto"/>
              </w:rPr>
              <w:t>Commercial paper</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77,214</w:t>
            </w:r>
          </w:p>
        </w:tc>
        <w:tc>
          <w:tcPr>
            <w:tcW w:w="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8"/>
        </w:trPr>
        <w:tc>
          <w:tcPr>
            <w:tcW w:w="34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581,066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160" w:firstLine="510"/>
        <w:spacing w:after="0" w:line="298" w:lineRule="auto"/>
        <w:rPr>
          <w:sz w:val="20"/>
          <w:szCs w:val="20"/>
          <w:color w:val="auto"/>
        </w:rPr>
      </w:pPr>
      <w:r>
        <w:rPr>
          <w:rFonts w:ascii="Arial" w:cs="Arial" w:eastAsia="Arial" w:hAnsi="Arial"/>
          <w:sz w:val="16"/>
          <w:szCs w:val="16"/>
          <w:color w:val="auto"/>
        </w:rPr>
        <w:t>For all of our securities for which the amortized cost basis was greater than the fair value at June 30, 2020,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at June 30, 2020 and December 31, 2019 are as follows:</w:t>
      </w:r>
    </w:p>
    <w:p>
      <w:pPr>
        <w:sectPr>
          <w:pgSz w:w="11900" w:h="16838" w:orient="portrait"/>
          <w:cols w:equalWidth="0" w:num="1">
            <w:col w:w="11240"/>
          </w:cols>
          <w:pgMar w:left="320" w:top="554" w:right="339" w:bottom="1440" w:gutter="0" w:footer="0" w:header="0"/>
        </w:sectPr>
      </w:pPr>
    </w:p>
    <w:p>
      <w:pPr>
        <w:spacing w:after="0" w:line="80"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June 30, 2020</w:t>
      </w:r>
    </w:p>
    <w:p>
      <w:pPr>
        <w:spacing w:after="0" w:line="9" w:lineRule="exact"/>
        <w:rPr>
          <w:sz w:val="20"/>
          <w:szCs w:val="20"/>
          <w:color w:val="auto"/>
        </w:rPr>
      </w:pPr>
    </w:p>
    <w:tbl>
      <w:tblPr>
        <w:tblLayout w:type="fixed"/>
        <w:tblInd w:w="5700" w:type="dxa"/>
        <w:tblCellMar>
          <w:top w:w="0" w:type="dxa"/>
          <w:left w:w="0" w:type="dxa"/>
          <w:bottom w:w="0" w:type="dxa"/>
          <w:right w:w="0" w:type="dxa"/>
        </w:tblCellMar>
      </w:tblPr>
      <w:tr>
        <w:trPr>
          <w:trHeight w:val="132"/>
        </w:trPr>
        <w:tc>
          <w:tcPr>
            <w:tcW w:w="128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60" w:type="dxa"/>
            <w:vAlign w:val="bottom"/>
            <w:tcBorders>
              <w:top w:val="single" w:sz="8" w:color="auto"/>
            </w:tcBorders>
          </w:tcPr>
          <w:p>
            <w:pPr>
              <w:ind w:left="34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60" w:type="dxa"/>
            <w:vAlign w:val="bottom"/>
          </w:tcPr>
          <w:p>
            <w:pPr>
              <w:ind w:left="32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-8890</wp:posOffset>
            </wp:positionV>
            <wp:extent cx="1549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ind w:left="64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December 31,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2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20" w:type="dxa"/>
            <w:vAlign w:val="bottom"/>
            <w:tcBorders>
              <w:top w:val="single" w:sz="8" w:color="auto"/>
            </w:tcBorders>
          </w:tcPr>
          <w:p>
            <w:pPr>
              <w:ind w:left="30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4897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ind w:left="7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8140" w:space="100"/>
            <w:col w:w="3000"/>
          </w:cols>
          <w:pgMar w:left="320" w:top="554" w:right="339" w:bottom="1440" w:gutter="0" w:footer="0" w:header="0"/>
          <w:type w:val="continuous"/>
        </w:sectPr>
      </w:pPr>
    </w:p>
    <w:tbl>
      <w:tblPr>
        <w:tblLayout w:type="fixed"/>
        <w:tblInd w:w="580" w:type="dxa"/>
        <w:tblCellMar>
          <w:top w:w="0" w:type="dxa"/>
          <w:left w:w="0" w:type="dxa"/>
          <w:bottom w:w="0" w:type="dxa"/>
          <w:right w:w="0" w:type="dxa"/>
        </w:tblCellMar>
      </w:tblPr>
      <w:tr>
        <w:trPr>
          <w:trHeight w:val="208"/>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76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934,410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934,992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691,556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691,834</w:t>
            </w:r>
          </w:p>
        </w:tc>
        <w:tc>
          <w:tcPr>
            <w:tcW w:w="100" w:type="dxa"/>
            <w:vAlign w:val="bottom"/>
            <w:shd w:val="clear" w:color="auto" w:fill="CFF0FC"/>
          </w:tcPr>
          <w:p>
            <w:pPr>
              <w:spacing w:after="0"/>
              <w:rPr>
                <w:sz w:val="18"/>
                <w:szCs w:val="18"/>
                <w:color w:val="auto"/>
              </w:rPr>
            </w:pPr>
          </w:p>
        </w:tc>
      </w:tr>
      <w:tr>
        <w:trPr>
          <w:trHeight w:val="228"/>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1 year through 2 years</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61,095</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tcBorders>
              <w:bottom w:val="single" w:sz="8" w:color="CFF0FC"/>
            </w:tcBorders>
          </w:tcPr>
          <w:p>
            <w:pPr>
              <w:spacing w:after="0"/>
              <w:rPr>
                <w:sz w:val="19"/>
                <w:szCs w:val="19"/>
                <w:color w:val="auto"/>
              </w:rPr>
            </w:pPr>
          </w:p>
        </w:tc>
      </w:tr>
      <w:tr>
        <w:trPr>
          <w:trHeight w:val="221"/>
        </w:trPr>
        <w:tc>
          <w:tcPr>
            <w:tcW w:w="3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995,015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996,087</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226" w:lineRule="exact"/>
        <w:rPr>
          <w:sz w:val="20"/>
          <w:szCs w:val="20"/>
          <w:color w:val="auto"/>
        </w:rPr>
      </w:pPr>
    </w:p>
    <w:p>
      <w:pPr>
        <w:ind w:firstLine="510"/>
        <w:spacing w:after="0" w:line="302"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statement of cash flows for the three months ended June 30,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June 30, 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0"/>
              </w:rPr>
              <w:t>June 30, 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201,086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238,080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Restricted cash, included in prepaid expenses and 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included in other assets</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204,115</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245,602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2019</w:t>
            </w:r>
          </w:p>
        </w:tc>
      </w:tr>
      <w:tr>
        <w:trPr>
          <w:trHeight w:val="154"/>
        </w:trPr>
        <w:tc>
          <w:tcPr>
            <w:tcW w:w="48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4"/>
          </w:tcPr>
          <w:p>
            <w:pPr>
              <w:jc w:val="right"/>
              <w:ind w:right="932"/>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8"/>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13,028</w:t>
            </w:r>
          </w:p>
        </w:tc>
        <w:tc>
          <w:tcPr>
            <w:tcW w:w="80" w:type="dxa"/>
            <w:vAlign w:val="bottom"/>
            <w:shd w:val="clear" w:color="auto" w:fill="CFF0FC"/>
          </w:tcPr>
          <w:p>
            <w:pPr>
              <w:spacing w:after="0"/>
              <w:rPr>
                <w:sz w:val="19"/>
                <w:szCs w:val="19"/>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13,829</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14,319</w:t>
            </w:r>
          </w:p>
        </w:tc>
        <w:tc>
          <w:tcPr>
            <w:tcW w:w="80" w:type="dxa"/>
            <w:vAlign w:val="bottom"/>
            <w:shd w:val="clear" w:color="auto" w:fill="CFF0FC"/>
          </w:tcPr>
          <w:p>
            <w:pPr>
              <w:spacing w:after="0"/>
              <w:rPr>
                <w:sz w:val="19"/>
                <w:szCs w:val="19"/>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75,244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56,618</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Equipment under finance lease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80" w:type="dxa"/>
            <w:vAlign w:val="bottom"/>
            <w:shd w:val="clear" w:color="auto" w:fill="CFF0FC"/>
          </w:tcPr>
          <w:p>
            <w:pPr>
              <w:spacing w:after="0"/>
              <w:rPr>
                <w:sz w:val="19"/>
                <w:szCs w:val="19"/>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Internal-use software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7,770</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80" w:type="dxa"/>
            <w:vAlign w:val="bottom"/>
            <w:shd w:val="clear" w:color="auto" w:fill="CFF0FC"/>
          </w:tcPr>
          <w:p>
            <w:pPr>
              <w:spacing w:after="0"/>
              <w:rPr>
                <w:sz w:val="19"/>
                <w:szCs w:val="19"/>
                <w:color w:val="auto"/>
              </w:rPr>
            </w:pPr>
          </w:p>
        </w:tc>
      </w:tr>
      <w:tr>
        <w:trPr>
          <w:trHeight w:val="221"/>
        </w:trPr>
        <w:tc>
          <w:tcPr>
            <w:tcW w:w="488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148,544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132,728</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(58,551)</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(49,079)</w:t>
            </w:r>
          </w:p>
        </w:tc>
      </w:tr>
      <w:tr>
        <w:trPr>
          <w:trHeight w:val="221"/>
        </w:trPr>
        <w:tc>
          <w:tcPr>
            <w:tcW w:w="48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83,649</w:t>
            </w:r>
          </w:p>
        </w:tc>
        <w:tc>
          <w:tcPr>
            <w:tcW w:w="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20" w:firstLine="510"/>
        <w:spacing w:after="0" w:line="336" w:lineRule="auto"/>
        <w:rPr>
          <w:sz w:val="20"/>
          <w:szCs w:val="20"/>
          <w:color w:val="auto"/>
        </w:rPr>
      </w:pPr>
      <w:r>
        <w:rPr>
          <w:rFonts w:ascii="Arial" w:cs="Arial" w:eastAsia="Arial" w:hAnsi="Arial"/>
          <w:sz w:val="16"/>
          <w:szCs w:val="16"/>
          <w:color w:val="auto"/>
        </w:rPr>
        <w:t>Depreciation and amortization expense on property and equipment was $4.9 million for the three months ended June 30, 2020, $9.6 million for the six months ended June 30, 2020, $3.7 million for the three months ended June 30, 2019 and $7.4 million for the six months ended June 30,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Development Costs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2019</w:t>
            </w:r>
          </w:p>
        </w:tc>
      </w:tr>
      <w:tr>
        <w:trPr>
          <w:trHeight w:val="154"/>
        </w:trPr>
        <w:tc>
          <w:tcPr>
            <w:tcW w:w="3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4"/>
          </w:tcPr>
          <w:p>
            <w:pPr>
              <w:jc w:val="right"/>
              <w:ind w:right="1035"/>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8"/>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9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61,641</w:t>
            </w:r>
          </w:p>
        </w:tc>
        <w:tc>
          <w:tcPr>
            <w:tcW w:w="80" w:type="dxa"/>
            <w:vAlign w:val="bottom"/>
            <w:shd w:val="clear" w:color="auto" w:fill="CFF0FC"/>
          </w:tcPr>
          <w:p>
            <w:pPr>
              <w:spacing w:after="0"/>
              <w:rPr>
                <w:sz w:val="19"/>
                <w:szCs w:val="19"/>
                <w:color w:val="auto"/>
              </w:rPr>
            </w:pPr>
          </w:p>
        </w:tc>
      </w:tr>
      <w:tr>
        <w:trPr>
          <w:trHeight w:val="228"/>
        </w:trPr>
        <w:tc>
          <w:tcPr>
            <w:tcW w:w="39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(51,862)</w:t>
            </w: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(44,848)</w:t>
            </w:r>
          </w:p>
        </w:tc>
      </w:tr>
      <w:tr>
        <w:trPr>
          <w:trHeight w:val="221"/>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0" w:firstLine="510"/>
        <w:spacing w:after="0" w:line="272"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are amortized on a straight-line basis over their estimated useful life of two years.</w:t>
      </w:r>
    </w:p>
    <w:p>
      <w:pPr>
        <w:spacing w:after="0" w:line="249" w:lineRule="exact"/>
        <w:rPr>
          <w:sz w:val="20"/>
          <w:szCs w:val="20"/>
          <w:color w:val="auto"/>
        </w:rPr>
      </w:pPr>
    </w:p>
    <w:p>
      <w:pPr>
        <w:ind w:right="280" w:firstLine="510"/>
        <w:spacing w:after="0" w:line="272" w:lineRule="auto"/>
        <w:rPr>
          <w:sz w:val="20"/>
          <w:szCs w:val="20"/>
          <w:color w:val="auto"/>
        </w:rPr>
      </w:pPr>
      <w:r>
        <w:rPr>
          <w:rFonts w:ascii="Arial" w:cs="Arial" w:eastAsia="Arial" w:hAnsi="Arial"/>
          <w:sz w:val="18"/>
          <w:szCs w:val="18"/>
          <w:color w:val="auto"/>
        </w:rPr>
        <w:t>The following table summarizes software development costs capitalized, stock-based compensation included in capitalized software development costs, and amortization of capitalized software development costs.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54"/>
        </w:trPr>
        <w:tc>
          <w:tcPr>
            <w:tcW w:w="3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78"/>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4"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8"/>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5"/>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4"/>
        </w:trPr>
        <w:tc>
          <w:tcPr>
            <w:tcW w:w="3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3"/>
          </w:tcPr>
          <w:p>
            <w:pPr>
              <w:jc w:val="right"/>
              <w:ind w:right="435"/>
              <w:spacing w:after="0" w:line="154"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right"/>
              <w:ind w:right="355"/>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8"/>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Software development costs capitalized</w:t>
            </w:r>
          </w:p>
        </w:tc>
        <w:tc>
          <w:tcPr>
            <w:tcW w:w="38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w:t>
            </w:r>
          </w:p>
        </w:tc>
        <w:tc>
          <w:tcPr>
            <w:tcW w:w="2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36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80" w:type="dxa"/>
            <w:vAlign w:val="bottom"/>
            <w:shd w:val="clear" w:color="auto" w:fill="CFF0FC"/>
          </w:tcPr>
          <w:p>
            <w:pPr>
              <w:spacing w:after="0"/>
              <w:rPr>
                <w:sz w:val="19"/>
                <w:szCs w:val="19"/>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8"/>
                <w:szCs w:val="18"/>
                <w:color w:val="auto"/>
                <w:w w:val="93"/>
              </w:rPr>
              <w:t>Stock-based compensation included in capitalized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760" w:type="dxa"/>
            <w:vAlign w:val="bottom"/>
          </w:tcPr>
          <w:p>
            <w:pPr>
              <w:ind w:left="120"/>
              <w:spacing w:after="0"/>
              <w:rPr>
                <w:sz w:val="20"/>
                <w:szCs w:val="20"/>
                <w:color w:val="auto"/>
              </w:rPr>
            </w:pPr>
            <w:r>
              <w:rPr>
                <w:rFonts w:ascii="Arial" w:cs="Arial" w:eastAsia="Arial" w:hAnsi="Arial"/>
                <w:sz w:val="18"/>
                <w:szCs w:val="18"/>
                <w:color w:val="auto"/>
              </w:rPr>
              <w:t>software development costs</w:t>
            </w:r>
          </w:p>
        </w:tc>
        <w:tc>
          <w:tcPr>
            <w:tcW w:w="3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607</w:t>
            </w:r>
          </w:p>
        </w:tc>
        <w:tc>
          <w:tcPr>
            <w:tcW w:w="3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9"/>
                <w:szCs w:val="19"/>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5"/>
              </w:rPr>
              <w:t>Amortization of capitalized software development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3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costs</w:t>
            </w:r>
          </w:p>
        </w:tc>
        <w:tc>
          <w:tcPr>
            <w:tcW w:w="38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2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36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115"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6" w:name="page17"/>
    <w:bookmarkEnd w:id="16"/>
    <w:p>
      <w:pPr>
        <w:ind w:firstLine="510"/>
        <w:spacing w:after="0" w:line="284" w:lineRule="auto"/>
        <w:rPr>
          <w:sz w:val="20"/>
          <w:szCs w:val="20"/>
          <w:color w:val="auto"/>
        </w:rPr>
      </w:pPr>
      <w:r>
        <w:rPr>
          <w:rFonts w:ascii="Arial" w:cs="Arial" w:eastAsia="Arial" w:hAnsi="Arial"/>
          <w:sz w:val="16"/>
          <w:szCs w:val="16"/>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If the Company undergoes a fundamental change prior to the maturity date, holders of the notes may require the Company to repurchase for cash all or any portion of their notes at a repurchase price equal to 100% of the principal amount of the notes to be repurchased, plus accrued and unpaid interest to, but excluding, the fundamental change repurchase date. In addition, if specific corporate events occur prior to the applicable maturity date or if the Company delivers a notice of redemption, the Company will increase the conversion rate for a holder who elects to convert their notes in connection with such a corporate event or convert its 2025 Notes called for redemption in connection with such notice of redemption, as permitted by the Indenture. As of June 30, 2020, the conditions allowing holders of the 2025 Notes to convert have not been met. The 2025 Notes are therefore not convertible during the three or six months ended June 30, 2020. The 2025 Notes are classified as long-term debt.</w:t>
      </w:r>
    </w:p>
    <w:p>
      <w:pPr>
        <w:spacing w:after="0" w:line="62" w:lineRule="exact"/>
        <w:rPr>
          <w:sz w:val="20"/>
          <w:szCs w:val="20"/>
          <w:color w:val="auto"/>
        </w:rPr>
      </w:pPr>
    </w:p>
    <w:p>
      <w:pPr>
        <w:ind w:right="100" w:firstLine="510"/>
        <w:spacing w:after="0" w:line="252" w:lineRule="auto"/>
        <w:rPr>
          <w:sz w:val="20"/>
          <w:szCs w:val="20"/>
          <w:color w:val="auto"/>
        </w:rPr>
      </w:pPr>
      <w:r>
        <w:rPr>
          <w:rFonts w:ascii="Arial" w:cs="Arial" w:eastAsia="Arial" w:hAnsi="Arial"/>
          <w:sz w:val="18"/>
          <w:szCs w:val="18"/>
          <w:color w:val="auto"/>
        </w:rPr>
        <w:t>In accounting for the issuance of the 2025 Notes, the Company separated the 2025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$98.7 million and was determined by deducting the fair value of the liability component from the par value of the 2025 Notes. The equity component is recorded in additional paid-in capital in the consolidated balance sheets and is not remeasured as long as it continues to meet the conditions for equity classification. The excess of the principal amount of the liability component over its carrying amount (the "Debt Discount") is amortized to interest expense at an effective interest rate of 5.71% over the contractual term of the 2025 Notes.</w:t>
      </w:r>
    </w:p>
    <w:p>
      <w:pPr>
        <w:spacing w:after="0" w:line="87" w:lineRule="exact"/>
        <w:rPr>
          <w:sz w:val="20"/>
          <w:szCs w:val="20"/>
          <w:color w:val="auto"/>
        </w:rPr>
      </w:pPr>
    </w:p>
    <w:p>
      <w:pPr>
        <w:ind w:right="100" w:firstLine="510"/>
        <w:spacing w:after="0" w:line="276" w:lineRule="auto"/>
        <w:rPr>
          <w:sz w:val="20"/>
          <w:szCs w:val="20"/>
          <w:color w:val="auto"/>
        </w:rPr>
      </w:pPr>
      <w:r>
        <w:rPr>
          <w:rFonts w:ascii="Arial" w:cs="Arial" w:eastAsia="Arial" w:hAnsi="Arial"/>
          <w:sz w:val="17"/>
          <w:szCs w:val="17"/>
          <w:color w:val="auto"/>
        </w:rPr>
        <w:t>In accounting for the debt issuance costs of $9.9 million related to the 2025 Notes, the Company allocated the total amount incurred to the liability and equity components of the 2025 Notes based on their relative values. Issuance costs attributable to the liability component were $7.8 million and will be amortized to interest expense using the effective interest method over the contractual terms of the 2025 Notes. Issuance costs attributable to the equity component were $2.1 million and are netted with the equity component of the 2025 Notes in stockholders’ equity.</w:t>
      </w:r>
    </w:p>
    <w:p>
      <w:pPr>
        <w:spacing w:after="0" w:line="66" w:lineRule="exact"/>
        <w:rPr>
          <w:sz w:val="20"/>
          <w:szCs w:val="20"/>
          <w:color w:val="auto"/>
        </w:rPr>
      </w:pPr>
    </w:p>
    <w:p>
      <w:pPr>
        <w:ind w:right="380" w:firstLine="510"/>
        <w:spacing w:after="0" w:line="307" w:lineRule="auto"/>
        <w:rPr>
          <w:sz w:val="20"/>
          <w:szCs w:val="20"/>
          <w:color w:val="auto"/>
        </w:rPr>
      </w:pPr>
      <w:r>
        <w:rPr>
          <w:rFonts w:ascii="Arial" w:cs="Arial" w:eastAsia="Arial" w:hAnsi="Arial"/>
          <w:sz w:val="16"/>
          <w:szCs w:val="16"/>
          <w:color w:val="auto"/>
        </w:rPr>
        <w:t>The difference in the book and tax allocation between the liability and equity components of the 2025 Notes resulted in a difference between the carrying amount and tax basis of the 2025 Notes. This taxable temporary difference resulted in the Company recognizing a deferred tax liability and a corresponding reduction in the Company's valuation allowance on its US deferred tax assets, resulting in no net deferred tax impact.</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 June 30, 2020</w:t>
            </w:r>
          </w:p>
        </w:tc>
        <w:tc>
          <w:tcPr>
            <w:tcW w:w="4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As of December 31, 2019</w:t>
            </w:r>
          </w:p>
        </w:tc>
      </w:tr>
      <w:tr>
        <w:trPr>
          <w:trHeight w:val="220"/>
        </w:trPr>
        <w:tc>
          <w:tcPr>
            <w:tcW w:w="3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3060" w:type="dxa"/>
            <w:vAlign w:val="bottom"/>
          </w:tcPr>
          <w:p>
            <w:pPr>
              <w:spacing w:after="0"/>
              <w:rPr>
                <w:sz w:val="20"/>
                <w:szCs w:val="20"/>
                <w:color w:val="auto"/>
              </w:rPr>
            </w:pPr>
            <w:r>
              <w:rPr>
                <w:rFonts w:ascii="Arial" w:cs="Arial" w:eastAsia="Arial" w:hAnsi="Arial"/>
                <w:sz w:val="18"/>
                <w:szCs w:val="18"/>
                <w:color w:val="auto"/>
              </w:rPr>
              <w:t>Principal</w:t>
            </w:r>
          </w:p>
        </w:tc>
        <w:tc>
          <w:tcPr>
            <w:tcW w:w="13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19"/>
                <w:szCs w:val="19"/>
                <w:color w:val="auto"/>
              </w:rPr>
            </w:pPr>
          </w:p>
        </w:tc>
        <w:tc>
          <w:tcPr>
            <w:tcW w:w="800" w:type="dxa"/>
            <w:vAlign w:val="bottom"/>
            <w:gridSpan w:val="2"/>
          </w:tcPr>
          <w:p>
            <w:pPr>
              <w:jc w:val="right"/>
              <w:ind w:right="608"/>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(97,512)</w:t>
            </w: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28"/>
        </w:trPr>
        <w:tc>
          <w:tcPr>
            <w:tcW w:w="3060" w:type="dxa"/>
            <w:vAlign w:val="bottom"/>
          </w:tcPr>
          <w:p>
            <w:pPr>
              <w:spacing w:after="0"/>
              <w:rPr>
                <w:sz w:val="20"/>
                <w:szCs w:val="20"/>
                <w:color w:val="auto"/>
              </w:rPr>
            </w:pPr>
            <w:r>
              <w:rPr>
                <w:rFonts w:ascii="Arial" w:cs="Arial" w:eastAsia="Arial" w:hAnsi="Arial"/>
                <w:sz w:val="18"/>
                <w:szCs w:val="18"/>
                <w:color w:val="auto"/>
              </w:rPr>
              <w:t>Unamortized issuance costs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(7,662)</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21"/>
        </w:trPr>
        <w:tc>
          <w:tcPr>
            <w:tcW w:w="3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equity component of the 2025 Notes is as follows: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 June 30, 2020</w:t>
            </w:r>
          </w:p>
        </w:tc>
        <w:tc>
          <w:tcPr>
            <w:tcW w:w="40" w:type="dxa"/>
            <w:vAlign w:val="bottom"/>
          </w:tcPr>
          <w:p>
            <w:pPr>
              <w:spacing w:after="0"/>
              <w:rPr>
                <w:sz w:val="14"/>
                <w:szCs w:val="14"/>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 of December 31, 2019</w:t>
            </w:r>
          </w:p>
        </w:tc>
      </w:tr>
      <w:tr>
        <w:trPr>
          <w:trHeight w:val="235"/>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100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28"/>
        </w:trPr>
        <w:tc>
          <w:tcPr>
            <w:tcW w:w="3360" w:type="dxa"/>
            <w:vAlign w:val="bottom"/>
          </w:tcPr>
          <w:p>
            <w:pPr>
              <w:spacing w:after="0"/>
              <w:rPr>
                <w:sz w:val="20"/>
                <w:szCs w:val="20"/>
                <w:color w:val="auto"/>
              </w:rPr>
            </w:pPr>
            <w:r>
              <w:rPr>
                <w:rFonts w:ascii="Arial" w:cs="Arial" w:eastAsia="Arial" w:hAnsi="Arial"/>
                <w:sz w:val="18"/>
                <w:szCs w:val="18"/>
                <w:color w:val="auto"/>
              </w:rPr>
              <w:t>Issuance costs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(2,120)</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21"/>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0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related to the 2025 Notes is as follows: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7" w:name="page18"/>
    <w:bookmarkEnd w:id="17"/>
    <w:p>
      <w:pPr>
        <w:ind w:left="48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20320</wp:posOffset>
            </wp:positionV>
            <wp:extent cx="15919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97" w:lineRule="exact"/>
        <w:rPr>
          <w:sz w:val="20"/>
          <w:szCs w:val="20"/>
          <w:color w:val="auto"/>
        </w:rPr>
      </w:pPr>
    </w:p>
    <w:p>
      <w:pPr>
        <w:ind w:left="5020"/>
        <w:spacing w:after="0"/>
        <w:tabs>
          <w:tab w:leader="none" w:pos="6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5715</wp:posOffset>
            </wp:positionV>
            <wp:extent cx="3422015" cy="161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2015" cy="161925"/>
                    </a:xfrm>
                    <a:prstGeom prst="rect">
                      <a:avLst/>
                    </a:prstGeom>
                    <a:noFill/>
                  </pic:spPr>
                </pic:pic>
              </a:graphicData>
            </a:graphic>
          </wp:anchor>
        </w:drawing>
      </w:r>
    </w:p>
    <w:p>
      <w:pPr>
        <w:spacing w:after="0" w:line="74"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20320</wp:posOffset>
            </wp:positionV>
            <wp:extent cx="1464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97"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5715</wp:posOffset>
            </wp:positionV>
            <wp:extent cx="1506855" cy="161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06855" cy="161925"/>
                    </a:xfrm>
                    <a:prstGeom prst="rect">
                      <a:avLst/>
                    </a:prstGeom>
                    <a:noFill/>
                  </pic:spPr>
                </pic:pic>
              </a:graphicData>
            </a:graphic>
          </wp:anchor>
        </w:drawing>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(in thousands)</w:t>
      </w:r>
    </w:p>
    <w:p>
      <w:pPr>
        <w:spacing w:after="0" w:line="24" w:lineRule="exact"/>
        <w:rPr>
          <w:sz w:val="20"/>
          <w:szCs w:val="20"/>
          <w:color w:val="auto"/>
        </w:rPr>
      </w:pPr>
    </w:p>
    <w:p>
      <w:pPr>
        <w:sectPr>
          <w:pgSz w:w="11900" w:h="16838" w:orient="portrait"/>
          <w:cols w:equalWidth="0" w:num="2">
            <w:col w:w="6760" w:space="720"/>
            <w:col w:w="3760"/>
          </w:cols>
          <w:pgMar w:left="320" w:top="425" w:right="339" w:bottom="1440" w:gutter="0" w:footer="0" w:header="0"/>
        </w:sectPr>
      </w:pPr>
    </w:p>
    <w:tbl>
      <w:tblPr>
        <w:tblLayout w:type="fixed"/>
        <w:tblInd w:w="1700" w:type="dxa"/>
        <w:tblCellMar>
          <w:top w:w="0" w:type="dxa"/>
          <w:left w:w="0" w:type="dxa"/>
          <w:bottom w:w="0" w:type="dxa"/>
          <w:right w:w="0" w:type="dxa"/>
        </w:tblCellMar>
      </w:tblPr>
      <w:tr>
        <w:trPr>
          <w:trHeight w:val="226"/>
        </w:trPr>
        <w:tc>
          <w:tcPr>
            <w:tcW w:w="2820" w:type="dxa"/>
            <w:vAlign w:val="bottom"/>
          </w:tcPr>
          <w:p>
            <w:pPr>
              <w:spacing w:after="0"/>
              <w:rPr>
                <w:sz w:val="20"/>
                <w:szCs w:val="20"/>
                <w:color w:val="auto"/>
              </w:rPr>
            </w:pPr>
            <w:r>
              <w:rPr>
                <w:rFonts w:ascii="Arial" w:cs="Arial" w:eastAsia="Arial" w:hAnsi="Arial"/>
                <w:sz w:val="18"/>
                <w:szCs w:val="18"/>
                <w:color w:val="auto"/>
              </w:rPr>
              <w:t>Contractual interest expense</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41"/>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4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r>
      <w:tr>
        <w:trPr>
          <w:trHeight w:val="240"/>
        </w:trPr>
        <w:tc>
          <w:tcPr>
            <w:tcW w:w="2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issuance costs</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FF0FC"/>
            </w:tcBorders>
          </w:tcPr>
          <w:p>
            <w:pPr>
              <w:spacing w:after="0"/>
              <w:rPr>
                <w:sz w:val="20"/>
                <w:szCs w:val="20"/>
                <w:color w:val="auto"/>
              </w:rPr>
            </w:pPr>
          </w:p>
        </w:tc>
      </w:tr>
      <w:tr>
        <w:trPr>
          <w:trHeight w:val="23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expense</w:t>
            </w: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0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Capped Call Options settle in components commencing on April 16, 2025 and are subject to either adjustment or termination upon the occurrence of specified extraordinary events affecting the Company, including a merger event; a tender offer; and a nationalization, insolvency or delisting involving the Company. In addition, the Capped Call Options are subject to certain specified additional disruption events that may give rise to a termination of the Capped Call Options, including changes in law, insolvency filings, and hedging disruptions. Since the transaction meets certain accounting criteria, the $50.6 million paid for the Capped Call Options is recorded in stockholders’ equity as a reduction in additional paid-in capital and are not accounted for as separate derivative financial instruments.</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115"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In May 2017, the Company issued $350 million aggregate principal amount of 0.25% convertible senior notes due June 1, 2022 (the “2022 Notes”) in a private offering and an additional $50 million aggregate principal amount of such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w:t>
      </w:r>
    </w:p>
    <w:p>
      <w:pPr>
        <w:spacing w:after="0" w:line="51"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Each $1,000 principal amount of the 2022 Notes are currently convertible into 10.5519 shares of the Company’s common stock (the “Conversion Option of the 2022 Notes”), which is equivalent to an initial conversion price of approximately $94.77 per share, subject to adjustment upon the occurrence of specified events. On or after February 1, 2022 until the close of business on the second scheduled trading day immediately preceding the maturity date, holders may convert their notes at any time. The 2022 Notes are convertible at the option of the holders prior to the close of business on the business day immediately preceding February 1, 2022 under certain circumstances. Upon conversion, the Company will pay or deliver, as the case may be, cash, shares of the Company’s common stock or a combination of cash and shares of the Company’s common stock, at the Company’s election. Because the last reported sale price of the Company’s common stock for at least 20 trading days during the period of 30 consecutive trading days ending on the last trading day of the calendar quarter ended June 30, 2020 was equal to or greater than 130% of the applicable conversion price on each applicable trading day, the 2022 Notes are convertible at the option of the holders thereof during the calendar quarter ending September 30, 2020. Between the end of the most recently completed fiscal quarter and July 31, 2020, the Company has received conversion notices for approximately $1 thousand of the principal balance of the 2022 Notes, which will be settled in cash during the quarter ended September 30, 2020.</w:t>
      </w:r>
    </w:p>
    <w:p>
      <w:pPr>
        <w:spacing w:after="0" w:line="63" w:lineRule="exact"/>
        <w:rPr>
          <w:sz w:val="20"/>
          <w:szCs w:val="20"/>
          <w:color w:val="auto"/>
        </w:rPr>
      </w:pPr>
    </w:p>
    <w:p>
      <w:pPr>
        <w:ind w:right="20" w:firstLine="510"/>
        <w:spacing w:after="0" w:line="266"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The total cost of the Convertible Note Hedges was $78.9 million.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The Company received $58.9 million in cash proceeds, net of issuance costs of $200 thousand, from the sale of these Warrants. The purchase of the Convertible Note Hedges and the sale of Warrants is intended to effectively increase the overall conversion price from $94.77 to $115.83 per share. As these transactions meet certain accounting criteria, the net $20.0 million paid for the Convertible Note Hedges and Warrants is recorded in stockholders’ equity and are not accounted for as separate derivative financial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8" w:name="page19"/>
    <w:bookmarkEnd w:id="18"/>
    <w:p>
      <w:pPr>
        <w:ind w:right="80" w:firstLine="510"/>
        <w:spacing w:after="0" w:line="283" w:lineRule="auto"/>
        <w:rPr>
          <w:sz w:val="20"/>
          <w:szCs w:val="20"/>
          <w:color w:val="auto"/>
        </w:rPr>
      </w:pPr>
      <w:r>
        <w:rPr>
          <w:rFonts w:ascii="Arial" w:cs="Arial" w:eastAsia="Arial" w:hAnsi="Arial"/>
          <w:sz w:val="16"/>
          <w:szCs w:val="16"/>
          <w:color w:val="auto"/>
        </w:rPr>
        <w:t>In June 2020, the Company used part of the net proceeds from the issuance of the 2025 Notes for the partial repurchase of the 2022 Notes, which consisted of a repurchase of $272.1 million aggregate principal amount of the 2022 Notes for an aggregate purchase price of approximately $283.0 in cash and approximately 1.6 million shares of its common stock at $207.17 per share. Of the $613.5 million in aggregate consideration, $248.7 million was allocated to the fair value of the debt component of the repurchase, and $364.8 million was allocated to the equity component (the associated Conversion Option of the 2022 Notes) of the repurchases, respectively, utilizing a discount rate of 4.9% to determine the fair value of the liability component. This rate was based on the Company’s estimated borrowing rate for a similar liability with the same maturity, but without the associated conversion option. To derive this effective discount rate, the Company utilized observable market rates for liabilities with similar estimated credit characteristics. As of the partial repurchase date, the carrying value of the 2022 Notes subject to the 2022 Notes partial repurchase, net of unamortized debt discount and issuance costs, was $238.2 million. The 2022 Notes partial repurchase and issuance of the 2025 Notes were deemed to have substantially different terms due to the significant difference between the value of the conversion option immediately prior to and after the exchange, and accordingly, the 2022 Notes partial repurchase was accounted for as a debt extinguishment. The 2022 Notes partial repurchase resulted in a $10.5 million loss on early extinguishment of debt, which is recorded within interest expense on the Company’s statements of operations. The loss on extinguishment was determined by comparing the consideration attributed to the fair value of the debt component with the carrying value of the debt component, which includes the proportionate amounts of unamortized debt discount and the remaining unamortized debt issuance costs. In connection with the partial repurchase of the 2022 Notes, the consideration allocated to the equity component of $364.8 million was recorded as a reduction to additional paid-in capital on the Company’s consolidated balance sheet. The Company also reversed a corresponding portion of the associated deferred tax liability and increased the Company’s valuation allowance on its US deferred tax assets, resulting in no net deferred tax impact. As of June 30, 2020, $127.8 million of principal remains outstanding on the 2022 Notes.</w:t>
      </w:r>
    </w:p>
    <w:p>
      <w:pPr>
        <w:spacing w:after="0" w:line="6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connection with the partial repurchase of the 2022 Notes, the Company terminated Convertible Note Hedges corresponding to approximately 2.9 million shares of the Company’s common stock in exchange for cash consideration of $362.5 million, and certain counterparties terminated Warrants corresponding to approximately 2.9 million shares of the Company’s common stock in exchange for cash consideration of $327.6 million. The net proceeds of $34.9 million received from these transactions were recorded as an increase to additional paid-in capital. As of June 30, 2020, Convertible Note Hedges giving the Company the option to purchase approximately 1.3 million shares of the Company’s common stock and Warrants giving certain counterparties the option to acquire up to 1.3 million shares of the Company’s common stock remain outstanding.</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2022 Notes is as follows:</w:t>
      </w:r>
    </w:p>
    <w:tbl>
      <w:tblPr>
        <w:tblLayout w:type="fixed"/>
        <w:tblInd w:w="1700" w:type="dxa"/>
        <w:tblCellMar>
          <w:top w:w="0" w:type="dxa"/>
          <w:left w:w="0" w:type="dxa"/>
          <w:bottom w:w="0" w:type="dxa"/>
          <w:right w:w="0" w:type="dxa"/>
        </w:tblCellMar>
      </w:tblPr>
      <w:tr>
        <w:trPr>
          <w:trHeight w:val="160"/>
        </w:trPr>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As of June 30, 2020</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Principal</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127,841</w:t>
            </w:r>
          </w:p>
        </w:tc>
        <w:tc>
          <w:tcPr>
            <w:tcW w:w="14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399,992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(14,091)</w:t>
            </w: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(55,299)</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Arial" w:cs="Arial" w:eastAsia="Arial" w:hAnsi="Arial"/>
                <w:sz w:val="18"/>
                <w:szCs w:val="18"/>
                <w:color w:val="auto"/>
              </w:rPr>
              <w:t>Unamortized issuance costs</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(1,053)</w:t>
            </w:r>
          </w:p>
        </w:tc>
        <w:tc>
          <w:tcPr>
            <w:tcW w:w="3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21"/>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equity component of the 2022 Notes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w w:val="96"/>
              </w:rPr>
              <w:t>As of June 30, 2020</w:t>
            </w:r>
          </w:p>
        </w:tc>
        <w:tc>
          <w:tcPr>
            <w:tcW w:w="80" w:type="dxa"/>
            <w:vAlign w:val="bottom"/>
          </w:tcPr>
          <w:p>
            <w:pPr>
              <w:spacing w:after="0"/>
              <w:rPr>
                <w:sz w:val="14"/>
                <w:szCs w:val="14"/>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w:t>
            </w: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Issuance costs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(2,854)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520"/>
              <w:spacing w:after="0"/>
              <w:rPr>
                <w:sz w:val="20"/>
                <w:szCs w:val="20"/>
                <w:color w:val="auto"/>
              </w:rPr>
            </w:pPr>
            <w:r>
              <w:rPr>
                <w:rFonts w:ascii="Arial" w:cs="Arial" w:eastAsia="Arial" w:hAnsi="Arial"/>
                <w:sz w:val="18"/>
                <w:szCs w:val="18"/>
                <w:color w:val="auto"/>
                <w:w w:val="90"/>
              </w:rPr>
              <w:t>Interest expense related to the 2022 Notes is as follows:</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295"/>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8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9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462</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00" w:type="dxa"/>
            <w:vAlign w:val="bottom"/>
            <w:gridSpan w:val="2"/>
          </w:tcPr>
          <w:p>
            <w:pPr>
              <w:ind w:left="1700"/>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4,323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9,629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10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719</w:t>
            </w:r>
          </w:p>
        </w:tc>
        <w:tc>
          <w:tcPr>
            <w:tcW w:w="1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00" w:type="dxa"/>
            <w:vAlign w:val="bottom"/>
            <w:gridSpan w:val="2"/>
          </w:tcPr>
          <w:p>
            <w:pPr>
              <w:ind w:left="1700"/>
              <w:spacing w:after="0"/>
              <w:rPr>
                <w:sz w:val="20"/>
                <w:szCs w:val="20"/>
                <w:color w:val="auto"/>
              </w:rPr>
            </w:pPr>
            <w:r>
              <w:rPr>
                <w:rFonts w:ascii="Arial" w:cs="Arial" w:eastAsia="Arial" w:hAnsi="Arial"/>
                <w:sz w:val="18"/>
                <w:szCs w:val="18"/>
                <w:color w:val="auto"/>
              </w:rPr>
              <w:t>Total interest expense</w:t>
            </w: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4,858</w:t>
            </w:r>
          </w:p>
        </w:tc>
        <w:tc>
          <w:tcPr>
            <w:tcW w:w="140" w:type="dxa"/>
            <w:vAlign w:val="bottom"/>
          </w:tcPr>
          <w:p>
            <w:pPr>
              <w:spacing w:after="0"/>
              <w:rPr>
                <w:sz w:val="20"/>
                <w:szCs w:val="20"/>
                <w:color w:val="auto"/>
              </w:rPr>
            </w:pPr>
          </w:p>
        </w:tc>
        <w:tc>
          <w:tcPr>
            <w:tcW w:w="260" w:type="dxa"/>
            <w:vAlign w:val="bottom"/>
            <w:gridSpan w:val="2"/>
          </w:tcPr>
          <w:p>
            <w:pPr>
              <w:jc w:val="right"/>
              <w:ind w:right="9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5,665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10,810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The net equity impact, included in additional paid-in capital, of the above components of the 2022 Notes is as follows:</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 thousands)</w:t>
            </w:r>
          </w:p>
        </w:tc>
      </w:tr>
      <w:tr>
        <w:trPr>
          <w:trHeight w:val="22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w:t>
            </w:r>
          </w:p>
        </w:tc>
        <w:tc>
          <w:tcPr>
            <w:tcW w:w="1140" w:type="dxa"/>
            <w:vAlign w:val="bottom"/>
            <w:gridSpan w:val="2"/>
            <w:shd w:val="clear" w:color="auto" w:fill="CFF0FC"/>
          </w:tcPr>
          <w:p>
            <w:pPr>
              <w:jc w:val="right"/>
              <w:ind w:right="211"/>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(364,835)</w:t>
            </w:r>
          </w:p>
        </w:tc>
      </w:tr>
      <w:tr>
        <w:trPr>
          <w:trHeight w:val="227"/>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repayment of 2022 Notes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330,497</w:t>
            </w:r>
          </w:p>
        </w:tc>
        <w:tc>
          <w:tcPr>
            <w:tcW w:w="8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settlement of Convertible Note Hedges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362,492</w:t>
            </w:r>
          </w:p>
        </w:tc>
        <w:tc>
          <w:tcPr>
            <w:tcW w:w="80" w:type="dxa"/>
            <w:vAlign w:val="bottom"/>
            <w:shd w:val="clear" w:color="auto" w:fill="CFF0FC"/>
          </w:tcPr>
          <w:p>
            <w:pPr>
              <w:spacing w:after="0"/>
              <w:rPr>
                <w:sz w:val="19"/>
                <w:szCs w:val="19"/>
                <w:color w:val="auto"/>
              </w:rPr>
            </w:pPr>
          </w:p>
        </w:tc>
      </w:tr>
      <w:tr>
        <w:trPr>
          <w:trHeight w:val="228"/>
        </w:trPr>
        <w:tc>
          <w:tcPr>
            <w:tcW w:w="4760" w:type="dxa"/>
            <w:vAlign w:val="bottom"/>
          </w:tcPr>
          <w:p>
            <w:pPr>
              <w:spacing w:after="0"/>
              <w:rPr>
                <w:sz w:val="20"/>
                <w:szCs w:val="20"/>
                <w:color w:val="auto"/>
              </w:rPr>
            </w:pPr>
            <w:r>
              <w:rPr>
                <w:rFonts w:ascii="Arial" w:cs="Arial" w:eastAsia="Arial" w:hAnsi="Arial"/>
                <w:sz w:val="18"/>
                <w:szCs w:val="18"/>
                <w:color w:val="auto"/>
              </w:rPr>
              <w:t>Payments for settlement of Warrants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(327,543)</w:t>
            </w:r>
          </w:p>
        </w:tc>
      </w:tr>
      <w:tr>
        <w:trPr>
          <w:trHeight w:val="221"/>
        </w:trPr>
        <w:tc>
          <w:tcPr>
            <w:tcW w:w="47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May 2031. Lease expense for non-cancelable operating leases with free rental periods or scheduled rent increases is recognized on a straight-line basis over the terms of the leases. Improvement reimbursements from landlords of $18.9 million are being amortized on a straight-line basis into lease expense over the terms of the leases. Certain leases contain optional termination dates. The table below only includes payments up to the optional termination date. If the Company were to extend leases beyond the optional termination date, the future commitments would increase by approximately $83.1 million.</w:t>
      </w:r>
    </w:p>
    <w:p>
      <w:pPr>
        <w:spacing w:after="0" w:line="68"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During the three months ended June 30, 2020, the lease term began for two leases approximately 104,000 square feet of office space in Cambridge, MA and Berlin, Germany. The agreements have a 5-year renewal option and were determined to be operating leases with total estimated aggregate base rent payments, excluding the renewal options, of approximately $52.4 million. The Company recorded $44.7 million of right-of-use assets and $45.0 million of lease liabilities for these two leases during the period upon the lease commencement.</w:t>
      </w:r>
    </w:p>
    <w:p>
      <w:pPr>
        <w:spacing w:after="0" w:line="82" w:lineRule="exact"/>
        <w:rPr>
          <w:sz w:val="20"/>
          <w:szCs w:val="20"/>
          <w:color w:val="auto"/>
        </w:rPr>
      </w:pPr>
    </w:p>
    <w:p>
      <w:pPr>
        <w:ind w:right="100" w:firstLine="510"/>
        <w:spacing w:after="0" w:line="276" w:lineRule="auto"/>
        <w:rPr>
          <w:sz w:val="20"/>
          <w:szCs w:val="20"/>
          <w:color w:val="auto"/>
        </w:rPr>
      </w:pPr>
      <w:r>
        <w:rPr>
          <w:rFonts w:ascii="Arial" w:cs="Arial" w:eastAsia="Arial" w:hAnsi="Arial"/>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June 30, 2020 is 5.3%.</w:t>
      </w:r>
    </w:p>
    <w:p>
      <w:pPr>
        <w:spacing w:after="0" w:line="66" w:lineRule="exact"/>
        <w:rPr>
          <w:sz w:val="20"/>
          <w:szCs w:val="20"/>
          <w:color w:val="auto"/>
        </w:rPr>
      </w:pPr>
    </w:p>
    <w:p>
      <w:pPr>
        <w:ind w:right="320" w:firstLine="510"/>
        <w:spacing w:after="0" w:line="272" w:lineRule="auto"/>
        <w:rPr>
          <w:sz w:val="20"/>
          <w:szCs w:val="20"/>
          <w:color w:val="auto"/>
        </w:rPr>
      </w:pPr>
      <w:r>
        <w:rPr>
          <w:rFonts w:ascii="Arial" w:cs="Arial" w:eastAsia="Arial" w:hAnsi="Arial"/>
          <w:sz w:val="18"/>
          <w:szCs w:val="18"/>
          <w:color w:val="auto"/>
        </w:rPr>
        <w:t>Included in the table below are operating lease commitments for leases that have not yet commenced of approximately $14.3 million for facilities with maximum lease terms of approximately 9 years in the United States.</w:t>
      </w:r>
    </w:p>
    <w:p>
      <w:pPr>
        <w:spacing w:after="0" w:line="3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and finance lease agreements as of June 30, 2020 are as follows:</w:t>
      </w:r>
    </w:p>
    <w:p>
      <w:pPr>
        <w:spacing w:after="0" w:line="80"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Operating</w:t>
            </w:r>
          </w:p>
        </w:tc>
      </w:tr>
      <w:tr>
        <w:trPr>
          <w:trHeight w:val="154"/>
        </w:trPr>
        <w:tc>
          <w:tcPr>
            <w:tcW w:w="6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15"/>
              <w:spacing w:after="0" w:line="154"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r>
      <w:tr>
        <w:trPr>
          <w:trHeight w:val="228"/>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23,292</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49,492</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48,856</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48,488</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47,243</w:t>
            </w:r>
          </w:p>
        </w:tc>
        <w:tc>
          <w:tcPr>
            <w:tcW w:w="80" w:type="dxa"/>
            <w:vAlign w:val="bottom"/>
            <w:shd w:val="clear" w:color="auto" w:fill="CFF0FC"/>
          </w:tcPr>
          <w:p>
            <w:pPr>
              <w:spacing w:after="0"/>
              <w:rPr>
                <w:sz w:val="19"/>
                <w:szCs w:val="19"/>
                <w:color w:val="auto"/>
              </w:rPr>
            </w:pPr>
          </w:p>
        </w:tc>
      </w:tr>
      <w:tr>
        <w:trPr>
          <w:trHeight w:val="228"/>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179,459</w:t>
            </w:r>
          </w:p>
        </w:tc>
        <w:tc>
          <w:tcPr>
            <w:tcW w:w="80" w:type="dxa"/>
            <w:vAlign w:val="bottom"/>
            <w:tcBorders>
              <w:bottom w:val="single" w:sz="8" w:color="CFF0FC"/>
            </w:tcBorders>
          </w:tcPr>
          <w:p>
            <w:pPr>
              <w:spacing w:after="0"/>
              <w:rPr>
                <w:sz w:val="19"/>
                <w:szCs w:val="19"/>
                <w:color w:val="auto"/>
              </w:rPr>
            </w:pPr>
          </w:p>
        </w:tc>
      </w:tr>
      <w:tr>
        <w:trPr>
          <w:trHeight w:val="221"/>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right="380" w:firstLine="510"/>
        <w:spacing w:after="0" w:line="334" w:lineRule="auto"/>
        <w:rPr>
          <w:sz w:val="20"/>
          <w:szCs w:val="20"/>
          <w:color w:val="auto"/>
        </w:rPr>
      </w:pPr>
      <w:r>
        <w:rPr>
          <w:rFonts w:ascii="Arial" w:cs="Arial" w:eastAsia="Arial" w:hAnsi="Arial"/>
          <w:sz w:val="16"/>
          <w:szCs w:val="16"/>
          <w:color w:val="auto"/>
        </w:rPr>
        <w:t>The Company leases its office facilities under non-cancelable operating leases. Unused spaces are generally subleased to third parties. Operating sublease income generated under all operating lease agreements for the three and six months ended June 30, 2020 and 2019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680" w:type="dxa"/>
            <w:vAlign w:val="bottom"/>
          </w:tcPr>
          <w:p>
            <w:pPr>
              <w:spacing w:after="0"/>
              <w:rPr>
                <w:sz w:val="14"/>
                <w:szCs w:val="14"/>
                <w:color w:val="auto"/>
              </w:rPr>
            </w:pPr>
          </w:p>
        </w:tc>
      </w:tr>
      <w:tr>
        <w:trPr>
          <w:trHeight w:val="235"/>
        </w:trPr>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89"/>
              </w:rPr>
              <w:t>2019</w:t>
            </w:r>
          </w:p>
        </w:tc>
        <w:tc>
          <w:tcPr>
            <w:tcW w:w="1680" w:type="dxa"/>
            <w:vAlign w:val="bottom"/>
          </w:tcPr>
          <w:p>
            <w:pPr>
              <w:spacing w:after="0"/>
              <w:rPr>
                <w:sz w:val="20"/>
                <w:szCs w:val="20"/>
                <w:color w:val="auto"/>
              </w:rPr>
            </w:pPr>
          </w:p>
        </w:tc>
      </w:tr>
      <w:tr>
        <w:trPr>
          <w:trHeight w:val="221"/>
        </w:trPr>
        <w:tc>
          <w:tcPr>
            <w:tcW w:w="1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580"/>
              <w:spacing w:after="0"/>
              <w:rPr>
                <w:sz w:val="20"/>
                <w:szCs w:val="20"/>
                <w:color w:val="auto"/>
              </w:rPr>
            </w:pPr>
            <w:r>
              <w:rPr>
                <w:rFonts w:ascii="Arial" w:cs="Arial" w:eastAsia="Arial" w:hAnsi="Arial"/>
                <w:sz w:val="14"/>
                <w:szCs w:val="14"/>
                <w:b w:val="1"/>
                <w:bCs w:val="1"/>
                <w:color w:val="auto"/>
                <w:w w:val="93"/>
              </w:rPr>
              <w:t>(in thousands)</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ind w:left="520"/>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1"/>
        </w:trPr>
        <w:tc>
          <w:tcPr>
            <w:tcW w:w="170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Operating sublease income</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1,374</w:t>
            </w:r>
          </w:p>
        </w:tc>
        <w:tc>
          <w:tcPr>
            <w:tcW w:w="42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20"/>
                <w:szCs w:val="20"/>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2,728</w:t>
            </w:r>
          </w:p>
        </w:tc>
        <w:tc>
          <w:tcPr>
            <w:tcW w:w="44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680" w:type="dxa"/>
            <w:vAlign w:val="bottom"/>
          </w:tcPr>
          <w:p>
            <w:pPr>
              <w:spacing w:after="0"/>
              <w:rPr>
                <w:sz w:val="20"/>
                <w:szCs w:val="20"/>
                <w:color w:val="auto"/>
              </w:rPr>
            </w:pPr>
          </w:p>
        </w:tc>
      </w:tr>
      <w:tr>
        <w:trPr>
          <w:trHeight w:val="749"/>
        </w:trPr>
        <w:tc>
          <w:tcPr>
            <w:tcW w:w="1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121"/>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0" w:name="page21"/>
    <w:bookmarkEnd w:id="20"/>
    <w:p>
      <w:pPr>
        <w:ind w:right="120" w:firstLine="510"/>
        <w:spacing w:after="0" w:line="260" w:lineRule="auto"/>
        <w:rPr>
          <w:sz w:val="20"/>
          <w:szCs w:val="20"/>
          <w:color w:val="auto"/>
        </w:rPr>
      </w:pPr>
      <w:r>
        <w:rPr>
          <w:rFonts w:ascii="Arial" w:cs="Arial" w:eastAsia="Arial" w:hAnsi="Arial"/>
          <w:sz w:val="18"/>
          <w:szCs w:val="18"/>
          <w:color w:val="auto"/>
        </w:rPr>
        <w:t>As of June 30, 2020, there were no material changes in our vendor commitments under non-cancelable arrangements, as disclosed in the Company’s audited consolidated financial statements for the year ended December 31, 2019 and related notes thereto contained in the Company’s Annual Report on Form 10-K, except as noted below.</w:t>
      </w:r>
    </w:p>
    <w:p>
      <w:pPr>
        <w:spacing w:after="0" w:line="252" w:lineRule="exact"/>
        <w:rPr>
          <w:sz w:val="20"/>
          <w:szCs w:val="20"/>
          <w:color w:val="auto"/>
        </w:rPr>
      </w:pPr>
    </w:p>
    <w:p>
      <w:pPr>
        <w:ind w:right="440" w:firstLine="510"/>
        <w:spacing w:after="0" w:line="272" w:lineRule="auto"/>
        <w:rPr>
          <w:sz w:val="20"/>
          <w:szCs w:val="20"/>
          <w:color w:val="auto"/>
        </w:rPr>
      </w:pPr>
      <w:r>
        <w:rPr>
          <w:rFonts w:ascii="Arial" w:cs="Arial" w:eastAsia="Arial" w:hAnsi="Arial"/>
          <w:sz w:val="18"/>
          <w:szCs w:val="18"/>
          <w:color w:val="auto"/>
        </w:rPr>
        <w:t xml:space="preserve">In May 2020, the Company extended a vendor commitment with an incremental three year contractual obligation of approximately </w:t>
      </w:r>
      <w:r>
        <w:rPr>
          <w:rFonts w:ascii="Arial" w:cs="Arial" w:eastAsia="Arial" w:hAnsi="Arial"/>
          <w:sz w:val="18"/>
          <w:szCs w:val="18"/>
          <w:color w:val="212529"/>
        </w:rPr>
        <w:t>$24 million,</w:t>
      </w:r>
      <w:r>
        <w:rPr>
          <w:rFonts w:ascii="Arial" w:cs="Arial" w:eastAsia="Arial" w:hAnsi="Arial"/>
          <w:sz w:val="18"/>
          <w:szCs w:val="18"/>
          <w:color w:val="auto"/>
        </w:rPr>
        <w:t xml:space="preserve"> </w:t>
      </w:r>
      <w:r>
        <w:rPr>
          <w:rFonts w:ascii="Arial" w:cs="Arial" w:eastAsia="Arial" w:hAnsi="Arial"/>
          <w:sz w:val="18"/>
          <w:szCs w:val="18"/>
          <w:color w:val="212529"/>
        </w:rPr>
        <w:t>payable over the remaining three year term of the amended agreement.</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Stockholders’ Equity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changes in stockholders’ equity for the six months ended June 30, 2020 and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92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920" w:type="dxa"/>
            <w:vAlign w:val="bottom"/>
            <w:gridSpan w:val="3"/>
          </w:tcPr>
          <w:p>
            <w:pPr>
              <w:jc w:val="center"/>
              <w:ind w:left="114"/>
              <w:spacing w:after="0" w:line="147" w:lineRule="exact"/>
              <w:rPr>
                <w:sz w:val="20"/>
                <w:szCs w:val="20"/>
                <w:color w:val="auto"/>
              </w:rPr>
            </w:pPr>
            <w:r>
              <w:rPr>
                <w:rFonts w:ascii="Arial" w:cs="Arial" w:eastAsia="Arial" w:hAnsi="Arial"/>
                <w:sz w:val="14"/>
                <w:szCs w:val="14"/>
                <w:b w:val="1"/>
                <w:bCs w:val="1"/>
                <w:color w:val="auto"/>
                <w:w w:val="90"/>
              </w:rPr>
              <w:t>Stock, $0.001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18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Balances at December 31, 2019</w:t>
            </w:r>
          </w:p>
        </w:tc>
        <w:tc>
          <w:tcPr>
            <w:tcW w:w="1160" w:type="dxa"/>
            <w:vAlign w:val="bottom"/>
            <w:gridSpan w:val="2"/>
          </w:tcPr>
          <w:p>
            <w:pPr>
              <w:ind w:left="260"/>
              <w:spacing w:after="0" w:line="154"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3"/>
                <w:szCs w:val="13"/>
                <w:color w:val="auto"/>
              </w:rPr>
            </w:pPr>
          </w:p>
        </w:tc>
        <w:tc>
          <w:tcPr>
            <w:tcW w:w="1120" w:type="dxa"/>
            <w:vAlign w:val="bottom"/>
            <w:gridSpan w:val="3"/>
          </w:tcPr>
          <w:p>
            <w:pPr>
              <w:jc w:val="center"/>
              <w:ind w:right="14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2"/>
              <w:spacing w:after="0" w:line="154"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900" w:type="dxa"/>
            <w:vAlign w:val="bottom"/>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4240" w:type="dxa"/>
            <w:vAlign w:val="bottom"/>
            <w:vMerge w:val="continue"/>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42,955</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1,048,380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(398,130)</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stock plans, net of</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withheld for employee taxes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27,905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w w:val="96"/>
              </w:rPr>
              <w:t>Unrealized gain on investments, net of income taxes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(17,716)</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(17,716)</w:t>
            </w:r>
          </w:p>
        </w:tc>
        <w:tc>
          <w:tcPr>
            <w:tcW w:w="0" w:type="dxa"/>
            <w:vAlign w:val="bottom"/>
          </w:tcPr>
          <w:p>
            <w:pPr>
              <w:spacing w:after="0"/>
              <w:rPr>
                <w:sz w:val="1"/>
                <w:szCs w:val="1"/>
                <w:color w:val="auto"/>
              </w:rPr>
            </w:pPr>
          </w:p>
        </w:tc>
      </w:tr>
      <w:tr>
        <w:trPr>
          <w:trHeight w:val="261"/>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March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43,366</w:t>
            </w:r>
          </w:p>
        </w:tc>
        <w:tc>
          <w:tcPr>
            <w:tcW w:w="20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1,077,605</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(415,846</w:t>
            </w:r>
          </w:p>
        </w:tc>
        <w:tc>
          <w:tcPr>
            <w:tcW w:w="200" w:type="dxa"/>
            <w:vAlign w:val="bottom"/>
            <w:tcBorders>
              <w:bottom w:val="single" w:sz="8" w:color="CFF0FC"/>
            </w:tcBorders>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660,973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Issuance of common stock under stock plans, net of</w:t>
            </w: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withheld for employee taxes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w w:val="96"/>
              </w:rPr>
              <w:t>Equity component of 2025 Notes, net of issuance costs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(Note 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96,610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Purchase of Capped Call Options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(50,600)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(50,600)</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w w:val="93"/>
              </w:rPr>
              <w:t>Equity component of the repayment of 2022 Notes (Note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8)</w:t>
            </w:r>
          </w:p>
        </w:tc>
        <w:tc>
          <w:tcPr>
            <w:tcW w:w="960" w:type="dxa"/>
            <w:vAlign w:val="bottom"/>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w w:val="96"/>
              </w:rPr>
              <w:t>Unrealized gain on investments, net of income taxes of</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($76)</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2"/>
              <w:spacing w:after="0"/>
              <w:rPr>
                <w:sz w:val="20"/>
                <w:szCs w:val="20"/>
                <w:color w:val="auto"/>
              </w:rPr>
            </w:pPr>
            <w:r>
              <w:rPr>
                <w:rFonts w:ascii="Arial" w:cs="Arial" w:eastAsia="Arial" w:hAnsi="Arial"/>
                <w:sz w:val="18"/>
                <w:szCs w:val="18"/>
                <w:color w:val="auto"/>
              </w:rPr>
              <w:t>(29,401)</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(29,401)</w:t>
            </w:r>
          </w:p>
        </w:tc>
        <w:tc>
          <w:tcPr>
            <w:tcW w:w="0" w:type="dxa"/>
            <w:vAlign w:val="bottom"/>
          </w:tcPr>
          <w:p>
            <w:pPr>
              <w:spacing w:after="0"/>
              <w:rPr>
                <w:sz w:val="1"/>
                <w:szCs w:val="1"/>
                <w:color w:val="auto"/>
              </w:rPr>
            </w:pPr>
          </w:p>
        </w:tc>
      </w:tr>
      <w:tr>
        <w:trPr>
          <w:trHeight w:val="221"/>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June 30,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1,167,791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(445,247</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92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920" w:type="dxa"/>
            <w:vAlign w:val="bottom"/>
            <w:gridSpan w:val="3"/>
          </w:tcPr>
          <w:p>
            <w:pPr>
              <w:jc w:val="center"/>
              <w:ind w:left="115"/>
              <w:spacing w:after="0" w:line="147" w:lineRule="exact"/>
              <w:rPr>
                <w:sz w:val="20"/>
                <w:szCs w:val="20"/>
                <w:color w:val="auto"/>
              </w:rPr>
            </w:pPr>
            <w:r>
              <w:rPr>
                <w:rFonts w:ascii="Arial" w:cs="Arial" w:eastAsia="Arial" w:hAnsi="Arial"/>
                <w:sz w:val="14"/>
                <w:szCs w:val="14"/>
                <w:b w:val="1"/>
                <w:bCs w:val="1"/>
                <w:color w:val="auto"/>
                <w:w w:val="90"/>
              </w:rPr>
              <w:t>Stock, $0.001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18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74"/>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1160" w:type="dxa"/>
            <w:vAlign w:val="bottom"/>
            <w:gridSpan w:val="2"/>
          </w:tcPr>
          <w:p>
            <w:pPr>
              <w:ind w:left="260"/>
              <w:spacing w:after="0" w:line="154"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74"/>
              <w:spacing w:after="0" w:line="154"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120" w:type="dxa"/>
            <w:vAlign w:val="bottom"/>
            <w:gridSpan w:val="3"/>
          </w:tcPr>
          <w:p>
            <w:pPr>
              <w:jc w:val="center"/>
              <w:ind w:right="14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22"/>
              <w:spacing w:after="0" w:line="154"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900" w:type="dxa"/>
            <w:vAlign w:val="bottom"/>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39,300</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589,708</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(344,384)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rPr>
              <w:t>Issuance of common stock under stock plans, net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shares withheld for employee taxes</w:t>
            </w: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w w:val="96"/>
              </w:rPr>
              <w:t>Issuance of common stock in relation to common stock</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 net of offering costs incurred $365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w w:val="96"/>
              </w:rPr>
              <w:t>Unrealized gain on investments, net of income taxes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$113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(11,100)</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61"/>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March 31,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41,891</w:t>
            </w:r>
          </w:p>
        </w:tc>
        <w:tc>
          <w:tcPr>
            <w:tcW w:w="20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955,045</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(355,484</w:t>
            </w:r>
          </w:p>
        </w:tc>
        <w:tc>
          <w:tcPr>
            <w:tcW w:w="200" w:type="dxa"/>
            <w:vAlign w:val="bottom"/>
            <w:tcBorders>
              <w:bottom w:val="single" w:sz="8" w:color="CFF0FC"/>
            </w:tcBorders>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599,003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Issuance of common stock under stock plans, net of</w:t>
            </w: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withheld for employee taxes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w w:val="96"/>
              </w:rPr>
              <w:t>Unrealized gain on investments, net of income taxes of</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$156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(17,357)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(17,357)</w:t>
            </w:r>
          </w:p>
        </w:tc>
        <w:tc>
          <w:tcPr>
            <w:tcW w:w="0" w:type="dxa"/>
            <w:vAlign w:val="bottom"/>
          </w:tcPr>
          <w:p>
            <w:pPr>
              <w:spacing w:after="0"/>
              <w:rPr>
                <w:sz w:val="1"/>
                <w:szCs w:val="1"/>
                <w:color w:val="auto"/>
              </w:rPr>
            </w:pPr>
          </w:p>
        </w:tc>
      </w:tr>
      <w:tr>
        <w:trPr>
          <w:trHeight w:val="221"/>
        </w:trPr>
        <w:tc>
          <w:tcPr>
            <w:tcW w:w="4240" w:type="dxa"/>
            <w:vAlign w:val="bottom"/>
          </w:tcPr>
          <w:p>
            <w:pPr>
              <w:spacing w:after="0"/>
              <w:rPr>
                <w:sz w:val="20"/>
                <w:szCs w:val="20"/>
                <w:color w:val="auto"/>
              </w:rPr>
            </w:pPr>
            <w:r>
              <w:rPr>
                <w:rFonts w:ascii="Arial" w:cs="Arial" w:eastAsia="Arial" w:hAnsi="Arial"/>
                <w:sz w:val="18"/>
                <w:szCs w:val="18"/>
                <w:color w:val="auto"/>
              </w:rPr>
              <w:t>Balances at June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42,276</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990,701</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(372,841</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Changes in Accumulated Other Comprehensive Loss</w:t>
      </w:r>
    </w:p>
    <w:p>
      <w:pPr>
        <w:spacing w:after="0" w:line="119" w:lineRule="exact"/>
        <w:rPr>
          <w:sz w:val="20"/>
          <w:szCs w:val="20"/>
          <w:color w:val="auto"/>
        </w:rPr>
      </w:pPr>
    </w:p>
    <w:p>
      <w:pPr>
        <w:jc w:val="both"/>
        <w:ind w:right="80" w:firstLine="510"/>
        <w:spacing w:after="0" w:line="272"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six months ended June 30, 2020.</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Cumulative</w:t>
            </w: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Unrealized Gain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on</w:t>
            </w:r>
          </w:p>
        </w:tc>
        <w:tc>
          <w:tcPr>
            <w:tcW w:w="22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at January 1, 2020</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500" w:type="dxa"/>
            <w:vAlign w:val="bottom"/>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Ending balance at June 30, 2020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Expense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two tables show stock-based compensation expense by award type and where the stock-based compensation expense is recorded in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8"/>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4"/>
              <w:spacing w:after="0" w:line="154"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8"/>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4"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5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RSUs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52,793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Effect of stock-based compensation expense on income by line item:</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4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7"/>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r>
      <w:tr>
        <w:trPr>
          <w:trHeight w:val="154"/>
        </w:trPr>
        <w:tc>
          <w:tcPr>
            <w:tcW w:w="4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FF0FC"/>
          </w:tcPr>
          <w:p>
            <w:pPr>
              <w:spacing w:after="0"/>
              <w:rPr>
                <w:sz w:val="19"/>
                <w:szCs w:val="19"/>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Cost of revenue, professional services and other</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17,644</w:t>
            </w:r>
          </w:p>
        </w:tc>
        <w:tc>
          <w:tcPr>
            <w:tcW w:w="100" w:type="dxa"/>
            <w:vAlign w:val="bottom"/>
            <w:shd w:val="clear" w:color="auto" w:fill="CFF0FC"/>
          </w:tcPr>
          <w:p>
            <w:pPr>
              <w:spacing w:after="0"/>
              <w:rPr>
                <w:sz w:val="19"/>
                <w:szCs w:val="19"/>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12,868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18,327</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shd w:val="clear" w:color="auto" w:fill="CFF0FC"/>
          </w:tcPr>
          <w:p>
            <w:pPr>
              <w:spacing w:after="0"/>
              <w:rPr>
                <w:sz w:val="19"/>
                <w:szCs w:val="19"/>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49,869</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280" w:firstLine="510"/>
        <w:spacing w:after="0" w:line="260" w:lineRule="auto"/>
        <w:rPr>
          <w:sz w:val="20"/>
          <w:szCs w:val="20"/>
          <w:color w:val="auto"/>
        </w:rPr>
      </w:pPr>
      <w:r>
        <w:rPr>
          <w:rFonts w:ascii="Arial" w:cs="Arial" w:eastAsia="Arial" w:hAnsi="Arial"/>
          <w:sz w:val="18"/>
          <w:szCs w:val="18"/>
          <w:color w:val="auto"/>
        </w:rPr>
        <w:t>Capitalized software development costs excluded from stock-based compensation expense is $966 thousand for the three months ended June 30, 2020, $1.8 million for the six months ended June 30, 2020, $607 thousand for the three months ended June 30, 2019, and $1.1 million for the six months ended June 30, 2019.</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 and Geographic Data</w:t>
      </w:r>
    </w:p>
    <w:p>
      <w:pPr>
        <w:spacing w:after="0" w:line="11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operates as one operating segment. Operating segments are defined as components of an enterprise for which 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ectPr>
          <w:pgSz w:w="11900" w:h="16838" w:orient="portrait"/>
          <w:cols w:equalWidth="0" w:num="1">
            <w:col w:w="11200"/>
          </w:cols>
          <w:pgMar w:left="320" w:top="380" w:right="379" w:bottom="1440" w:gutter="0" w:footer="0" w:header="0"/>
        </w:sectPr>
      </w:pPr>
    </w:p>
    <w:p>
      <w:pPr>
        <w:spacing w:after="0" w:line="294"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13335</wp:posOffset>
            </wp:positionV>
            <wp:extent cx="1830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16" w:lineRule="exact"/>
        <w:rPr>
          <w:sz w:val="20"/>
          <w:szCs w:val="20"/>
          <w:color w:val="auto"/>
        </w:rPr>
      </w:pPr>
    </w:p>
    <w:p>
      <w:pPr>
        <w:ind w:left="4940"/>
        <w:spacing w:after="0"/>
        <w:tabs>
          <w:tab w:leader="none" w:pos="648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6350</wp:posOffset>
            </wp:positionV>
            <wp:extent cx="1830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13335</wp:posOffset>
            </wp:positionV>
            <wp:extent cx="15405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6350</wp:posOffset>
            </wp:positionV>
            <wp:extent cx="15405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160" w:space="720"/>
            <w:col w:w="3320"/>
          </w:cols>
          <w:pgMar w:left="320" w:top="380" w:right="379" w:bottom="1440" w:gutter="0" w:footer="0" w:header="0"/>
          <w:type w:val="continuous"/>
        </w:sectPr>
      </w:pPr>
    </w:p>
    <w:tbl>
      <w:tblPr>
        <w:tblLayout w:type="fixed"/>
        <w:tblInd w:w="1140" w:type="dxa"/>
        <w:tblCellMar>
          <w:top w:w="0" w:type="dxa"/>
          <w:left w:w="0" w:type="dxa"/>
          <w:bottom w:w="0" w:type="dxa"/>
          <w:right w:w="0" w:type="dxa"/>
        </w:tblCellMar>
      </w:tblPr>
      <w:tr>
        <w:trPr>
          <w:trHeight w:val="226"/>
        </w:trPr>
        <w:tc>
          <w:tcPr>
            <w:tcW w:w="3260" w:type="dxa"/>
            <w:vAlign w:val="bottom"/>
          </w:tcPr>
          <w:p>
            <w:pPr>
              <w:spacing w:after="0"/>
              <w:rPr>
                <w:sz w:val="20"/>
                <w:szCs w:val="20"/>
                <w:color w:val="auto"/>
              </w:rPr>
            </w:pPr>
            <w:r>
              <w:rPr>
                <w:rFonts w:ascii="Arial" w:cs="Arial" w:eastAsia="Arial" w:hAnsi="Arial"/>
                <w:sz w:val="18"/>
                <w:szCs w:val="18"/>
                <w:color w:val="auto"/>
              </w:rPr>
              <w:t>Americas</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133,719</w:t>
            </w: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111,181</w:t>
            </w:r>
          </w:p>
        </w:tc>
        <w:tc>
          <w:tcPr>
            <w:tcW w:w="2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264,858</w:t>
            </w:r>
          </w:p>
        </w:tc>
        <w:tc>
          <w:tcPr>
            <w:tcW w:w="20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215,470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54,558</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107,229</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76,959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15,331</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11,791</w:t>
            </w: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30,488</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22,624</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203,608</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163,255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402,575</w:t>
            </w:r>
          </w:p>
        </w:tc>
        <w:tc>
          <w:tcPr>
            <w:tcW w:w="2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315,053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89"/>
              </w:rPr>
              <w:t>Percentage of revenues generated outside of</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60" w:type="dxa"/>
            <w:vAlign w:val="bottom"/>
          </w:tcPr>
          <w:p>
            <w:pPr>
              <w:ind w:left="120"/>
              <w:spacing w:after="0"/>
              <w:rPr>
                <w:sz w:val="20"/>
                <w:szCs w:val="20"/>
                <w:color w:val="auto"/>
              </w:rPr>
            </w:pPr>
            <w:r>
              <w:rPr>
                <w:rFonts w:ascii="Arial" w:cs="Arial" w:eastAsia="Arial" w:hAnsi="Arial"/>
                <w:sz w:val="18"/>
                <w:szCs w:val="18"/>
                <w:color w:val="auto"/>
              </w:rPr>
              <w:t>the Americas</w:t>
            </w:r>
          </w:p>
        </w:tc>
        <w:tc>
          <w:tcPr>
            <w:tcW w:w="4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right="40" w:firstLine="510"/>
        <w:spacing w:after="0" w:line="336" w:lineRule="auto"/>
        <w:rPr>
          <w:sz w:val="20"/>
          <w:szCs w:val="20"/>
          <w:color w:val="auto"/>
        </w:rPr>
      </w:pPr>
      <w:r>
        <w:rPr>
          <w:rFonts w:ascii="Arial" w:cs="Arial" w:eastAsia="Arial" w:hAnsi="Arial"/>
          <w:sz w:val="16"/>
          <w:szCs w:val="16"/>
          <w:color w:val="auto"/>
        </w:rPr>
        <w:t>Revenue derived from customers outside the United States (international) was approximately 42% of total revenue in the three and six months ended June 30, 2020, 40% of total revenue in the three months ended June 30, 2019, and 39% of total revenue in the six months ended June 30, 2019.</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Pr>
          <w:p>
            <w:pPr>
              <w:spacing w:after="0"/>
              <w:rPr>
                <w:sz w:val="14"/>
                <w:szCs w:val="14"/>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As of December 31, 2019</w:t>
            </w:r>
          </w:p>
        </w:tc>
      </w:tr>
      <w:tr>
        <w:trPr>
          <w:trHeight w:val="154"/>
        </w:trPr>
        <w:tc>
          <w:tcPr>
            <w:tcW w:w="4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40" w:type="dxa"/>
            <w:vAlign w:val="bottom"/>
            <w:tcBorders>
              <w:top w:val="single" w:sz="8" w:color="auto"/>
            </w:tcBorders>
            <w:gridSpan w:val="4"/>
          </w:tcPr>
          <w:p>
            <w:pPr>
              <w:jc w:val="right"/>
              <w:ind w:right="1534"/>
              <w:spacing w:after="0" w:line="154"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r>
      <w:tr>
        <w:trPr>
          <w:trHeight w:val="22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8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196,742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175,821</w:t>
            </w:r>
          </w:p>
        </w:tc>
        <w:tc>
          <w:tcPr>
            <w:tcW w:w="180" w:type="dxa"/>
            <w:vAlign w:val="bottom"/>
            <w:shd w:val="clear" w:color="auto" w:fill="CFF0FC"/>
          </w:tcPr>
          <w:p>
            <w:pPr>
              <w:spacing w:after="0"/>
              <w:rPr>
                <w:sz w:val="19"/>
                <w:szCs w:val="19"/>
                <w:color w:val="auto"/>
              </w:rPr>
            </w:pPr>
          </w:p>
        </w:tc>
      </w:t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Europe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151,431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127,395</w:t>
            </w:r>
          </w:p>
        </w:tc>
        <w:tc>
          <w:tcPr>
            <w:tcW w:w="180" w:type="dxa"/>
            <w:vAlign w:val="bottom"/>
          </w:tcPr>
          <w:p>
            <w:pPr>
              <w:spacing w:after="0"/>
              <w:rPr>
                <w:sz w:val="19"/>
                <w:szCs w:val="19"/>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14,823</w:t>
            </w:r>
          </w:p>
        </w:tc>
        <w:tc>
          <w:tcPr>
            <w:tcW w:w="180" w:type="dxa"/>
            <w:vAlign w:val="bottom"/>
            <w:shd w:val="clear" w:color="auto" w:fill="CFF0FC"/>
          </w:tcPr>
          <w:p>
            <w:pPr>
              <w:spacing w:after="0"/>
              <w:rPr>
                <w:sz w:val="19"/>
                <w:szCs w:val="19"/>
                <w:color w:val="auto"/>
              </w:rPr>
            </w:pPr>
          </w:p>
        </w:tc>
      </w:tr>
      <w:tr>
        <w:trPr>
          <w:trHeight w:val="261"/>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long-lived assets</w:t>
            </w:r>
          </w:p>
        </w:tc>
        <w:tc>
          <w:tcPr>
            <w:tcW w:w="5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360,455</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318,039</w:t>
            </w:r>
          </w:p>
        </w:tc>
        <w:tc>
          <w:tcPr>
            <w:tcW w:w="180" w:type="dxa"/>
            <w:vAlign w:val="bottom"/>
            <w:tcBorders>
              <w:bottom w:val="single" w:sz="8" w:color="CFF0FC"/>
            </w:tcBorders>
          </w:tcPr>
          <w:p>
            <w:pPr>
              <w:spacing w:after="0"/>
              <w:rPr>
                <w:sz w:val="22"/>
                <w:szCs w:val="22"/>
                <w:color w:val="auto"/>
              </w:rPr>
            </w:pPr>
          </w:p>
        </w:tc>
      </w:tr>
      <w:tr>
        <w:trPr>
          <w:trHeight w:val="194"/>
        </w:trPr>
        <w:tc>
          <w:tcPr>
            <w:tcW w:w="4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Percentage of long-lived assets held outside of the</w:t>
            </w: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8"/>
        </w:trPr>
        <w:tc>
          <w:tcPr>
            <w:tcW w:w="4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80" w:right="379" w:bottom="1440" w:gutter="0" w:footer="0" w:header="0"/>
          <w:type w:val="continuous"/>
        </w:sectPr>
      </w:pPr>
    </w:p>
    <w:bookmarkStart w:id="23" w:name="page24"/>
    <w:bookmarkEnd w:id="23"/>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9"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2019 filed with the SEC on February 12, 2020.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9" w:lineRule="exact"/>
        <w:rPr>
          <w:sz w:val="20"/>
          <w:szCs w:val="20"/>
          <w:color w:val="auto"/>
        </w:rPr>
      </w:pPr>
    </w:p>
    <w:p>
      <w:pPr>
        <w:ind w:right="460" w:firstLine="510"/>
        <w:spacing w:after="0" w:line="253" w:lineRule="auto"/>
        <w:rPr>
          <w:sz w:val="20"/>
          <w:szCs w:val="20"/>
          <w:color w:val="auto"/>
        </w:rPr>
      </w:pPr>
      <w:r>
        <w:rPr>
          <w:rFonts w:ascii="Arial" w:cs="Arial" w:eastAsia="Arial" w:hAnsi="Arial"/>
          <w:sz w:val="18"/>
          <w:szCs w:val="18"/>
          <w:color w:val="auto"/>
        </w:rPr>
        <w:t>We provide a cloud-based marketing, sales, and customer service software platform, which we refer to as our Growth Platform, that enables businesses to grow better. At HubSpot, we are committed to helping our customers grow better, which means helping them grow without compromise, always solving for the customer, and creating a better experience for customers and company alike. To that end, our Growth Platform, comprised of Marketing Hub, Sales Hub, Service Hub, Content Management System, or CMS, Hub (released in April 2020), and a free customer relationship management system, or CRM, features integrated applications and tools that enable businesses to create a cohesive and adaptable customer experience throughout the customer lifecycle.</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Growth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Growth Platform through our free products and then upgrade to our paid products. As of June 30, 2020, we had 3,769 full-time employees and 86,672 Total Customers of varying sizes in more than 120 countries, representing almost every industry.</w:t>
      </w:r>
    </w:p>
    <w:p>
      <w:pPr>
        <w:spacing w:after="0" w:line="17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derive most of our revenue from subscriptions to our cloud-based Growth Platform and related professional services, which consist of customer on-boarding and training services. Subscription revenue accounted for 96% of total revenue for the three and six months ended June 30, 2020 and 95% of total revenue for the three and six months ended June 30, 2019.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subdomains and website visits. Our customers purchase a subscription to one or more of our products and commit for a specified subscription period, which is typically one year or less in duration.</w:t>
      </w:r>
    </w:p>
    <w:p>
      <w:pPr>
        <w:spacing w:after="0" w:line="165" w:lineRule="exact"/>
        <w:rPr>
          <w:sz w:val="20"/>
          <w:szCs w:val="20"/>
          <w:color w:val="auto"/>
        </w:rPr>
      </w:pPr>
    </w:p>
    <w:p>
      <w:pPr>
        <w:jc w:val="both"/>
        <w:ind w:right="80" w:firstLine="510"/>
        <w:spacing w:after="0" w:line="260"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85" w:lineRule="exact"/>
        <w:rPr>
          <w:sz w:val="20"/>
          <w:szCs w:val="20"/>
          <w:color w:val="auto"/>
        </w:rPr>
      </w:pPr>
    </w:p>
    <w:p>
      <w:pPr>
        <w:jc w:val="both"/>
        <w:ind w:right="120" w:firstLine="510"/>
        <w:spacing w:after="0" w:line="256" w:lineRule="auto"/>
        <w:rPr>
          <w:sz w:val="20"/>
          <w:szCs w:val="20"/>
          <w:color w:val="auto"/>
        </w:rPr>
      </w:pPr>
      <w:r>
        <w:rPr>
          <w:rFonts w:ascii="Arial" w:cs="Arial" w:eastAsia="Arial" w:hAnsi="Arial"/>
          <w:sz w:val="18"/>
          <w:szCs w:val="18"/>
          <w:color w:val="auto"/>
        </w:rPr>
        <w:t>Many of our customers purchase on-boarding and training services which are designed to help customers enhance their ability to attract, engage and delight their customers using our Growth Platform. Professional services and other revenue accounted for 4% of total revenue for the three and six months ended June 30, 2020 and 5% of total revenue for the three and six months ended June 30, 2019. We expect professional services and other margins to range from a moderate loss to breakeven for the foreseeable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6"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In March 2020, the World Health Organization, or WHO, declared the outbreak of a disease caused by a novel strain of the coronavirus (COVID-19) to be a pandemic, or pandemic. This pandemic is having widespread, rapidly-evolving, and unpredictable impacts on global societies, economies, financial markets, and business practices. Federal and state governments have implemented measures in an effort to contain the virus, including physical distancing, travel bans and restrictions, closure of non-essential businesses, quarantines, work-from-home directives, shelter-in-place orders, and limitations on public gatherings. These measurements have caused, and are continuing to cause, business slowdowns or shutdowns in affected areas, both regionally and worldwide.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4" w:name="page25"/>
    <w:bookmarkEnd w:id="24"/>
    <w:p>
      <w:pPr>
        <w:ind w:right="20" w:firstLine="510"/>
        <w:spacing w:after="0" w:line="253" w:lineRule="auto"/>
        <w:rPr>
          <w:sz w:val="20"/>
          <w:szCs w:val="20"/>
          <w:color w:val="auto"/>
        </w:rPr>
      </w:pPr>
      <w:r>
        <w:rPr>
          <w:rFonts w:ascii="Arial" w:cs="Arial" w:eastAsia="Arial" w:hAnsi="Arial"/>
          <w:sz w:val="18"/>
          <w:szCs w:val="18"/>
          <w:color w:val="auto"/>
        </w:rPr>
        <w:t>Our focus remains on promoting employee health and safety, serving our customers, and ensuring business continuity. In March 2020, we temporarily closed our global offices, including our corporate headquarters, suspended all company-related travel, and all HubSpot employees globally were required to work from home. We shifted our Solutions Partner events and INBOUND 2020 to virtual-only experiences, and have cancelled other customer and industry events. We have begun to slowly re-open our offices on a staggered, region-to-region basis in accordance with local authority guidelines, and are working to ensure that our return to work is thoughtful, prudent, and handled with an abundance of caution with the health of our employees being the top priority.</w:t>
      </w:r>
    </w:p>
    <w:p>
      <w:pPr>
        <w:spacing w:after="0" w:line="192" w:lineRule="exact"/>
        <w:rPr>
          <w:sz w:val="20"/>
          <w:szCs w:val="20"/>
          <w:color w:val="auto"/>
        </w:rPr>
      </w:pPr>
    </w:p>
    <w:p>
      <w:pPr>
        <w:ind w:right="60" w:firstLine="510"/>
        <w:spacing w:after="0" w:line="307" w:lineRule="auto"/>
        <w:rPr>
          <w:sz w:val="20"/>
          <w:szCs w:val="20"/>
          <w:color w:val="auto"/>
        </w:rPr>
      </w:pPr>
      <w:r>
        <w:rPr>
          <w:rFonts w:ascii="Arial" w:cs="Arial" w:eastAsia="Arial" w:hAnsi="Arial"/>
          <w:sz w:val="16"/>
          <w:szCs w:val="16"/>
          <w:color w:val="auto"/>
        </w:rPr>
        <w:t>Given that the economic consequences of the pandemic have been exceptionally challenging for many of our customers and prospects, we also implemented certain changes to our pricing structure in March 2020, including reducing prices on our Starter Growth Suite, offering certain product functionality free of charge, suspending marketing email send limits, and offering a six-month advance on commissions to certain of our Solutions Partners.</w:t>
      </w:r>
    </w:p>
    <w:p>
      <w:pPr>
        <w:spacing w:after="0" w:line="15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broader implications of the pandemic on our results of operations and overall financial performance remain uncertain. The pandemic and its adverse effects are prevalent in the locations where we, our customers, and partners conduct business. As a result, we have experienced and may continue to experience curtailed customer demand that could adversely impact our business, results of operations and overall financial performance in future periods. Specifically, we may be impacted by changes in our customers’ ability or willingness to purchase our offerings; changes in the timing of our current or prospective customers’ purchasing decisions; pricing discounts or extended payment terms; reductions in the amount or duration of customers’ subscription contracts; or increased customer attrition rates. While our revenue, customer retention, and earnings are relatively predictable as a result of our subscription-based business model, the effect of the pandemic and the resulting decrease in customer demand will not be fully reflected in our results of operations and overall financial performance until future periods.</w:t>
      </w:r>
    </w:p>
    <w:p>
      <w:pPr>
        <w:spacing w:after="0" w:line="184" w:lineRule="exact"/>
        <w:rPr>
          <w:sz w:val="20"/>
          <w:szCs w:val="20"/>
          <w:color w:val="auto"/>
        </w:rPr>
      </w:pPr>
    </w:p>
    <w:p>
      <w:pPr>
        <w:ind w:right="80" w:firstLine="510"/>
        <w:spacing w:after="0" w:line="267" w:lineRule="auto"/>
        <w:rPr>
          <w:sz w:val="20"/>
          <w:szCs w:val="20"/>
          <w:color w:val="auto"/>
        </w:rPr>
      </w:pPr>
      <w:r>
        <w:rPr>
          <w:rFonts w:ascii="Arial" w:cs="Arial" w:eastAsia="Arial" w:hAnsi="Arial"/>
          <w:sz w:val="17"/>
          <w:szCs w:val="17"/>
          <w:color w:val="auto"/>
        </w:rPr>
        <w:t>While the implications of the pandemic remain uncertain, we plan to continue to make investments to support business growth. We believe that the growth of our business is dependent on many factors, including our ability to expand our customer base, increase adoption of our Growth Platform within existing customers, develop new products and applications to extend the functionality of our Growth Platform and provide a high level of customer service. We expect to invest in sales and marketing to support customer growth. We also expect to invest in research and development as we continue to introduce new products and applications to extend the functionality of our Growth Platform. We also intend to maintain a high level of customer service and support which we consider critical for our continued success. We plan to continue to invest in our data center infrastructure and services capabilities in order to support continued customer growth. We also expect to continue to incur general and administrative expenses to support our business and to maintain the infrastructure required to be a public company. We expect to use our cash flow from operations and the proceeds from our convertible debt and stock offerings to fund these growth strategies and support our business despite the potential impact from the pandemic and do not expect to be profitable in the near term.</w:t>
      </w:r>
    </w:p>
    <w:p>
      <w:pPr>
        <w:spacing w:after="0" w:line="185" w:lineRule="exact"/>
        <w:rPr>
          <w:sz w:val="20"/>
          <w:szCs w:val="20"/>
          <w:color w:val="auto"/>
        </w:rPr>
      </w:pPr>
    </w:p>
    <w:p>
      <w:pPr>
        <w:ind w:right="460" w:firstLine="510"/>
        <w:spacing w:after="0" w:line="272" w:lineRule="auto"/>
        <w:rPr>
          <w:sz w:val="20"/>
          <w:szCs w:val="20"/>
          <w:color w:val="auto"/>
        </w:rPr>
      </w:pPr>
      <w:r>
        <w:rPr>
          <w:rFonts w:ascii="Arial" w:cs="Arial" w:eastAsia="Arial" w:hAnsi="Arial"/>
          <w:sz w:val="18"/>
          <w:szCs w:val="18"/>
          <w:color w:val="auto"/>
        </w:rPr>
        <w:t>See the section titled “Risk Factors” included under Part II, Item 1A below for further discussion of the possible impact of the pandemic on our business.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2020 and 2019</w:t>
      </w:r>
    </w:p>
    <w:p>
      <w:pPr>
        <w:spacing w:after="0" w:line="119"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700" w:type="dxa"/>
        <w:tblCellMar>
          <w:top w:w="0" w:type="dxa"/>
          <w:left w:w="0" w:type="dxa"/>
          <w:bottom w:w="0" w:type="dxa"/>
          <w:right w:w="0" w:type="dxa"/>
        </w:tblCellMar>
      </w:tblPr>
      <w:tr>
        <w:trPr>
          <w:trHeight w:val="143"/>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right"/>
              <w:ind w:right="720"/>
              <w:spacing w:after="0" w:line="143"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860" w:type="dxa"/>
            <w:vAlign w:val="bottom"/>
            <w:gridSpan w:val="7"/>
          </w:tcPr>
          <w:p>
            <w:pPr>
              <w:jc w:val="right"/>
              <w:ind w:right="602"/>
              <w:spacing w:after="0" w:line="143"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20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860" w:type="dxa"/>
            <w:vAlign w:val="bottom"/>
            <w:gridSpan w:val="7"/>
          </w:tcPr>
          <w:p>
            <w:pPr>
              <w:ind w:left="3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4"/>
        </w:trPr>
        <w:tc>
          <w:tcPr>
            <w:tcW w:w="3780" w:type="dxa"/>
            <w:vAlign w:val="bottom"/>
            <w:tcBorders>
              <w:bottom w:val="single" w:sz="8" w:color="CFF0FC"/>
            </w:tcBorders>
            <w:gridSpan w:val="2"/>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3"/>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2"/>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3"/>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52"/>
              <w:spacing w:after="0" w:line="154"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196,415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155,876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387,643</w:t>
            </w:r>
          </w:p>
        </w:tc>
        <w:tc>
          <w:tcPr>
            <w:tcW w:w="1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300,102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203,608</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163,255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402,575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315,053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60,135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44,879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7,564</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16,926</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38,777</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31,142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77,061</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132,113</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325,514</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254,333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95,573</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84,079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204,928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158,984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23,303</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52,741</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178,456</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147,838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353,242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279,094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(15,725)</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180" w:type="dxa"/>
            <w:vAlign w:val="bottom"/>
            <w:tcBorders>
              <w:right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(24,761)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6,192</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9"/>
                <w:szCs w:val="19"/>
                <w:color w:val="auto"/>
              </w:rPr>
            </w:pPr>
          </w:p>
        </w:tc>
        <w:tc>
          <w:tcPr>
            <w:tcW w:w="900" w:type="dxa"/>
            <w:vAlign w:val="bottom"/>
            <w:gridSpan w:val="3"/>
          </w:tcPr>
          <w:p>
            <w:pPr>
              <w:jc w:val="right"/>
              <w:ind w:right="42"/>
              <w:spacing w:after="0"/>
              <w:rPr>
                <w:sz w:val="20"/>
                <w:szCs w:val="20"/>
                <w:color w:val="auto"/>
              </w:rPr>
            </w:pPr>
            <w:r>
              <w:rPr>
                <w:rFonts w:ascii="Arial" w:cs="Arial" w:eastAsia="Arial" w:hAnsi="Arial"/>
                <w:sz w:val="18"/>
                <w:szCs w:val="18"/>
                <w:color w:val="auto"/>
              </w:rPr>
              <w:t>(22,761)</w:t>
            </w: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1"/>
        </w:trPr>
        <w:tc>
          <w:tcPr>
            <w:tcW w:w="378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(14,765</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(17,712</w:t>
            </w:r>
          </w:p>
        </w:tc>
        <w:tc>
          <w:tcPr>
            <w:tcW w:w="180" w:type="dxa"/>
            <w:vAlign w:val="bottom"/>
            <w:tcBorders>
              <w:bottom w:val="single" w:sz="8" w:color="CFF0FC"/>
            </w:tcBorders>
          </w:tcPr>
          <w:p>
            <w:pPr>
              <w:jc w:val="right"/>
              <w:ind w:right="4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(45,440)</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4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900" w:type="dxa"/>
            <w:vAlign w:val="bottom"/>
            <w:gridSpan w:val="3"/>
          </w:tcPr>
          <w:p>
            <w:pPr>
              <w:jc w:val="right"/>
              <w:ind w:right="42"/>
              <w:spacing w:after="0"/>
              <w:rPr>
                <w:sz w:val="20"/>
                <w:szCs w:val="20"/>
                <w:color w:val="auto"/>
              </w:rPr>
            </w:pPr>
            <w:r>
              <w:rPr>
                <w:rFonts w:ascii="Arial" w:cs="Arial" w:eastAsia="Arial" w:hAnsi="Arial"/>
                <w:sz w:val="18"/>
                <w:szCs w:val="18"/>
                <w:color w:val="auto"/>
              </w:rPr>
              <w:t>(1,677)</w:t>
            </w: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21"/>
        </w:trPr>
        <w:tc>
          <w:tcPr>
            <w:tcW w:w="3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(29,401</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(47,117</w:t>
            </w:r>
          </w:p>
        </w:tc>
        <w:tc>
          <w:tcPr>
            <w:tcW w:w="180" w:type="dxa"/>
            <w:vAlign w:val="bottom"/>
            <w:tcBorders>
              <w:top w:val="single" w:sz="8" w:color="CFF0FC"/>
              <w:bottom w:val="single" w:sz="8" w:color="CFF0FC"/>
              <w:right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(28,457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24"/>
                <w:szCs w:val="24"/>
                <w:color w:val="auto"/>
              </w:rPr>
            </w:pPr>
          </w:p>
        </w:tc>
        <w:tc>
          <w:tcPr>
            <w:tcW w:w="1080" w:type="dxa"/>
            <w:vAlign w:val="bottom"/>
            <w:gridSpan w:val="4"/>
          </w:tcPr>
          <w:p>
            <w:pPr>
              <w:ind w:left="360"/>
              <w:spacing w:after="0"/>
              <w:rPr>
                <w:sz w:val="20"/>
                <w:szCs w:val="20"/>
                <w:color w:val="auto"/>
              </w:rPr>
            </w:pPr>
            <w:r>
              <w:rPr>
                <w:rFonts w:ascii="Arial" w:cs="Arial" w:eastAsia="Arial" w:hAnsi="Arial"/>
                <w:sz w:val="14"/>
                <w:szCs w:val="14"/>
                <w:b w:val="1"/>
                <w:bCs w:val="1"/>
                <w:color w:val="auto"/>
                <w:w w:val="93"/>
              </w:rPr>
              <w:t>Six Months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860" w:type="dxa"/>
            <w:vAlign w:val="bottom"/>
            <w:gridSpan w:val="7"/>
          </w:tcPr>
          <w:p>
            <w:pPr>
              <w:jc w:val="right"/>
              <w:ind w:right="602"/>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4"/>
        </w:trPr>
        <w:tc>
          <w:tcPr>
            <w:tcW w:w="36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3"/>
              <w:spacing w:after="0" w:line="154"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spacing w:after="0"/>
              <w:rPr>
                <w:sz w:val="19"/>
                <w:szCs w:val="19"/>
                <w:color w:val="auto"/>
              </w:rPr>
            </w:pPr>
          </w:p>
        </w:tc>
        <w:tc>
          <w:tcPr>
            <w:tcW w:w="780" w:type="dxa"/>
            <w:vAlign w:val="bottom"/>
            <w:gridSpan w:val="2"/>
          </w:tcPr>
          <w:p>
            <w:pPr>
              <w:jc w:val="right"/>
              <w:ind w:right="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Subscription</w:t>
            </w:r>
          </w:p>
        </w:tc>
        <w:tc>
          <w:tcPr>
            <w:tcW w:w="10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vMerge w:val="continue"/>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62"/>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60"/>
          </w:cols>
          <w:pgMar w:left="320" w:top="657"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Three and Six Months Ended June 30, 2020 Compared to the Three and Six Months Ended June 30, 2019</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tbl>
      <w:tblPr>
        <w:tblLayout w:type="fixed"/>
        <w:tblInd w:w="580" w:type="dxa"/>
        <w:tblCellMar>
          <w:top w:w="0" w:type="dxa"/>
          <w:left w:w="0" w:type="dxa"/>
          <w:bottom w:w="0" w:type="dxa"/>
          <w:right w:w="0" w:type="dxa"/>
        </w:tblCellMar>
      </w:tblPr>
      <w:tr>
        <w:trPr>
          <w:trHeight w:val="160"/>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1920" w:type="dxa"/>
            <w:vAlign w:val="bottom"/>
            <w:gridSpan w:val="6"/>
            <w:vMerge w:val="continue"/>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2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80"/>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5"/>
              <w:spacing w:after="0" w:line="154" w:lineRule="exact"/>
              <w:rPr>
                <w:sz w:val="20"/>
                <w:szCs w:val="20"/>
                <w:color w:val="auto"/>
              </w:rPr>
            </w:pPr>
            <w:r>
              <w:rPr>
                <w:rFonts w:ascii="Arial" w:cs="Arial" w:eastAsia="Arial" w:hAnsi="Arial"/>
                <w:sz w:val="14"/>
                <w:szCs w:val="14"/>
                <w:b w:val="1"/>
                <w:bCs w:val="1"/>
                <w:color w:val="auto"/>
              </w:rPr>
              <w:t>2019</w:t>
            </w:r>
          </w:p>
        </w:tc>
        <w:tc>
          <w:tcPr>
            <w:tcW w:w="3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5"/>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5"/>
              <w:spacing w:after="0" w:line="154"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0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196,415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155,876</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40,539</w:t>
            </w: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387,643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300,102</w:t>
            </w:r>
          </w:p>
        </w:tc>
        <w:tc>
          <w:tcPr>
            <w:tcW w:w="16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87,541</w:t>
            </w:r>
          </w:p>
        </w:tc>
        <w:tc>
          <w:tcPr>
            <w:tcW w:w="1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26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Professional services and other</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(186)</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26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203,608</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163,255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40,353</w:t>
            </w: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402,575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315,053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87,522</w:t>
            </w:r>
          </w:p>
        </w:tc>
        <w:tc>
          <w:tcPr>
            <w:tcW w:w="1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160" w:firstLine="510"/>
        <w:spacing w:after="0" w:line="317" w:lineRule="auto"/>
        <w:rPr>
          <w:sz w:val="20"/>
          <w:szCs w:val="20"/>
          <w:color w:val="auto"/>
        </w:rPr>
      </w:pPr>
      <w:r>
        <w:rPr>
          <w:rFonts w:ascii="Arial" w:cs="Arial" w:eastAsia="Arial" w:hAnsi="Arial"/>
          <w:sz w:val="15"/>
          <w:szCs w:val="15"/>
          <w:color w:val="auto"/>
        </w:rPr>
        <w:t>Subscription revenue increased during the three months ended June 30, 2020 compared to the same period in 2019 primarily due to the increase in Total Customers, which grew from 64,836 as of June 30, 2019 to 86,672 as of June 30, 2020. Total Average Subscription Revenue per Customer decreased from $9,913 for the three months ended June 30, 2019 to $9,466 for the three months ended June 30, 2020. The growth in Total Customers was primarily driven by our increased sales representative capacity to meet market demand as well as the freemium model. The decrease in average subscription revenue per customer was driven primarily by the volume of continued purchases of our lower priced starter products and downgrades as a result of the pandemic.</w:t>
      </w:r>
    </w:p>
    <w:p>
      <w:pPr>
        <w:spacing w:after="0" w:line="148"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The 3% decrease in professional services and other revenue resulted primarily from changes to our pricing structure in March, as well as fewer events and classroom trainings being held due to social gathering restrictions and travel bans caused by the pandemic.</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8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Subscription revenue increased during the six months ended June 30, 2020 compared to the same period in 2019 primarily due to the increase in Total Customers, which grew from 64,836 as of June 30, 2019 to 86,672 as of June 30, 2020. Total Average Subscription Revenue per Customer decreased from $9,871 for the six months ended June 30, 2019 to $9,651 for the six months ended June 30, 2020. The growth in Total Customers was primarily driven by our increased sales representative capacity to meet market demand as well as the freemium model. The decrease in average subscription revenue per customer was driven primarily by the volume of continued purchases of our lower priced starter products and downgrades as a result of the pandemic.</w:t>
      </w:r>
    </w:p>
    <w:p>
      <w:pPr>
        <w:spacing w:after="0" w:line="231" w:lineRule="exact"/>
        <w:rPr>
          <w:sz w:val="20"/>
          <w:szCs w:val="20"/>
          <w:color w:val="auto"/>
        </w:rPr>
      </w:pPr>
    </w:p>
    <w:p>
      <w:pPr>
        <w:ind w:right="340" w:firstLine="510"/>
        <w:spacing w:after="0" w:line="272" w:lineRule="auto"/>
        <w:rPr>
          <w:sz w:val="20"/>
          <w:szCs w:val="20"/>
          <w:color w:val="auto"/>
        </w:rPr>
      </w:pPr>
      <w:r>
        <w:rPr>
          <w:rFonts w:ascii="Arial" w:cs="Arial" w:eastAsia="Arial" w:hAnsi="Arial"/>
          <w:sz w:val="18"/>
          <w:szCs w:val="18"/>
          <w:color w:val="auto"/>
        </w:rPr>
        <w:t>The slight decrease in professional services and other revenue resulted primarily from changes to our pricing structure in March, as well as fewer events and classroom trainings being held due to social gathering restrictions and travel bans caused by the pandemic.</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20"/>
                <w:szCs w:val="20"/>
                <w:color w:val="auto"/>
              </w:rPr>
            </w:pPr>
          </w:p>
        </w:tc>
        <w:tc>
          <w:tcPr>
            <w:tcW w:w="60" w:type="dxa"/>
            <w:vAlign w:val="bottom"/>
            <w:tcBorders>
              <w:top w:val="single" w:sz="8" w:color="auto"/>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7,635</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16,341</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2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164,831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132,113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32,718</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325,514</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254,333</w:t>
            </w:r>
          </w:p>
        </w:tc>
        <w:tc>
          <w:tcPr>
            <w:tcW w:w="200" w:type="dxa"/>
            <w:vAlign w:val="bottom"/>
          </w:tcPr>
          <w:p>
            <w:pPr>
              <w:spacing w:after="0"/>
              <w:rPr>
                <w:sz w:val="19"/>
                <w:szCs w:val="19"/>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71,181</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 percentage</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Total cost of revenue for the three and six months ended June 30, 2020 increased compared to the same period in 2019 primarily due to an increase in subscription and hosting costs, amortization of capitalized software development costs, employee-related costs, allocated overheard expenses, and amortization of acquired technology. Gross margins remained consistent year-over-year.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80" w:type="dxa"/>
            <w:vAlign w:val="bottom"/>
            <w:gridSpan w:val="2"/>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jc w:val="right"/>
              <w:ind w:right="10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00" w:type="dxa"/>
            <w:vAlign w:val="bottom"/>
            <w:tcBorders>
              <w:right w:val="single" w:sz="8" w:color="CFF0FC"/>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31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$ 30,400</w:t>
            </w:r>
          </w:p>
        </w:tc>
        <w:tc>
          <w:tcPr>
            <w:tcW w:w="24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$ 23,578</w:t>
            </w:r>
          </w:p>
        </w:tc>
        <w:tc>
          <w:tcPr>
            <w:tcW w:w="24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6,822</w:t>
            </w:r>
          </w:p>
        </w:tc>
        <w:tc>
          <w:tcPr>
            <w:tcW w:w="160" w:type="dxa"/>
            <w:vAlign w:val="bottom"/>
            <w:vMerge w:val="continue"/>
            <w:shd w:val="clear" w:color="auto" w:fill="CFF0FC"/>
          </w:tcPr>
          <w:p>
            <w:pPr>
              <w:spacing w:after="0"/>
              <w:rPr>
                <w:sz w:val="19"/>
                <w:szCs w:val="19"/>
                <w:color w:val="auto"/>
              </w:rPr>
            </w:pPr>
          </w:p>
        </w:tc>
        <w:tc>
          <w:tcPr>
            <w:tcW w:w="9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$ 60,135</w:t>
            </w:r>
          </w:p>
        </w:tc>
        <w:tc>
          <w:tcPr>
            <w:tcW w:w="24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$ 44,879</w:t>
            </w:r>
          </w:p>
        </w:tc>
        <w:tc>
          <w:tcPr>
            <w:tcW w:w="24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15,256</w:t>
            </w:r>
          </w:p>
        </w:tc>
        <w:tc>
          <w:tcPr>
            <w:tcW w:w="160" w:type="dxa"/>
            <w:vAlign w:val="bottom"/>
            <w:vMerge w:val="continue"/>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357"/>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bookmarkStart w:id="27" w:name="page28"/>
    <w:bookmarkEnd w:id="27"/>
    <w:p>
      <w:pPr>
        <w:ind w:right="220" w:firstLine="510"/>
        <w:spacing w:after="0" w:line="272" w:lineRule="auto"/>
        <w:rPr>
          <w:sz w:val="20"/>
          <w:szCs w:val="20"/>
          <w:color w:val="auto"/>
        </w:rPr>
      </w:pPr>
      <w:r>
        <w:rPr>
          <w:rFonts w:ascii="Arial" w:cs="Arial" w:eastAsia="Arial" w:hAnsi="Arial"/>
          <w:sz w:val="18"/>
          <w:szCs w:val="18"/>
          <w:color w:val="auto"/>
        </w:rPr>
        <w:t>The increase in subscription cost of revenue for the three and six months ended June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ind w:left="88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auto"/>
                <w:w w:val="93"/>
              </w:rPr>
              <w:t>Three Months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w:t>
            </w:r>
          </w:p>
        </w:tc>
      </w:tr>
      <w:tr>
        <w:trPr>
          <w:trHeight w:val="154"/>
        </w:trPr>
        <w:tc>
          <w:tcPr>
            <w:tcW w:w="5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5"/>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r>
      <w:tr>
        <w:trPr>
          <w:trHeight w:val="241"/>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11,324</w:t>
            </w:r>
          </w:p>
        </w:tc>
        <w:tc>
          <w:tcPr>
            <w:tcW w:w="80" w:type="dxa"/>
            <w:vAlign w:val="bottom"/>
            <w:shd w:val="clear" w:color="auto" w:fill="CFF0FC"/>
          </w:tcPr>
          <w:p>
            <w:pPr>
              <w:spacing w:after="0"/>
              <w:rPr>
                <w:sz w:val="20"/>
                <w:szCs w:val="20"/>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20"/>
                <w:szCs w:val="20"/>
                <w:color w:val="auto"/>
              </w:rPr>
            </w:pPr>
          </w:p>
        </w:tc>
      </w:tr>
      <w:tr>
        <w:trPr>
          <w:trHeight w:val="24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FF0FC"/>
          </w:tcPr>
          <w:p>
            <w:pPr>
              <w:spacing w:after="0"/>
              <w:rPr>
                <w:sz w:val="21"/>
                <w:szCs w:val="2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20"/>
                <w:szCs w:val="20"/>
                <w:color w:val="auto"/>
              </w:rPr>
            </w:pPr>
          </w:p>
        </w:tc>
      </w:tr>
      <w:tr>
        <w:trPr>
          <w:trHeight w:val="235"/>
        </w:trPr>
        <w:tc>
          <w:tcPr>
            <w:tcW w:w="5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6,822</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15,256</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22" w:lineRule="exact"/>
        <w:rPr>
          <w:sz w:val="20"/>
          <w:szCs w:val="20"/>
          <w:color w:val="auto"/>
        </w:rPr>
      </w:pPr>
    </w:p>
    <w:p>
      <w:pPr>
        <w:ind w:firstLine="579"/>
        <w:spacing w:after="0" w:line="252" w:lineRule="auto"/>
        <w:rPr>
          <w:sz w:val="20"/>
          <w:szCs w:val="20"/>
          <w:color w:val="auto"/>
        </w:rPr>
      </w:pPr>
      <w:r>
        <w:rPr>
          <w:rFonts w:ascii="Arial" w:cs="Arial" w:eastAsia="Arial" w:hAnsi="Arial"/>
          <w:sz w:val="18"/>
          <w:szCs w:val="18"/>
          <w:color w:val="auto"/>
        </w:rPr>
        <w:t>Subscription and hosting costs increased primarily due to growth in our Total Customer base from 64,836 as of June 30, 2019 to 86,672 as of June 30, 2020. Additionally, we saw higher subscription and hosting costs as we focus on the security, reliability and performance of our Growth Platform. Amortization of capitalized software development costs increased due to the increased number of developers working on our software platform as we continue to develop new products and increased functionality. Employee-related costs increased as a result of increased headcount as we continue to grow our customer support organization to support our customer growth and improve service levels and offerings, offset by reduced discretionary spending as a result of the pandemic. Allocated overhead expenses increased due to the expansion of our leased space and infrastructure as we continued to grow our business and expand headcount. Amortization of acquired technology increased due to acquired technology being placed into service during the fourth quarter of 2019.</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22"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Subscription and hosting costs increased primarily due to growth in our Total Customer base from 64,836 as of June 30, 2019 to 86,672 as of June 30, 2020. Additionally, we saw higher subscription and hosting costs as we focus on the security, reliability and performance of our Growth Platform. Amortization of capitalized software development costs increased due to the increased number of developers working on our software platform as we continue to develop new products and increased functionality. Employee-related costs increased as a result of increased headcount as we continue to grow our customer support organization to support our customer growth and improve service levels and offerings, offset by reduced discretionary spending as a result of the pandemic. Allocated overhead expenses increased due to the expansion of our leased space and infrastructure as we continued to grow our business and expand headcount. Amortization of acquired technology increased due to acquired technology being placed into service during the fourth quarter of 2019.</w:t>
      </w:r>
    </w:p>
    <w:p>
      <w:pPr>
        <w:spacing w:after="0" w:line="39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rPr>
              <w:t>% Change</w:t>
            </w: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0"/>
                <w:szCs w:val="20"/>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7"/>
        </w:trPr>
        <w:tc>
          <w:tcPr>
            <w:tcW w:w="2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Professional services and other cost of</w:t>
            </w:r>
          </w:p>
        </w:tc>
        <w:tc>
          <w:tcPr>
            <w:tcW w:w="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8,377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7,564</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220" w:type="dxa"/>
            <w:vAlign w:val="bottom"/>
            <w:gridSpan w:val="4"/>
            <w:shd w:val="clear" w:color="auto" w:fill="CFF0FC"/>
          </w:tcPr>
          <w:p>
            <w:pPr>
              <w:jc w:val="right"/>
              <w:ind w:right="9"/>
              <w:spacing w:after="0"/>
              <w:rPr>
                <w:sz w:val="20"/>
                <w:szCs w:val="20"/>
                <w:color w:val="auto"/>
              </w:rPr>
            </w:pPr>
            <w:r>
              <w:rPr>
                <w:rFonts w:ascii="Arial" w:cs="Arial" w:eastAsia="Arial" w:hAnsi="Arial"/>
                <w:sz w:val="18"/>
                <w:szCs w:val="18"/>
                <w:color w:val="auto"/>
              </w:rPr>
              <w:t>11% $</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16,926</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15,841</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1,085</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Percentage of professional services and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40" w:type="dxa"/>
            <w:vAlign w:val="bottom"/>
            <w:gridSpan w:val="2"/>
          </w:tcPr>
          <w:p>
            <w:pPr>
              <w:ind w:left="140"/>
              <w:spacing w:after="0"/>
              <w:rPr>
                <w:sz w:val="20"/>
                <w:szCs w:val="20"/>
                <w:color w:val="auto"/>
              </w:rPr>
            </w:pPr>
            <w:r>
              <w:rPr>
                <w:rFonts w:ascii="Arial" w:cs="Arial" w:eastAsia="Arial" w:hAnsi="Arial"/>
                <w:sz w:val="18"/>
                <w:szCs w:val="18"/>
                <w:color w:val="auto"/>
              </w:rPr>
              <w:t>other revenue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106 %</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firstLine="510"/>
        <w:spacing w:after="0" w:line="272" w:lineRule="auto"/>
        <w:rPr>
          <w:sz w:val="20"/>
          <w:szCs w:val="20"/>
          <w:color w:val="auto"/>
        </w:rPr>
      </w:pPr>
      <w:r>
        <w:rPr>
          <w:rFonts w:ascii="Arial" w:cs="Arial" w:eastAsia="Arial" w:hAnsi="Arial"/>
          <w:sz w:val="18"/>
          <w:szCs w:val="18"/>
          <w:color w:val="auto"/>
        </w:rPr>
        <w:t>The increase in professional services and other cost of revenue for the three and six months ended June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tcPr>
          <w:p>
            <w:pPr>
              <w:ind w:left="880"/>
              <w:spacing w:after="0"/>
              <w:rPr>
                <w:sz w:val="20"/>
                <w:szCs w:val="20"/>
                <w:color w:val="auto"/>
              </w:rPr>
            </w:pPr>
            <w:r>
              <w:rPr>
                <w:rFonts w:ascii="Arial" w:cs="Arial" w:eastAsia="Arial" w:hAnsi="Arial"/>
                <w:sz w:val="14"/>
                <w:szCs w:val="14"/>
                <w:b w:val="1"/>
                <w:bCs w:val="1"/>
                <w:color w:val="auto"/>
              </w:rPr>
              <w:t>Change</w:t>
            </w:r>
          </w:p>
        </w:tc>
      </w:tr>
      <w:tr>
        <w:trPr>
          <w:trHeight w:val="213"/>
        </w:trPr>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Three Months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8"/>
                <w:szCs w:val="18"/>
                <w:color w:val="auto"/>
              </w:rPr>
            </w:pPr>
          </w:p>
        </w:tc>
      </w:tr>
      <w:tr>
        <w:trPr>
          <w:trHeight w:val="221"/>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21"/>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r>
      <w:tr>
        <w:trPr>
          <w:trHeight w:val="228"/>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 and allocated overhead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right w:val="single" w:sz="8" w:color="CFF0FC"/>
            </w:tcBorders>
            <w:shd w:val="clear" w:color="auto" w:fill="CFF0FC"/>
          </w:tcPr>
          <w:p>
            <w:pPr>
              <w:jc w:val="right"/>
              <w:ind w:right="1"/>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FF0FC"/>
          </w:tcPr>
          <w:p>
            <w:pPr>
              <w:spacing w:after="0"/>
              <w:rPr>
                <w:sz w:val="19"/>
                <w:szCs w:val="19"/>
                <w:color w:val="auto"/>
              </w:rPr>
            </w:pPr>
          </w:p>
        </w:tc>
      </w:tr>
      <w:tr>
        <w:trPr>
          <w:trHeight w:val="234"/>
        </w:trPr>
        <w:tc>
          <w:tcPr>
            <w:tcW w:w="5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813</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380" w:right="419" w:bottom="1440" w:gutter="0" w:footer="0" w:header="0"/>
        </w:sectPr>
      </w:pPr>
    </w:p>
    <w:bookmarkStart w:id="28" w:name="page29"/>
    <w:bookmarkEnd w:id="28"/>
    <w:p>
      <w:pPr>
        <w:ind w:right="600" w:firstLine="510"/>
        <w:spacing w:after="0" w:line="272" w:lineRule="auto"/>
        <w:rPr>
          <w:sz w:val="20"/>
          <w:szCs w:val="20"/>
          <w:color w:val="auto"/>
        </w:rPr>
      </w:pPr>
      <w:r>
        <w:rPr>
          <w:rFonts w:ascii="Arial" w:cs="Arial" w:eastAsia="Arial" w:hAnsi="Arial"/>
          <w:sz w:val="18"/>
          <w:szCs w:val="18"/>
          <w:color w:val="auto"/>
        </w:rPr>
        <w:t>Employee-related costs and allocated overhead expenses increased as a result of increased headcount as we continue to grow our professional services organization to support our customer growth.</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89" w:lineRule="exact"/>
        <w:rPr>
          <w:sz w:val="20"/>
          <w:szCs w:val="20"/>
          <w:color w:val="auto"/>
        </w:rPr>
      </w:pPr>
    </w:p>
    <w:p>
      <w:pPr>
        <w:ind w:right="600" w:firstLine="510"/>
        <w:spacing w:after="0" w:line="272" w:lineRule="auto"/>
        <w:rPr>
          <w:sz w:val="20"/>
          <w:szCs w:val="20"/>
          <w:color w:val="auto"/>
        </w:rPr>
      </w:pPr>
      <w:r>
        <w:rPr>
          <w:rFonts w:ascii="Arial" w:cs="Arial" w:eastAsia="Arial" w:hAnsi="Arial"/>
          <w:sz w:val="18"/>
          <w:szCs w:val="18"/>
          <w:color w:val="auto"/>
        </w:rPr>
        <w:t>Employee-related costs and allocated overhead expenses increased as a result of increased headcount as we continue to grow our professional services organization to support our customer growth.</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vMerge w:val="restart"/>
          </w:tcPr>
          <w:p>
            <w:pPr>
              <w:spacing w:after="0"/>
              <w:rPr>
                <w:sz w:val="14"/>
                <w:szCs w:val="14"/>
                <w:color w:val="auto"/>
              </w:rPr>
            </w:pPr>
          </w:p>
        </w:tc>
        <w:tc>
          <w:tcPr>
            <w:tcW w:w="17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640" w:type="dxa"/>
            <w:vAlign w:val="bottom"/>
            <w:tcBorders>
              <w:top w:val="single" w:sz="8" w:color="auto"/>
              <w:bottom w:val="single" w:sz="8" w:color="auto"/>
            </w:tcBorders>
          </w:tcPr>
          <w:p>
            <w:pPr>
              <w:jc w:val="right"/>
              <w:ind w:right="10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9"/>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$ 49,372</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$ 40,456</w:t>
            </w: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8,916</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$ 95,573</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$ 75,633</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$ 19,940</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0"/>
        </w:trPr>
        <w:tc>
          <w:tcPr>
            <w:tcW w:w="294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20" w:firstLine="510"/>
        <w:spacing w:after="0" w:line="272" w:lineRule="auto"/>
        <w:rPr>
          <w:sz w:val="20"/>
          <w:szCs w:val="20"/>
          <w:color w:val="auto"/>
        </w:rPr>
      </w:pPr>
      <w:r>
        <w:rPr>
          <w:rFonts w:ascii="Arial" w:cs="Arial" w:eastAsia="Arial" w:hAnsi="Arial"/>
          <w:sz w:val="18"/>
          <w:szCs w:val="18"/>
          <w:color w:val="auto"/>
        </w:rPr>
        <w:t>The increase in research and development expense for the three and six months ended June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ind w:left="86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Six Months</w:t>
            </w:r>
          </w:p>
        </w:tc>
      </w:tr>
      <w:tr>
        <w:trPr>
          <w:trHeight w:val="154"/>
        </w:trPr>
        <w:tc>
          <w:tcPr>
            <w:tcW w:w="5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8"/>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15,914</w:t>
            </w:r>
          </w:p>
        </w:tc>
        <w:tc>
          <w:tcPr>
            <w:tcW w:w="80" w:type="dxa"/>
            <w:vAlign w:val="bottom"/>
            <w:shd w:val="clear" w:color="auto" w:fill="CFF0FC"/>
          </w:tcPr>
          <w:p>
            <w:pPr>
              <w:spacing w:after="0"/>
              <w:rPr>
                <w:sz w:val="19"/>
                <w:szCs w:val="19"/>
                <w:color w:val="auto"/>
              </w:rPr>
            </w:pPr>
          </w:p>
        </w:tc>
      </w:tr>
      <w:tr>
        <w:trPr>
          <w:trHeight w:val="228"/>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80" w:type="dxa"/>
            <w:vAlign w:val="bottom"/>
            <w:tcBorders>
              <w:bottom w:val="single" w:sz="8" w:color="CFF0FC"/>
            </w:tcBorders>
          </w:tcPr>
          <w:p>
            <w:pPr>
              <w:spacing w:after="0"/>
              <w:rPr>
                <w:sz w:val="19"/>
                <w:szCs w:val="19"/>
                <w:color w:val="auto"/>
              </w:rPr>
            </w:pPr>
          </w:p>
        </w:tc>
      </w:tr>
      <w:tr>
        <w:trPr>
          <w:trHeight w:val="234"/>
        </w:trPr>
        <w:tc>
          <w:tcPr>
            <w:tcW w:w="5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02" w:lineRule="exact"/>
        <w:rPr>
          <w:sz w:val="20"/>
          <w:szCs w:val="20"/>
          <w:color w:val="auto"/>
        </w:rPr>
      </w:pPr>
    </w:p>
    <w:p>
      <w:pPr>
        <w:ind w:right="240" w:firstLine="510"/>
        <w:spacing w:after="0" w:line="307" w:lineRule="auto"/>
        <w:rPr>
          <w:sz w:val="20"/>
          <w:szCs w:val="20"/>
          <w:color w:val="auto"/>
        </w:rPr>
      </w:pPr>
      <w:r>
        <w:rPr>
          <w:rFonts w:ascii="Arial" w:cs="Arial" w:eastAsia="Arial" w:hAnsi="Arial"/>
          <w:sz w:val="16"/>
          <w:szCs w:val="16"/>
          <w:color w:val="auto"/>
        </w:rPr>
        <w:t>Employee-related costs increased as a result of increased headcount as we continue to grow our engineering organization to develop new products, increase functionality and to maintain our existing Growth Platform, offset by reduced discretionary spending as a result of the pandemic. Allocated overhead expense increased due to expanding our leased space and infrastructure as we continue to grow our business and expand headcount.</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89" w:lineRule="exact"/>
        <w:rPr>
          <w:sz w:val="20"/>
          <w:szCs w:val="20"/>
          <w:color w:val="auto"/>
        </w:rPr>
      </w:pPr>
    </w:p>
    <w:p>
      <w:pPr>
        <w:ind w:right="240" w:firstLine="510"/>
        <w:spacing w:after="0" w:line="307" w:lineRule="auto"/>
        <w:rPr>
          <w:sz w:val="20"/>
          <w:szCs w:val="20"/>
          <w:color w:val="auto"/>
        </w:rPr>
      </w:pPr>
      <w:r>
        <w:rPr>
          <w:rFonts w:ascii="Arial" w:cs="Arial" w:eastAsia="Arial" w:hAnsi="Arial"/>
          <w:sz w:val="16"/>
          <w:szCs w:val="16"/>
          <w:color w:val="auto"/>
        </w:rPr>
        <w:t>Employee-related costs increased as a result of increased headcount as we continue to grow our engineering organization to develop new products, increase functionality and to maintain our existing Growth Platform, offset by reduced discretionary spending as a result of the pandemic. Allocated overhead expense increased due to expanding our leased space and infrastructure as we continue to grow our business and expand headcount.</w:t>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8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9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40" w:type="dxa"/>
            <w:vAlign w:val="bottom"/>
            <w:gridSpan w:val="3"/>
            <w:vMerge w:val="continue"/>
          </w:tcPr>
          <w:p>
            <w:pPr>
              <w:spacing w:after="0"/>
              <w:rPr>
                <w:sz w:val="13"/>
                <w:szCs w:val="13"/>
                <w:color w:val="auto"/>
              </w:rPr>
            </w:pPr>
          </w:p>
        </w:tc>
        <w:tc>
          <w:tcPr>
            <w:tcW w:w="700" w:type="dxa"/>
            <w:vAlign w:val="bottom"/>
            <w:tcBorders>
              <w:top w:val="single" w:sz="8" w:color="auto"/>
            </w:tcBorders>
          </w:tcPr>
          <w:p>
            <w:pPr>
              <w:jc w:val="right"/>
              <w:ind w:right="12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720" w:type="dxa"/>
            <w:vAlign w:val="bottom"/>
            <w:tcBorders>
              <w:top w:val="single" w:sz="8" w:color="auto"/>
            </w:tcBorders>
          </w:tcPr>
          <w:p>
            <w:pPr>
              <w:jc w:val="right"/>
              <w:ind w:right="14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3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$ 102,600</w:t>
            </w:r>
          </w:p>
        </w:tc>
        <w:tc>
          <w:tcPr>
            <w:tcW w:w="26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$ 84,079</w:t>
            </w:r>
          </w:p>
        </w:tc>
        <w:tc>
          <w:tcPr>
            <w:tcW w:w="260" w:type="dxa"/>
            <w:vAlign w:val="bottom"/>
            <w:tcBorders>
              <w:right w:val="single" w:sz="8" w:color="CFF0FC"/>
            </w:tcBorders>
            <w:vMerge w:val="continue"/>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$ 18,521</w:t>
            </w:r>
          </w:p>
        </w:tc>
        <w:tc>
          <w:tcPr>
            <w:tcW w:w="160" w:type="dxa"/>
            <w:vAlign w:val="bottom"/>
            <w:vMerge w:val="continue"/>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$ 204,928</w:t>
            </w:r>
          </w:p>
        </w:tc>
        <w:tc>
          <w:tcPr>
            <w:tcW w:w="26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$ 158,984</w:t>
            </w:r>
          </w:p>
        </w:tc>
        <w:tc>
          <w:tcPr>
            <w:tcW w:w="26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$ 45,944</w:t>
            </w:r>
          </w:p>
        </w:tc>
        <w:tc>
          <w:tcPr>
            <w:tcW w:w="180" w:type="dxa"/>
            <w:vAlign w:val="bottom"/>
            <w:vMerge w:val="continue"/>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9" w:name="page30"/>
    <w:bookmarkEnd w:id="29"/>
    <w:p>
      <w:pPr>
        <w:ind w:right="120" w:firstLine="510"/>
        <w:spacing w:after="0" w:line="272" w:lineRule="auto"/>
        <w:rPr>
          <w:sz w:val="20"/>
          <w:szCs w:val="20"/>
          <w:color w:val="auto"/>
        </w:rPr>
      </w:pPr>
      <w:r>
        <w:rPr>
          <w:rFonts w:ascii="Arial" w:cs="Arial" w:eastAsia="Arial" w:hAnsi="Arial"/>
          <w:sz w:val="18"/>
          <w:szCs w:val="18"/>
          <w:color w:val="auto"/>
        </w:rPr>
        <w:t>The increase in sales and marketing expense for the three and six months ended June 30, 2020, compared to the same period in 2019 was primarily due to the following:</w:t>
      </w:r>
    </w:p>
    <w:p>
      <w:pPr>
        <w:spacing w:after="0" w:line="3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ind w:left="86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Six Months</w:t>
            </w:r>
          </w:p>
        </w:tc>
      </w:tr>
      <w:tr>
        <w:trPr>
          <w:trHeight w:val="154"/>
        </w:trPr>
        <w:tc>
          <w:tcPr>
            <w:tcW w:w="5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6"/>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11,176</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28,878</w:t>
            </w:r>
          </w:p>
        </w:tc>
        <w:tc>
          <w:tcPr>
            <w:tcW w:w="80" w:type="dxa"/>
            <w:vAlign w:val="bottom"/>
            <w:shd w:val="clear" w:color="auto" w:fill="CFF0FC"/>
          </w:tcPr>
          <w:p>
            <w:pPr>
              <w:spacing w:after="0"/>
              <w:rPr>
                <w:sz w:val="19"/>
                <w:szCs w:val="19"/>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6,069</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Solutions Partner commissions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80" w:type="dxa"/>
            <w:vAlign w:val="bottom"/>
            <w:shd w:val="clear" w:color="auto" w:fill="CFF0FC"/>
          </w:tcPr>
          <w:p>
            <w:pPr>
              <w:spacing w:after="0"/>
              <w:rPr>
                <w:sz w:val="19"/>
                <w:szCs w:val="19"/>
                <w:color w:val="auto"/>
              </w:rPr>
            </w:pPr>
          </w:p>
        </w:tc>
      </w:tr>
      <w:tr>
        <w:trPr>
          <w:trHeight w:val="228"/>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Marketing programs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80" w:type="dxa"/>
            <w:vAlign w:val="bottom"/>
            <w:tcBorders>
              <w:bottom w:val="single" w:sz="8" w:color="CFF0FC"/>
            </w:tcBorders>
          </w:tcPr>
          <w:p>
            <w:pPr>
              <w:spacing w:after="0"/>
              <w:rPr>
                <w:sz w:val="19"/>
                <w:szCs w:val="19"/>
                <w:color w:val="auto"/>
              </w:rPr>
            </w:pPr>
          </w:p>
        </w:tc>
      </w:tr>
      <w:tr>
        <w:trPr>
          <w:trHeight w:val="221"/>
        </w:trPr>
        <w:tc>
          <w:tcPr>
            <w:tcW w:w="53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45,944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Employee-related costs increased as a result of increased headcount as we continue to expand our selling and marketing organizations to grow our customer base, offset by reduced discretionary spending as a result of the pandemic. Allocated overhead expenses increased due to expanding our leased space and infrastructure as we continue to grow our business and expand headcount. Solutions Partner commissions increased as a result of increased revenue generated through our partners. Marketing programs increased due to the timing and size of certain marketing efforts as we continue to make investments in attracting new customers.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89"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Employee-related costs increased as a result of increased headcount as we continue to expand our selling and marketing organizations to grow our customer base, offset by reduced discretionary spending as a result of the pandemic. Allocated overhead expenses increased due to expanding our leased space and infrastructure as we continue to grow our business and expand headcount. Solutions Partner commissions increased as a result of increased revenue generated through our partners. Marketing programs increased due to the timing and size of certain marketing efforts as we continue to make investments in attracting new customers.</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18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2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jc w:val="right"/>
              <w:ind w:right="104"/>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680" w:type="dxa"/>
            <w:vAlign w:val="bottom"/>
            <w:tcBorders>
              <w:top w:val="single" w:sz="8" w:color="auto"/>
            </w:tcBorders>
          </w:tcPr>
          <w:p>
            <w:pPr>
              <w:jc w:val="right"/>
              <w:ind w:right="121"/>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17"/>
              <w:spacing w:after="0" w:line="154"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$ 26,484</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$ 23,303</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3,181</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$ 52,741</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$ 44,477</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8,264</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0"/>
        </w:trPr>
        <w:tc>
          <w:tcPr>
            <w:tcW w:w="29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0" w:firstLine="510"/>
        <w:spacing w:after="0" w:line="272" w:lineRule="auto"/>
        <w:rPr>
          <w:sz w:val="20"/>
          <w:szCs w:val="20"/>
          <w:color w:val="auto"/>
        </w:rPr>
      </w:pPr>
      <w:r>
        <w:rPr>
          <w:rFonts w:ascii="Arial" w:cs="Arial" w:eastAsia="Arial" w:hAnsi="Arial"/>
          <w:sz w:val="18"/>
          <w:szCs w:val="18"/>
          <w:color w:val="auto"/>
        </w:rPr>
        <w:t>The increase in general and administrative expense for the three and six months ended June 30, 2020 compared to the same period in 2019 was primarily due to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ind w:left="860"/>
              <w:spacing w:after="0"/>
              <w:rPr>
                <w:sz w:val="20"/>
                <w:szCs w:val="20"/>
                <w:color w:val="auto"/>
              </w:rPr>
            </w:pPr>
            <w:r>
              <w:rPr>
                <w:rFonts w:ascii="Arial" w:cs="Arial" w:eastAsia="Arial" w:hAnsi="Arial"/>
                <w:sz w:val="14"/>
                <w:szCs w:val="14"/>
                <w:b w:val="1"/>
                <w:bCs w:val="1"/>
                <w:color w:val="auto"/>
              </w:rPr>
              <w:t>Change</w:t>
            </w:r>
          </w:p>
        </w:tc>
      </w:tr>
      <w:tr>
        <w:trPr>
          <w:trHeight w:val="170"/>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Six Months</w:t>
            </w:r>
          </w:p>
        </w:tc>
      </w:tr>
      <w:tr>
        <w:trPr>
          <w:trHeight w:val="154"/>
        </w:trPr>
        <w:tc>
          <w:tcPr>
            <w:tcW w:w="5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FF0FC"/>
          </w:tcPr>
          <w:p>
            <w:pPr>
              <w:spacing w:after="0"/>
              <w:rPr>
                <w:sz w:val="19"/>
                <w:szCs w:val="19"/>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Employee-related costs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3,790</w:t>
            </w:r>
          </w:p>
        </w:tc>
        <w:tc>
          <w:tcPr>
            <w:tcW w:w="80" w:type="dxa"/>
            <w:vAlign w:val="bottom"/>
          </w:tcPr>
          <w:p>
            <w:pPr>
              <w:spacing w:after="0"/>
              <w:rPr>
                <w:sz w:val="19"/>
                <w:szCs w:val="19"/>
                <w:color w:val="auto"/>
              </w:rPr>
            </w:pPr>
          </w:p>
        </w:tc>
      </w:tr>
      <w:tr>
        <w:trPr>
          <w:trHeight w:val="228"/>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Customer credit card fees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FF0FC"/>
          </w:tcPr>
          <w:p>
            <w:pPr>
              <w:spacing w:after="0"/>
              <w:rPr>
                <w:sz w:val="19"/>
                <w:szCs w:val="19"/>
                <w:color w:val="auto"/>
              </w:rPr>
            </w:pPr>
          </w:p>
        </w:tc>
      </w:tr>
      <w:tr>
        <w:trPr>
          <w:trHeight w:val="234"/>
        </w:trPr>
        <w:tc>
          <w:tcPr>
            <w:tcW w:w="5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3,181</w:t>
            </w:r>
          </w:p>
        </w:tc>
        <w:tc>
          <w:tcPr>
            <w:tcW w:w="8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8,264</w:t>
            </w:r>
          </w:p>
        </w:tc>
        <w:tc>
          <w:tcPr>
            <w:tcW w:w="8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02"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Allocated overhead expenses increased due to expanding our leased space and infrastructure as we continue to grow our business and expand headcount. Employee-related costs increased as a result of increased headcount as we continue to grow our business and require additional personnel to support our expanded operations, offset by reduced discretionary spending as a result of the pandemic. Customer credit card fees increased due to increased customer transactions as we continue to grow our business.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40"/>
          </w:cols>
          <w:pgMar w:left="320" w:top="380" w:right="439" w:bottom="1440" w:gutter="0" w:footer="0" w:header="0"/>
        </w:sectPr>
      </w:pPr>
    </w:p>
    <w:bookmarkStart w:id="30" w:name="page31"/>
    <w:bookmarkEnd w:id="30"/>
    <w:p>
      <w:pPr>
        <w:ind w:right="100" w:firstLine="510"/>
        <w:spacing w:after="0" w:line="256" w:lineRule="auto"/>
        <w:rPr>
          <w:sz w:val="20"/>
          <w:szCs w:val="20"/>
          <w:color w:val="auto"/>
        </w:rPr>
      </w:pPr>
      <w:r>
        <w:rPr>
          <w:rFonts w:ascii="Arial" w:cs="Arial" w:eastAsia="Arial" w:hAnsi="Arial"/>
          <w:sz w:val="18"/>
          <w:szCs w:val="18"/>
          <w:color w:val="auto"/>
        </w:rPr>
        <w:t>Allocated overhead expenses increased due to expanding our leased space and infrastructure as we continue to grow our business and expand headcount. Employee-related costs increased as a result of increased headcount as we continue to grow our business and require additional personnel to support our expanded operations, offset by reduced discretionary spending as a result of the pandemic. Customer credit card fees increased due to increased customer transactions as we continue to grow our business.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400" w:type="dxa"/>
            <w:vAlign w:val="bottom"/>
            <w:gridSpan w:val="2"/>
          </w:tcPr>
          <w:p>
            <w:pPr>
              <w:jc w:val="right"/>
              <w:ind w:right="61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1"/>
        </w:trPr>
        <w:tc>
          <w:tcPr>
            <w:tcW w:w="2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rPr>
              <w:t>2,135</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5,424</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6,192</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(3,406)</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640" w:type="dxa"/>
            <w:vAlign w:val="bottom"/>
            <w:tcBorders>
              <w:top w:val="single" w:sz="8" w:color="CFF0FC"/>
            </w:tcBorders>
            <w:shd w:val="clear" w:color="auto" w:fill="CFF0FC"/>
          </w:tcPr>
          <w:p>
            <w:pPr>
              <w:jc w:val="right"/>
              <w:ind w:right="411"/>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7"/>
        </w:trPr>
        <w:tc>
          <w:tcPr>
            <w:tcW w:w="278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w w:val="95"/>
              </w:rPr>
              <w:t>(16,809)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(5,673)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(11,136)</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(22,761)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(11,186)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(11,575)</w:t>
            </w:r>
          </w:p>
        </w:tc>
        <w:tc>
          <w:tcPr>
            <w:tcW w:w="1400" w:type="dxa"/>
            <w:vAlign w:val="bottom"/>
            <w:gridSpan w:val="2"/>
            <w:shd w:val="clear" w:color="auto" w:fill="CFF0FC"/>
          </w:tcPr>
          <w:p>
            <w:pPr>
              <w:jc w:val="right"/>
              <w:ind w:right="4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7"/>
        </w:trPr>
        <w:tc>
          <w:tcPr>
            <w:tcW w:w="278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(1,143)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(459)</w:t>
            </w:r>
          </w:p>
        </w:tc>
        <w:tc>
          <w:tcPr>
            <w:tcW w:w="1400" w:type="dxa"/>
            <w:vAlign w:val="bottom"/>
            <w:gridSpan w:val="2"/>
            <w:shd w:val="clear" w:color="auto" w:fill="CFF0FC"/>
          </w:tcPr>
          <w:p>
            <w:pPr>
              <w:jc w:val="right"/>
              <w:ind w:right="4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7"/>
        </w:trPr>
        <w:tc>
          <w:tcPr>
            <w:tcW w:w="278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140" w:type="dxa"/>
            <w:vAlign w:val="bottom"/>
          </w:tcPr>
          <w:p>
            <w:pPr>
              <w:spacing w:after="0"/>
              <w:rPr>
                <w:sz w:val="19"/>
                <w:szCs w:val="19"/>
                <w:color w:val="auto"/>
              </w:rPr>
            </w:pPr>
          </w:p>
        </w:tc>
        <w:tc>
          <w:tcPr>
            <w:tcW w:w="82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220"/>
              <w:spacing w:after="0"/>
              <w:rPr>
                <w:sz w:val="20"/>
                <w:szCs w:val="20"/>
                <w:color w:val="auto"/>
              </w:rPr>
            </w:pPr>
            <w:r>
              <w:rPr>
                <w:rFonts w:ascii="Arial" w:cs="Arial" w:eastAsia="Arial" w:hAnsi="Arial"/>
                <w:sz w:val="18"/>
                <w:szCs w:val="18"/>
                <w:color w:val="auto"/>
              </w:rPr>
              <w:t>not meaningful</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544"/>
        <w:spacing w:after="0" w:line="272"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three and six months ended June 30, 2020 is due to a decrease in yields on our investment balances.</w:t>
      </w:r>
    </w:p>
    <w:p>
      <w:pPr>
        <w:spacing w:after="0" w:line="174" w:lineRule="exact"/>
        <w:rPr>
          <w:sz w:val="20"/>
          <w:szCs w:val="20"/>
          <w:color w:val="auto"/>
        </w:rPr>
      </w:pPr>
    </w:p>
    <w:p>
      <w:pPr>
        <w:ind w:right="120" w:firstLine="544"/>
        <w:spacing w:after="0" w:line="260"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increase during the three and six months ended June 30, 2020 was primarily due to the $10.5 million loss on the early extinguishment of our 2022 Notes.</w:t>
      </w:r>
    </w:p>
    <w:p>
      <w:pPr>
        <w:spacing w:after="0" w:line="185" w:lineRule="exact"/>
        <w:rPr>
          <w:sz w:val="20"/>
          <w:szCs w:val="20"/>
          <w:color w:val="auto"/>
        </w:rPr>
      </w:pPr>
    </w:p>
    <w:p>
      <w:pPr>
        <w:ind w:right="200" w:firstLine="544"/>
        <w:spacing w:after="0" w:line="302" w:lineRule="auto"/>
        <w:rPr>
          <w:sz w:val="20"/>
          <w:szCs w:val="20"/>
          <w:color w:val="auto"/>
        </w:rPr>
      </w:pPr>
      <w:r>
        <w:rPr>
          <w:rFonts w:ascii="Arial" w:cs="Arial" w:eastAsia="Arial" w:hAnsi="Arial"/>
          <w:sz w:val="17"/>
          <w:szCs w:val="17"/>
          <w:color w:val="auto"/>
        </w:rPr>
        <w:t>Other expense primarily consists of the impact of foreign currency transaction gains and losses associated with monetary assets and liabilities. The increase (decrease) during the three and six months ended June 30, 2020 was primarily due to exchange rate fluctuations.</w:t>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5"/>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 Change</w:t>
            </w:r>
          </w:p>
        </w:tc>
        <w:tc>
          <w:tcPr>
            <w:tcW w:w="18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Borders>
              <w:bottom w:val="single" w:sz="8" w:color="CFF0FC"/>
            </w:tcBorders>
          </w:tcPr>
          <w:p>
            <w:pPr>
              <w:spacing w:after="0"/>
              <w:rPr>
                <w:sz w:val="20"/>
                <w:szCs w:val="20"/>
                <w:color w:val="auto"/>
              </w:rPr>
            </w:pPr>
          </w:p>
        </w:tc>
      </w:tr>
      <w:tr>
        <w:trPr>
          <w:trHeight w:val="221"/>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(1,011)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(300)</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(1,677)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(1,424)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27"/>
        </w:trPr>
        <w:tc>
          <w:tcPr>
            <w:tcW w:w="2600" w:type="dxa"/>
            <w:vAlign w:val="bottom"/>
          </w:tcPr>
          <w:p>
            <w:pPr>
              <w:spacing w:after="0"/>
              <w:rPr>
                <w:sz w:val="20"/>
                <w:szCs w:val="20"/>
                <w:color w:val="auto"/>
              </w:rPr>
            </w:pPr>
            <w:r>
              <w:rPr>
                <w:rFonts w:ascii="Arial" w:cs="Arial" w:eastAsia="Arial" w:hAnsi="Arial"/>
                <w:sz w:val="18"/>
                <w:szCs w:val="18"/>
                <w:color w:val="auto"/>
              </w:rPr>
              <w:t>Effective tax rate</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Income tax expense consists of current and deferred taxes for U.S. and foreign 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680" w:firstLine="510"/>
        <w:spacing w:after="0" w:line="272"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74" w:lineRule="exact"/>
        <w:rPr>
          <w:sz w:val="20"/>
          <w:szCs w:val="20"/>
          <w:color w:val="auto"/>
        </w:rPr>
      </w:pPr>
    </w:p>
    <w:p>
      <w:pPr>
        <w:ind w:right="140" w:firstLine="510"/>
        <w:spacing w:after="0" w:line="260"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six months ended June 30, 2020 and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1680" w:type="dxa"/>
            <w:vAlign w:val="bottom"/>
          </w:tcPr>
          <w:p>
            <w:pPr>
              <w:spacing w:after="0"/>
              <w:rPr>
                <w:sz w:val="14"/>
                <w:szCs w:val="14"/>
                <w:color w:val="auto"/>
              </w:rPr>
            </w:pPr>
          </w:p>
        </w:tc>
      </w:tr>
      <w:tr>
        <w:trPr>
          <w:trHeight w:val="154"/>
        </w:trPr>
        <w:tc>
          <w:tcPr>
            <w:tcW w:w="17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4"/>
        </w:trPr>
        <w:tc>
          <w:tcPr>
            <w:tcW w:w="17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left="497"/>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8"/>
        </w:trPr>
        <w:tc>
          <w:tcPr>
            <w:tcW w:w="170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201,086</w:t>
            </w:r>
          </w:p>
        </w:tc>
        <w:tc>
          <w:tcPr>
            <w:tcW w:w="48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238,080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7"/>
        </w:trPr>
        <w:tc>
          <w:tcPr>
            <w:tcW w:w="170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962,873</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809,963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4"/>
        </w:trPr>
        <w:tc>
          <w:tcPr>
            <w:tcW w:w="17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4"/>
              </w:rPr>
              <w:t>Net cash and cash equivalents (used in) provided by operating</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(10,679)</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51,413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7"/>
        </w:trPr>
        <w:tc>
          <w:tcPr>
            <w:tcW w:w="170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(277,154)</w:t>
            </w:r>
          </w:p>
        </w:tc>
        <w:tc>
          <w:tcPr>
            <w:tcW w:w="4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(273,153)</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5"/>
              </w:rPr>
              <w:t>Net cash and cash equivalents provided by financing activities</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213,577</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350,426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427"/>
        </w:trPr>
        <w:tc>
          <w:tcPr>
            <w:tcW w:w="6420" w:type="dxa"/>
            <w:vAlign w:val="bottom"/>
            <w:gridSpan w:val="2"/>
          </w:tcPr>
          <w:p>
            <w:pPr>
              <w:jc w:val="right"/>
              <w:ind w:right="611"/>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1" w:name="page32"/>
    <w:bookmarkEnd w:id="31"/>
    <w:p>
      <w:pPr>
        <w:ind w:right="320" w:firstLine="510"/>
        <w:spacing w:after="0" w:line="276" w:lineRule="auto"/>
        <w:rPr>
          <w:sz w:val="20"/>
          <w:szCs w:val="20"/>
          <w:color w:val="auto"/>
        </w:rPr>
      </w:pPr>
      <w:r>
        <w:rPr>
          <w:rFonts w:ascii="Arial" w:cs="Arial" w:eastAsia="Arial" w:hAnsi="Arial"/>
          <w:sz w:val="17"/>
          <w:szCs w:val="17"/>
          <w:color w:val="auto"/>
        </w:rPr>
        <w:t>Our cash and cash equivalents at June 30, 2020 were held for working capital purposes. At June 30, 2020, $51.3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254"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Cash from operations could be affected by various risks and uncertainties, including, but not limited to, the effects of the pandemic and other risks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15" w:lineRule="exact"/>
        <w:rPr>
          <w:sz w:val="20"/>
          <w:szCs w:val="20"/>
          <w:color w:val="auto"/>
        </w:rPr>
      </w:pPr>
    </w:p>
    <w:p>
      <w:pPr>
        <w:ind w:right="340" w:firstLine="510"/>
        <w:spacing w:after="0" w:line="272"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4" w:lineRule="exact"/>
        <w:rPr>
          <w:sz w:val="20"/>
          <w:szCs w:val="20"/>
          <w:color w:val="auto"/>
        </w:rPr>
      </w:pPr>
    </w:p>
    <w:p>
      <w:pPr>
        <w:ind w:right="40" w:firstLine="544"/>
        <w:spacing w:after="0" w:line="268" w:lineRule="auto"/>
        <w:rPr>
          <w:sz w:val="20"/>
          <w:szCs w:val="20"/>
          <w:color w:val="auto"/>
        </w:rPr>
      </w:pPr>
      <w:r>
        <w:rPr>
          <w:rFonts w:ascii="Arial" w:cs="Arial" w:eastAsia="Arial" w:hAnsi="Arial"/>
          <w:sz w:val="17"/>
          <w:szCs w:val="17"/>
          <w:color w:val="auto"/>
        </w:rPr>
        <w:t>Net cash and cash equivalents provided by operating activities during the six months ended June 30, 2020, primarily reflected our net loss of $47.1 million, the portion of the repayment of the 2022 Notes attributable to the debt discount of $48.7 million and accretion of bond discounts of $3.5 million offset by non-cash expenses that included $17.7 million of depreciation and amortization, $58.8 million in stock-based compensation, $10.5 million of loss on early extinguishment of 2022 Notes and $11.7 million of amortization of debt discount and issuance costs. Working capital sources of cash and cash equivalents included a $7.1 million increase in deferred revenue primarily resulting from the growth in the number of customers invoiced during the period, a $5.9 million decrease in accounts receivable related to increased collection, a $1.8 million increase in accounts payable related to timing of bill payments, a $13.4 million increase in right-of-use asset, and a $0.4 million increase in accrued expenses and other liabilities. These sources of cash and cash equivalents were offset by a $20.4 million increase in prepaid expenses and other assets, a $12.3 million decrease in operating lease liabilities, and a $5.8 million increase in deferred commissions.</w:t>
      </w:r>
    </w:p>
    <w:p>
      <w:pPr>
        <w:spacing w:after="0" w:line="180" w:lineRule="exact"/>
        <w:rPr>
          <w:sz w:val="20"/>
          <w:szCs w:val="20"/>
          <w:color w:val="auto"/>
        </w:rPr>
      </w:pPr>
    </w:p>
    <w:p>
      <w:pPr>
        <w:ind w:right="100" w:firstLine="544"/>
        <w:spacing w:after="0" w:line="268" w:lineRule="auto"/>
        <w:rPr>
          <w:sz w:val="20"/>
          <w:szCs w:val="20"/>
          <w:color w:val="auto"/>
        </w:rPr>
      </w:pPr>
      <w:r>
        <w:rPr>
          <w:rFonts w:ascii="Arial" w:cs="Arial" w:eastAsia="Arial" w:hAnsi="Arial"/>
          <w:sz w:val="17"/>
          <w:szCs w:val="17"/>
          <w:color w:val="auto"/>
        </w:rPr>
        <w:t>Net cash and cash equivalents provided by operating activities during the six months ended June 30, 2019 primarily reflected our net loss of $28.5 million and accretion of bond discounts of $6.8 million offset by non-cash expenses that included $14.0 million of depreciation and amortization, $49.9 million in stock-based compensation and $10.7 million of amortization of debt discount and issuance costs. Working capital sources of cash and cash equivalents included an $12.8 million increase in deferred revenue primarily resulting from the growth in the number of customers invoiced during the period, a $3.9 million decrease in accounts receivable related to increased collection, a $9.3 million increase in right-of-use asset, a $5.0 million increase in accounts payable related to timing of bill payments, and a $3.3 million increase in accrued expenses and other liabilities. These sources of cash and cash equivalents were offset by a $10.2 million decrease in lease liabilities, a $6.3 million increase in prepaid expenses and other assets, and a $5.5 million increase in deferred commissions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15" w:lineRule="exact"/>
        <w:rPr>
          <w:sz w:val="20"/>
          <w:szCs w:val="20"/>
          <w:color w:val="auto"/>
        </w:rPr>
      </w:pPr>
    </w:p>
    <w:p>
      <w:pPr>
        <w:ind w:right="100" w:firstLine="544"/>
        <w:spacing w:after="0" w:line="260" w:lineRule="auto"/>
        <w:rPr>
          <w:sz w:val="20"/>
          <w:szCs w:val="20"/>
          <w:color w:val="auto"/>
        </w:rPr>
      </w:pPr>
      <w:r>
        <w:rPr>
          <w:rFonts w:ascii="Arial" w:cs="Arial" w:eastAsia="Arial" w:hAnsi="Arial"/>
          <w:sz w:val="18"/>
          <w:szCs w:val="18"/>
          <w:color w:val="auto"/>
        </w:rPr>
        <w:t>Our investing activities have consisted primarily of purchases, maturities and sale of investments, property and equipment purchases, and capitalization of software development costs. Capitalized software development costs are related to new products or improvements to our existing software platform that expands the functionality for our customers.</w:t>
      </w:r>
    </w:p>
    <w:p>
      <w:pPr>
        <w:spacing w:after="0" w:line="185" w:lineRule="exact"/>
        <w:rPr>
          <w:sz w:val="20"/>
          <w:szCs w:val="20"/>
          <w:color w:val="auto"/>
        </w:rPr>
      </w:pPr>
    </w:p>
    <w:p>
      <w:pPr>
        <w:ind w:firstLine="544"/>
        <w:spacing w:after="0" w:line="256" w:lineRule="auto"/>
        <w:rPr>
          <w:sz w:val="20"/>
          <w:szCs w:val="20"/>
          <w:color w:val="auto"/>
        </w:rPr>
      </w:pPr>
      <w:r>
        <w:rPr>
          <w:rFonts w:ascii="Arial" w:cs="Arial" w:eastAsia="Arial" w:hAnsi="Arial"/>
          <w:sz w:val="18"/>
          <w:szCs w:val="18"/>
          <w:color w:val="auto"/>
        </w:rPr>
        <w:t>Net cash and cash equivalents used in investing activities during the six months ended June 30, 2020 consisted primarily of $967.0 million purchases of investments, $19.9 million of purchased property and equipment, $1.0 million of purchases of strategic investments, and $10.2 million of capitalized software development costs. These uses of cash were offset by $710.0 million received related to the maturity of investments and $10.9 million received for sale of investments.</w:t>
      </w:r>
    </w:p>
    <w:p>
      <w:pPr>
        <w:spacing w:after="0" w:line="189" w:lineRule="exact"/>
        <w:rPr>
          <w:sz w:val="20"/>
          <w:szCs w:val="20"/>
          <w:color w:val="auto"/>
        </w:rPr>
      </w:pPr>
    </w:p>
    <w:p>
      <w:pPr>
        <w:ind w:right="160" w:firstLine="580"/>
        <w:spacing w:after="0" w:line="282" w:lineRule="auto"/>
        <w:rPr>
          <w:sz w:val="20"/>
          <w:szCs w:val="20"/>
          <w:color w:val="auto"/>
        </w:rPr>
      </w:pPr>
      <w:r>
        <w:rPr>
          <w:rFonts w:ascii="Arial" w:cs="Arial" w:eastAsia="Arial" w:hAnsi="Arial"/>
          <w:sz w:val="17"/>
          <w:szCs w:val="17"/>
          <w:color w:val="auto"/>
        </w:rPr>
        <w:t>Net cash and cash equivalents used in investing activities during the six months ended June 30, 2019 consisted primarily of $597.8 million purchases of investments, $12.1 million of purchased property and equipment, $5.3 million of capitalized software development costs, and $0.4 million of purchases of strategic investments. These uses of cash were offset by $342.4 million received related to the maturity of investments.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62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15" w:lineRule="exact"/>
        <w:rPr>
          <w:sz w:val="20"/>
          <w:szCs w:val="20"/>
          <w:color w:val="auto"/>
        </w:rPr>
      </w:pPr>
    </w:p>
    <w:p>
      <w:pPr>
        <w:ind w:right="80" w:firstLine="510"/>
        <w:spacing w:after="0" w:line="260" w:lineRule="auto"/>
        <w:rPr>
          <w:sz w:val="20"/>
          <w:szCs w:val="20"/>
          <w:color w:val="auto"/>
        </w:rPr>
      </w:pPr>
      <w:r>
        <w:rPr>
          <w:rFonts w:ascii="Arial" w:cs="Arial" w:eastAsia="Arial" w:hAnsi="Arial"/>
          <w:sz w:val="18"/>
          <w:szCs w:val="18"/>
          <w:color w:val="auto"/>
        </w:rPr>
        <w:t>Our financing activities have consisted primarily of our stock offerings, the various components of our 2025 Notes offering, the various components of our 2022 Notes repayment, the issuance of our common stock under our stock plans, payments of employee taxes related to the net share settlement of stock-based awards, and repayments of our finance lease obligations.</w:t>
      </w:r>
    </w:p>
    <w:p>
      <w:pPr>
        <w:spacing w:after="0" w:line="185" w:lineRule="exact"/>
        <w:rPr>
          <w:sz w:val="20"/>
          <w:szCs w:val="20"/>
          <w:color w:val="auto"/>
        </w:rPr>
      </w:pPr>
    </w:p>
    <w:p>
      <w:pPr>
        <w:ind w:firstLine="544"/>
        <w:spacing w:after="0" w:line="293" w:lineRule="auto"/>
        <w:rPr>
          <w:sz w:val="20"/>
          <w:szCs w:val="20"/>
          <w:color w:val="auto"/>
        </w:rPr>
      </w:pPr>
      <w:r>
        <w:rPr>
          <w:rFonts w:ascii="Arial" w:cs="Arial" w:eastAsia="Arial" w:hAnsi="Arial"/>
          <w:sz w:val="16"/>
          <w:szCs w:val="16"/>
          <w:color w:val="auto"/>
        </w:rPr>
        <w:t>For the six months ended June 30, 2020 cash provided by financing activities consisted of $450.6 million of net proceeds from the issuance of the 2025 Notes, $362.5 million of proceeds from the settlement of the Convertible Note Hedges related to the 2022 Notes, and $15.2 million of proceeds related to issuance of common stock under stock plans. This source of cash was offset by $234.4 million used for repayment of the 2022 Notes attributable to the principal, $327.5 million for payment to settle the Warrants related to the 2022 Notes, $50.6 million for payment of the Capped Call Options related to the 2025 Notes, and $2.2 million used for payment of employee taxes related to the net share settlement of stock-based awards.</w:t>
      </w:r>
    </w:p>
    <w:p>
      <w:pPr>
        <w:spacing w:after="0" w:line="164"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For the six months ended June 30, 2019, cash provided by financing activities consisted primarily of $342.6 million of net proceeds related to common stock offering and $10.7 million of proceeds related to issuance of common stock under stock plans. This source of cash was offset by $2.7 million used for payment of employee taxes related to the net share settlement of stock-based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right="180" w:firstLine="510"/>
        <w:spacing w:after="0" w:line="302"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six months ended June 30, 2020 as compared to the critical accounting policies and estimates disclosed in our Annual Report on Form 10-K for the year ended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9" w:lineRule="exact"/>
        <w:rPr>
          <w:sz w:val="20"/>
          <w:szCs w:val="20"/>
          <w:color w:val="auto"/>
        </w:rPr>
      </w:pPr>
    </w:p>
    <w:p>
      <w:pPr>
        <w:ind w:right="180" w:firstLine="510"/>
        <w:spacing w:after="0" w:line="260" w:lineRule="auto"/>
        <w:rPr>
          <w:sz w:val="20"/>
          <w:szCs w:val="20"/>
          <w:color w:val="auto"/>
        </w:rPr>
      </w:pPr>
      <w:r>
        <w:rPr>
          <w:rFonts w:ascii="Arial" w:cs="Arial" w:eastAsia="Arial" w:hAnsi="Arial"/>
          <w:sz w:val="18"/>
          <w:szCs w:val="18"/>
          <w:color w:val="auto"/>
        </w:rPr>
        <w:t>As of June 30, 2020, there were no material changes in our contractual obligations and commitments from those disclosed in the Annual Report on Form 10-K filed with the SEC on February 12, 2020, other than those in the notes to the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right="120" w:firstLine="510"/>
        <w:spacing w:after="0" w:line="272"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right="40" w:firstLine="510"/>
        <w:spacing w:after="0" w:line="260" w:lineRule="auto"/>
        <w:rPr>
          <w:sz w:val="20"/>
          <w:szCs w:val="20"/>
          <w:color w:val="auto"/>
        </w:rPr>
      </w:pPr>
      <w:r>
        <w:rPr>
          <w:rFonts w:ascii="Arial" w:cs="Arial" w:eastAsia="Arial" w:hAnsi="Arial"/>
          <w:sz w:val="18"/>
          <w:szCs w:val="18"/>
          <w:color w:val="auto"/>
        </w:rPr>
        <w:t>During the three months ended June 30, 2020 we had no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5" w:lineRule="exact"/>
        <w:rPr>
          <w:sz w:val="20"/>
          <w:szCs w:val="20"/>
          <w:color w:val="auto"/>
        </w:rPr>
      </w:pPr>
    </w:p>
    <w:p>
      <w:pPr>
        <w:ind w:right="320" w:firstLine="544"/>
        <w:spacing w:after="0" w:line="282"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69" w:lineRule="exact"/>
        <w:rPr>
          <w:sz w:val="20"/>
          <w:szCs w:val="20"/>
          <w:color w:val="auto"/>
        </w:rPr>
      </w:pPr>
    </w:p>
    <w:p>
      <w:pPr>
        <w:ind w:firstLine="544"/>
        <w:spacing w:after="0" w:line="293"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3" w:name="page34"/>
    <w:bookmarkEnd w:id="33"/>
    <w:p>
      <w:pPr>
        <w:ind w:firstLine="544"/>
        <w:spacing w:after="0" w:line="273"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5" w:lineRule="exact"/>
        <w:rPr>
          <w:sz w:val="20"/>
          <w:szCs w:val="20"/>
          <w:color w:val="auto"/>
        </w:rPr>
      </w:pPr>
    </w:p>
    <w:p>
      <w:pPr>
        <w:ind w:right="120" w:firstLine="544"/>
        <w:spacing w:after="0" w:line="260"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15"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In May 2017, we issued $400 million aggregate principal amount of convertible senior notes due 2022, of which $272.1 million was repurchased in June 2020. Also in June 2020, we issued $460 million aggregate principal amount of convertible senior notes due 2025.</w:t>
      </w:r>
    </w:p>
    <w:p>
      <w:pPr>
        <w:spacing w:after="0" w:line="67" w:lineRule="exact"/>
        <w:rPr>
          <w:sz w:val="20"/>
          <w:szCs w:val="20"/>
          <w:color w:val="auto"/>
        </w:rPr>
      </w:pPr>
    </w:p>
    <w:p>
      <w:pPr>
        <w:ind w:right="260" w:firstLine="510"/>
        <w:spacing w:after="0" w:line="271" w:lineRule="auto"/>
        <w:rPr>
          <w:sz w:val="20"/>
          <w:szCs w:val="20"/>
          <w:color w:val="auto"/>
        </w:rPr>
      </w:pPr>
      <w:r>
        <w:rPr>
          <w:rFonts w:ascii="Arial" w:cs="Arial" w:eastAsia="Arial" w:hAnsi="Arial"/>
          <w:sz w:val="17"/>
          <w:szCs w:val="17"/>
          <w:color w:val="auto"/>
        </w:rPr>
        <w:t>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 of the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217"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June 30, 2020 and the estimated impact on the fair value of the Notes. The selected scenarios are not predictions of future events, but rather are intended to illustrate the effect such event may have on the fair value of the Notes.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2022 Notes</w:t>
      </w:r>
    </w:p>
    <w:p>
      <w:pPr>
        <w:sectPr>
          <w:pgSz w:w="11900" w:h="16838" w:orient="portrait"/>
          <w:cols w:equalWidth="0" w:num="1">
            <w:col w:w="11240"/>
          </w:cols>
          <w:pgMar w:left="320" w:top="44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Hypothetical change in HubSpot stock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Estimated change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fair value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840"/>
        <w:spacing w:after="0" w:line="292" w:lineRule="auto"/>
        <w:rPr>
          <w:sz w:val="20"/>
          <w:szCs w:val="20"/>
          <w:color w:val="auto"/>
        </w:rPr>
      </w:pPr>
      <w:r>
        <w:rPr>
          <w:rFonts w:ascii="Arial" w:cs="Arial" w:eastAsia="Arial" w:hAnsi="Arial"/>
          <w:sz w:val="15"/>
          <w:szCs w:val="15"/>
          <w:b w:val="1"/>
          <w:bCs w:val="1"/>
          <w:color w:val="auto"/>
        </w:rPr>
        <w:t>Hypothetical percentage increase (decrease) in fair value</w:t>
      </w:r>
    </w:p>
    <w:p>
      <w:pPr>
        <w:spacing w:after="0" w:line="2" w:lineRule="exact"/>
        <w:rPr>
          <w:sz w:val="20"/>
          <w:szCs w:val="20"/>
          <w:color w:val="auto"/>
        </w:rPr>
      </w:pPr>
    </w:p>
    <w:p>
      <w:pPr>
        <w:sectPr>
          <w:pgSz w:w="11900" w:h="16838" w:orient="portrait"/>
          <w:cols w:equalWidth="0" w:num="4">
            <w:col w:w="4980" w:space="720"/>
            <w:col w:w="780" w:space="720"/>
            <w:col w:w="1220" w:space="300"/>
            <w:col w:w="2520"/>
          </w:cols>
          <w:pgMar w:left="320" w:top="447" w:right="339" w:bottom="1440" w:gutter="0" w:footer="0" w:header="0"/>
          <w:type w:val="continuous"/>
        </w:sectPr>
      </w:pPr>
    </w:p>
    <w:tbl>
      <w:tblPr>
        <w:tblLayout w:type="fixed"/>
        <w:tblInd w:w="5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increase</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322,510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1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27"/>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 change</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303,579</w:t>
            </w:r>
          </w:p>
        </w:tc>
        <w:tc>
          <w:tcPr>
            <w:tcW w:w="26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decrease</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264,967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(38,612)</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427"/>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Hypothetical percentage</w:t>
            </w:r>
          </w:p>
        </w:tc>
      </w:tr>
      <w:tr>
        <w:trPr>
          <w:trHeight w:val="201"/>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Estimated change</w:t>
            </w: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increase (decrease) in</w:t>
            </w:r>
          </w:p>
        </w:tc>
      </w:tr>
      <w:tr>
        <w:trPr>
          <w:trHeight w:val="212"/>
        </w:trPr>
        <w:tc>
          <w:tcPr>
            <w:tcW w:w="3860" w:type="dxa"/>
            <w:vAlign w:val="bottom"/>
            <w:gridSpan w:val="2"/>
          </w:tcPr>
          <w:p>
            <w:pPr>
              <w:ind w:left="20"/>
              <w:spacing w:after="0"/>
              <w:rPr>
                <w:sz w:val="20"/>
                <w:szCs w:val="20"/>
                <w:color w:val="auto"/>
              </w:rPr>
            </w:pPr>
            <w:r>
              <w:rPr>
                <w:rFonts w:ascii="Arial" w:cs="Arial" w:eastAsia="Arial" w:hAnsi="Arial"/>
                <w:sz w:val="16"/>
                <w:szCs w:val="16"/>
                <w:b w:val="1"/>
                <w:bCs w:val="1"/>
                <w:color w:val="auto"/>
              </w:rPr>
              <w:t>Hypothetical change in HubSpot stock price</w:t>
            </w:r>
          </w:p>
        </w:tc>
        <w:tc>
          <w:tcPr>
            <w:tcW w:w="110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 fair value</w:t>
            </w: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fair value</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increase</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515,596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23,451</w:t>
            </w: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27"/>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 change</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492,145</w:t>
            </w:r>
          </w:p>
        </w:tc>
        <w:tc>
          <w:tcPr>
            <w:tcW w:w="26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10% decrease</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463,064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(29,081)</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bl>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9" w:lineRule="exact"/>
        <w:rPr>
          <w:sz w:val="20"/>
          <w:szCs w:val="20"/>
          <w:color w:val="auto"/>
        </w:rPr>
      </w:pPr>
    </w:p>
    <w:p>
      <w:pPr>
        <w:ind w:firstLine="510"/>
        <w:spacing w:after="0" w:line="298" w:lineRule="auto"/>
        <w:rPr>
          <w:sz w:val="20"/>
          <w:szCs w:val="20"/>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59" w:lineRule="exact"/>
        <w:rPr>
          <w:sz w:val="20"/>
          <w:szCs w:val="20"/>
          <w:color w:val="auto"/>
        </w:rPr>
      </w:pPr>
    </w:p>
    <w:p>
      <w:pPr>
        <w:jc w:val="both"/>
        <w:ind w:right="80" w:firstLine="510"/>
        <w:spacing w:after="0" w:line="260"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type w:val="continuous"/>
        </w:sectPr>
      </w:pPr>
    </w:p>
    <w:bookmarkStart w:id="34" w:name="page35"/>
    <w:bookmarkEnd w:id="34"/>
    <w:p>
      <w:pPr>
        <w:ind w:firstLine="510"/>
        <w:spacing w:after="0" w:line="286" w:lineRule="auto"/>
        <w:rPr>
          <w:sz w:val="20"/>
          <w:szCs w:val="20"/>
          <w:color w:val="auto"/>
        </w:rPr>
      </w:pPr>
      <w:r>
        <w:rPr>
          <w:rFonts w:ascii="Arial" w:cs="Arial" w:eastAsia="Arial" w:hAnsi="Arial"/>
          <w:sz w:val="16"/>
          <w:szCs w:val="16"/>
          <w:u w:val="single" w:color="auto"/>
          <w:color w:val="auto"/>
        </w:rPr>
        <w:t>Inherent Limitations of Internal Controls</w:t>
      </w:r>
      <w:r>
        <w:rPr>
          <w:rFonts w:ascii="Arial" w:cs="Arial" w:eastAsia="Arial" w:hAnsi="Arial"/>
          <w:sz w:val="16"/>
          <w:szCs w:val="16"/>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9"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36" w:name="page37"/>
    <w:bookmarkEnd w:id="36"/>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33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spacing w:after="0" w:line="67"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or pandemic. The pandemic, which has continued to spread, and the related adverse public health developments, including orders to shelter-in-place, travel restrictions, and mandated business closures, have adversely affected workforces, organizations, customers, economies, and financial markets globally, leading to an economic downturn and increased market volatility. It has also disrupted the normal operations of many businesses, including ours.</w:t>
      </w:r>
    </w:p>
    <w:p>
      <w:pPr>
        <w:spacing w:after="0" w:line="87" w:lineRule="exact"/>
        <w:rPr>
          <w:sz w:val="20"/>
          <w:szCs w:val="20"/>
          <w:color w:val="auto"/>
        </w:rPr>
      </w:pPr>
    </w:p>
    <w:p>
      <w:pPr>
        <w:ind w:right="80" w:firstLine="510"/>
        <w:spacing w:after="0" w:line="284" w:lineRule="auto"/>
        <w:rPr>
          <w:sz w:val="20"/>
          <w:szCs w:val="20"/>
          <w:color w:val="auto"/>
        </w:rPr>
      </w:pPr>
      <w:r>
        <w:rPr>
          <w:rFonts w:ascii="Arial" w:cs="Arial" w:eastAsia="Arial" w:hAnsi="Arial"/>
          <w:sz w:val="16"/>
          <w:szCs w:val="16"/>
          <w:color w:val="auto"/>
        </w:rPr>
        <w:t>Our operations have also been negatively affected by a range of external factors related to the pandemic that are not within our control. For example, many cities, counties, states, and even countries have imposed or may impose a wide range of restrictions on the physical movement of our employees, partners and customers to limit the spread of the pandemic, including physical distancing, travel bans and restrictions, closure of non-essential business, quarantines, work-from-home directives, shelter-in-place orders, and limitations on public gatherings. These measures have caused, and are continuing to cause, business slowdowns or shutdowns in affected areas, both regionally and worldwide. In March 2020, we temporarily closed our global offices, including our corporate headquarters, suspended all company-related travel, and all HubSpot employees globally were required to work from home for several months during the height of the pandemic. We shifted our Solutions Partner events and INBOUND 2020 to virtual-only experiences, and have cancelled other customer and industry events. Although we have begun to slowly re-open our offices on a staggered, region-by-region basis in accordance with local authority guidelines, we may deem it advisable to similarly alter, postpone or cancel entirely additional customer, employee or industry events in the future. All of these changes may disrupt the way we operate our business. Given that the economic consequences of the pandemic have been exceptionally challenging for many of our customers and prospects, we have also implemented certain changes to our pricing structure, including reducing prices on our Starter Growth Suite, offering certain product functionality free of charge, suspending marketing email send limits, and offering a six-month advance on commissions to certain of our Solutions Partners.</w:t>
      </w:r>
    </w:p>
    <w:p>
      <w:pPr>
        <w:spacing w:after="0" w:line="65"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Moreover, the conditions caused by the pandemic can affect the rate of spending on software products and have adversely affected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has a continued and substantial impact on the ability of our customers to purchase our offerings, our results of operations and overall financial performance may be harmed.</w:t>
      </w:r>
    </w:p>
    <w:p>
      <w:pPr>
        <w:spacing w:after="0" w:line="57"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duration and extent of the impact from the pandemic depends on future developments that cannot be accurately predicted at this time, such as the severity and transmission rate of the virus,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82" w:lineRule="exact"/>
        <w:rPr>
          <w:sz w:val="20"/>
          <w:szCs w:val="20"/>
          <w:color w:val="auto"/>
        </w:rPr>
      </w:pPr>
    </w:p>
    <w:p>
      <w:pPr>
        <w:ind w:right="240" w:firstLine="510"/>
        <w:spacing w:after="0" w:line="298"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1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generated net losses of 47.1 million and $28.5 million for the six months ended June 30, 2020 and 2019, respectively. As of June 30, 2020, we had an accumulated deficit of $445.2 million. We will need to generate and sustain increased revenue levels in future periods to become profitable, and, even if we do, we may not be able to maintain or increase our level of profitability. We intend to continue to expend significant funds to grow our marketing, sales and customer service operations, develop and enhance our Growth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29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Growth Platform.</w:t>
      </w:r>
    </w:p>
    <w:p>
      <w:pPr>
        <w:spacing w:after="0" w:line="67"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Growth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w:t>
      </w:r>
    </w:p>
    <w:p>
      <w:pPr>
        <w:ind w:right="140"/>
        <w:spacing w:after="0" w:line="250" w:lineRule="auto"/>
        <w:rPr>
          <w:sz w:val="20"/>
          <w:szCs w:val="20"/>
          <w:color w:val="auto"/>
        </w:rPr>
      </w:pPr>
      <w:r>
        <w:rPr>
          <w:rFonts w:ascii="Arial" w:cs="Arial" w:eastAsia="Arial" w:hAnsi="Arial"/>
          <w:sz w:val="18"/>
          <w:szCs w:val="18"/>
          <w:color w:val="auto"/>
        </w:rPr>
        <w:t>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5"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8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8" w:lineRule="exact"/>
        <w:rPr>
          <w:sz w:val="20"/>
          <w:szCs w:val="20"/>
          <w:color w:val="auto"/>
        </w:rPr>
      </w:pPr>
    </w:p>
    <w:p>
      <w:pPr>
        <w:ind w:right="120" w:firstLine="510"/>
        <w:spacing w:after="0" w:line="260" w:lineRule="auto"/>
        <w:rPr>
          <w:sz w:val="20"/>
          <w:szCs w:val="20"/>
          <w:color w:val="auto"/>
        </w:rPr>
      </w:pPr>
      <w:r>
        <w:rPr>
          <w:rFonts w:ascii="Arial" w:cs="Arial" w:eastAsia="Arial" w:hAnsi="Arial"/>
          <w:sz w:val="18"/>
          <w:szCs w:val="18"/>
          <w:color w:val="auto"/>
        </w:rPr>
        <w:t>The marketing, sales and customer service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intense competition from other software companies that develop marketing, sales and customer service software and from marketing services companies that provide interactive marketing services. Competition could significantly impede our ability to sell subscriptions to our Growth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color w:val="auto"/>
        </w:rPr>
        <w:t>Our competitors include:</w:t>
      </w:r>
    </w:p>
    <w:p>
      <w:pPr>
        <w:spacing w:after="0" w:line="115"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222"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3"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and customer service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Growth Platform could substantially decline.</w:t>
      </w:r>
    </w:p>
    <w:p>
      <w:pPr>
        <w:spacing w:after="0" w:line="184" w:lineRule="exact"/>
        <w:rPr>
          <w:sz w:val="20"/>
          <w:szCs w:val="20"/>
          <w:color w:val="auto"/>
        </w:rPr>
      </w:pPr>
    </w:p>
    <w:p>
      <w:pPr>
        <w:ind w:right="160" w:firstLine="374"/>
        <w:spacing w:after="0" w:line="254"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99" w:lineRule="exact"/>
        <w:rPr>
          <w:sz w:val="20"/>
          <w:szCs w:val="20"/>
          <w:color w:val="auto"/>
        </w:rPr>
      </w:pPr>
    </w:p>
    <w:p>
      <w:pPr>
        <w:ind w:right="280"/>
        <w:spacing w:after="0" w:line="373"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ind w:right="40" w:firstLine="510"/>
        <w:spacing w:after="0" w:line="289" w:lineRule="auto"/>
        <w:rPr>
          <w:sz w:val="20"/>
          <w:szCs w:val="20"/>
          <w:color w:val="auto"/>
        </w:rPr>
      </w:pPr>
      <w:r>
        <w:rPr>
          <w:rFonts w:ascii="Arial" w:cs="Arial" w:eastAsia="Arial" w:hAnsi="Arial"/>
          <w:sz w:val="16"/>
          <w:szCs w:val="16"/>
          <w:color w:val="auto"/>
        </w:rPr>
        <w:t>Our head count and operations have grown substantially. For example, we had 3,769 full-time employees as of June 30, 2020, as compared with 3,387 as of December 31, 2019 and we have opened 8 international offices since 2013. We also plan to open additional international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6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99"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and customer service capabilities could harm our ability to increase our customer base and achieve broader market acceptance of our platform.</w:t>
      </w:r>
    </w:p>
    <w:p>
      <w:pPr>
        <w:spacing w:after="0" w:line="67" w:lineRule="exact"/>
        <w:rPr>
          <w:sz w:val="20"/>
          <w:szCs w:val="20"/>
          <w:color w:val="auto"/>
        </w:rPr>
      </w:pPr>
    </w:p>
    <w:p>
      <w:pPr>
        <w:ind w:right="180" w:firstLine="510"/>
        <w:spacing w:after="0" w:line="256" w:lineRule="auto"/>
        <w:rPr>
          <w:sz w:val="20"/>
          <w:szCs w:val="20"/>
          <w:color w:val="auto"/>
        </w:rPr>
      </w:pPr>
      <w:r>
        <w:rPr>
          <w:rFonts w:ascii="Arial" w:cs="Arial" w:eastAsia="Arial" w:hAnsi="Arial"/>
          <w:sz w:val="18"/>
          <w:szCs w:val="18"/>
          <w:color w:val="auto"/>
        </w:rPr>
        <w:t>To increase Total Customers and achieve broader market acceptance of our Growth Platform, we will need to expand our marketing, sales and customer service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color w:val="auto"/>
        </w:rPr>
        <w:t>Growth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5" w:lineRule="exact"/>
        <w:rPr>
          <w:sz w:val="20"/>
          <w:szCs w:val="20"/>
          <w:color w:val="auto"/>
        </w:rPr>
      </w:pPr>
    </w:p>
    <w:p>
      <w:pPr>
        <w:ind w:right="180" w:firstLine="510"/>
        <w:spacing w:after="0" w:line="298" w:lineRule="auto"/>
        <w:rPr>
          <w:sz w:val="20"/>
          <w:szCs w:val="20"/>
          <w:color w:val="auto"/>
        </w:rPr>
      </w:pPr>
      <w:r>
        <w:rPr>
          <w:rFonts w:ascii="Arial" w:cs="Arial" w:eastAsia="Arial" w:hAnsi="Arial"/>
          <w:sz w:val="16"/>
          <w:szCs w:val="16"/>
          <w:color w:val="212529"/>
        </w:rPr>
        <w:t>We rely on our Solutions Partners to provide certain services to our customers, as well as pursue sales of our Growth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6" w:lineRule="exact"/>
        <w:rPr>
          <w:sz w:val="20"/>
          <w:szCs w:val="20"/>
          <w:color w:val="auto"/>
        </w:rPr>
      </w:pPr>
    </w:p>
    <w:p>
      <w:pPr>
        <w:ind w:right="600"/>
        <w:spacing w:after="0" w:line="272"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7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7"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Growth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40" w:name="page41"/>
    <w:bookmarkEnd w:id="40"/>
    <w:p>
      <w:pPr>
        <w:ind w:right="220"/>
        <w:spacing w:after="0" w:line="272"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Growth Platform may become less competitive.</w:t>
      </w:r>
    </w:p>
    <w:p>
      <w:pPr>
        <w:spacing w:after="0" w:line="67"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Our future success depends on our ability to adapt and innovate our Growth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Growth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5"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5" w:lineRule="exact"/>
        <w:rPr>
          <w:sz w:val="20"/>
          <w:szCs w:val="20"/>
          <w:color w:val="auto"/>
        </w:rPr>
      </w:pPr>
    </w:p>
    <w:p>
      <w:pPr>
        <w:ind w:right="320" w:firstLine="510"/>
        <w:spacing w:after="0" w:line="313" w:lineRule="auto"/>
        <w:rPr>
          <w:sz w:val="20"/>
          <w:szCs w:val="20"/>
          <w:color w:val="auto"/>
        </w:rPr>
      </w:pPr>
      <w:r>
        <w:rPr>
          <w:rFonts w:ascii="Arial" w:cs="Arial" w:eastAsia="Arial" w:hAnsi="Arial"/>
          <w:sz w:val="15"/>
          <w:szCs w:val="15"/>
          <w:color w:val="auto"/>
        </w:rPr>
        <w:t>High-quality education, training and customer support are important for the successful marketing, sale and use of our Growth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Growth Platform and provide effective ongoing support, our ability to sell additional functionality and services to, or to retain, existing customers may suffer and our reputation with existing or potential customers may be harmed.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1" w:name="page42"/>
    <w:bookmarkEnd w:id="41"/>
    <w:p>
      <w:pPr>
        <w:ind w:right="120"/>
        <w:spacing w:after="0" w:line="272"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7"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As usage of our Growth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Growth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78" w:lineRule="exact"/>
        <w:rPr>
          <w:sz w:val="20"/>
          <w:szCs w:val="20"/>
          <w:color w:val="auto"/>
        </w:rPr>
      </w:pPr>
    </w:p>
    <w:p>
      <w:pPr>
        <w:ind w:right="380"/>
        <w:spacing w:after="0" w:line="336"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21" w:lineRule="exact"/>
        <w:rPr>
          <w:sz w:val="20"/>
          <w:szCs w:val="20"/>
          <w:color w:val="auto"/>
        </w:rPr>
      </w:pPr>
    </w:p>
    <w:p>
      <w:pPr>
        <w:ind w:right="200" w:firstLine="510"/>
        <w:spacing w:after="0" w:line="269"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Growth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9"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Growth Platform purchased or used by our customers could negatively affect our operating results.</w:t>
      </w:r>
    </w:p>
    <w:p>
      <w:pPr>
        <w:spacing w:after="0" w:line="6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strategy is to sell subscriptions to our Growth Platform to mid-sized businesses, but we have sold and will continue to sell to organizations ranging from small businesses to enterprises. Our gross margins can vary depending on numerous factors related to the implementation and use of our Growth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9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line="252" w:lineRule="auto"/>
        <w:rPr>
          <w:sz w:val="20"/>
          <w:szCs w:val="20"/>
          <w:color w:val="auto"/>
        </w:rPr>
      </w:pPr>
      <w:r>
        <w:rPr>
          <w:rFonts w:ascii="Arial" w:cs="Arial" w:eastAsia="Arial" w:hAnsi="Arial"/>
          <w:sz w:val="18"/>
          <w:szCs w:val="18"/>
          <w:color w:val="auto"/>
        </w:rPr>
        <w:t>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95" w:lineRule="exact"/>
        <w:rPr>
          <w:sz w:val="20"/>
          <w:szCs w:val="20"/>
          <w:color w:val="auto"/>
        </w:rPr>
      </w:pPr>
    </w:p>
    <w:p>
      <w:pPr>
        <w:ind w:right="60" w:firstLine="510"/>
        <w:spacing w:after="0" w:line="282"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7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7"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opened 8 international offices since 2013. We also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82"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14" w:lineRule="exact"/>
        <w:rPr>
          <w:rFonts w:ascii="Arial" w:cs="Arial" w:eastAsia="Arial" w:hAnsi="Arial"/>
          <w:sz w:val="18"/>
          <w:szCs w:val="18"/>
          <w:color w:val="auto"/>
        </w:rPr>
      </w:pPr>
    </w:p>
    <w:p>
      <w:pPr>
        <w:ind w:left="1020" w:right="84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14" w:lineRule="exact"/>
        <w:rPr>
          <w:rFonts w:ascii="Arial" w:cs="Arial" w:eastAsia="Arial" w:hAnsi="Arial"/>
          <w:sz w:val="18"/>
          <w:szCs w:val="18"/>
          <w:color w:val="auto"/>
        </w:rPr>
      </w:pPr>
    </w:p>
    <w:p>
      <w:pPr>
        <w:ind w:left="1020" w:right="2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7" w:lineRule="exact"/>
        <w:rPr>
          <w:rFonts w:ascii="Arial" w:cs="Arial" w:eastAsia="Arial" w:hAnsi="Arial"/>
          <w:sz w:val="18"/>
          <w:szCs w:val="18"/>
          <w:color w:val="auto"/>
        </w:rPr>
      </w:pPr>
    </w:p>
    <w:p>
      <w:pPr>
        <w:ind w:left="1020" w:right="68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7" w:lineRule="exact"/>
        <w:rPr>
          <w:rFonts w:ascii="Arial" w:cs="Arial" w:eastAsia="Arial" w:hAnsi="Arial"/>
          <w:sz w:val="18"/>
          <w:szCs w:val="18"/>
          <w:color w:val="auto"/>
        </w:rPr>
      </w:pPr>
    </w:p>
    <w:p>
      <w:pPr>
        <w:ind w:left="1020" w:right="20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7" w:lineRule="exact"/>
        <w:rPr>
          <w:rFonts w:ascii="Arial" w:cs="Arial" w:eastAsia="Arial" w:hAnsi="Arial"/>
          <w:sz w:val="18"/>
          <w:szCs w:val="18"/>
          <w:color w:val="auto"/>
        </w:rPr>
      </w:pPr>
    </w:p>
    <w:p>
      <w:pPr>
        <w:ind w:left="1020" w:right="54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7" w:lineRule="exact"/>
        <w:rPr>
          <w:rFonts w:ascii="Arial" w:cs="Arial" w:eastAsia="Arial" w:hAnsi="Arial"/>
          <w:sz w:val="18"/>
          <w:szCs w:val="18"/>
          <w:color w:val="auto"/>
        </w:rPr>
      </w:pPr>
    </w:p>
    <w:p>
      <w:pPr>
        <w:ind w:left="1020" w:right="80" w:hanging="503"/>
        <w:spacing w:after="0" w:line="27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4" w:lineRule="exact"/>
        <w:rPr>
          <w:rFonts w:ascii="Arial" w:cs="Arial" w:eastAsia="Arial" w:hAnsi="Arial"/>
          <w:sz w:val="18"/>
          <w:szCs w:val="18"/>
          <w:color w:val="auto"/>
        </w:rPr>
      </w:pPr>
    </w:p>
    <w:p>
      <w:pPr>
        <w:ind w:left="1020" w:right="200" w:hanging="503"/>
        <w:spacing w:after="0" w:line="26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7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2"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3" w:name="page44"/>
    <w:bookmarkEnd w:id="43"/>
    <w:p>
      <w:pPr>
        <w:ind w:right="120"/>
        <w:spacing w:after="0" w:line="302"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44" w:lineRule="exact"/>
        <w:rPr>
          <w:sz w:val="20"/>
          <w:szCs w:val="20"/>
          <w:color w:val="auto"/>
        </w:rPr>
      </w:pPr>
    </w:p>
    <w:p>
      <w:pPr>
        <w:ind w:right="60" w:firstLine="510"/>
        <w:spacing w:after="0" w:line="252"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95"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302"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b w:val="1"/>
          <w:bCs w:val="1"/>
          <w:i w:val="1"/>
          <w:iCs w:val="1"/>
          <w:color w:val="auto"/>
        </w:rPr>
        <w:t>If our Growth Platform has outages or fails due to defects or similar problems, and if we fail to correct any defect or other software problems, we could lose customers, become subject to service performance or warranty claims or incur significant costs.</w:t>
      </w:r>
    </w:p>
    <w:p>
      <w:pPr>
        <w:spacing w:after="0" w:line="44"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For example, in March 2019, we had a product outage due to the failure of one of the infrastructure systems that supports multiple parts of our platform.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2"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In addition, third-party apps and features on our Growth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5"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Growth Platform or services to cover the changes. As a result, our operating results may be significantly worse than forecasted.</w:t>
      </w:r>
    </w:p>
    <w:p>
      <w:pPr>
        <w:spacing w:after="0" w:line="292"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If we do not or cannot maintain the compatibility of our Growth Platform with third-party applications that our customers use in their businesses, our revenue will decline.</w:t>
      </w:r>
    </w:p>
    <w:p>
      <w:pPr>
        <w:spacing w:after="0" w:line="67"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 significant percentage of our customers choose to integrate our platform with certain capabilities provided by third-party application providers using application programming interfaces, or APIs, published by these providers. The functionality and popularity of our Growth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or fail to renew existing relationships pursuant to which we currently provide such integration, we may not be able to offer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4" w:name="page45"/>
    <w:bookmarkEnd w:id="44"/>
    <w:p>
      <w:pPr>
        <w:ind w:right="280"/>
        <w:spacing w:after="0" w:line="272" w:lineRule="auto"/>
        <w:rPr>
          <w:sz w:val="20"/>
          <w:szCs w:val="20"/>
          <w:color w:val="auto"/>
        </w:rPr>
      </w:pPr>
      <w:r>
        <w:rPr>
          <w:rFonts w:ascii="Arial" w:cs="Arial" w:eastAsia="Arial" w:hAnsi="Arial"/>
          <w:sz w:val="18"/>
          <w:szCs w:val="18"/>
          <w:color w:val="auto"/>
        </w:rPr>
        <w:t>the functionality that our customers need, which would negatively impact our ability to generate new revenue or maintain existing revenue and adversely impact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Select functionality of our Growth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Growth Platform.</w:t>
      </w:r>
    </w:p>
    <w:p>
      <w:pPr>
        <w:spacing w:after="0" w:line="1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Growth Platform and reduce overall demand for it, or lead to significant fines, penalties or liabilities for any noncompliance or loss of any such action.</w:t>
      </w:r>
    </w:p>
    <w:p>
      <w:pPr>
        <w:spacing w:after="0" w:line="28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9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or CCPA, that will, among other things, require covered companies to provide new disclosures to California consumers and afford such consumers new abilities to opt-out of certain sales of personal information. The CCPA recently was amended, and it is possible that it will be amended again before it goes into effect. We cannot yet predict the impact of the CCPA on our business or operations, but it may require us to modify our data processing practices and policies and to incur substantial costs and expenses in an effort to comply.</w:t>
      </w:r>
    </w:p>
    <w:p>
      <w:pPr>
        <w:spacing w:after="0" w:line="184"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5" w:name="page46"/>
    <w:bookmarkEnd w:id="45"/>
    <w:p>
      <w:pPr>
        <w:ind w:right="180"/>
        <w:spacing w:after="0" w:line="272" w:lineRule="auto"/>
        <w:rPr>
          <w:sz w:val="20"/>
          <w:szCs w:val="20"/>
          <w:color w:val="auto"/>
        </w:rPr>
      </w:pPr>
      <w:r>
        <w:rPr>
          <w:rFonts w:ascii="Arial" w:cs="Arial" w:eastAsia="Arial" w:hAnsi="Arial"/>
          <w:sz w:val="18"/>
          <w:szCs w:val="18"/>
          <w:color w:val="auto"/>
        </w:rPr>
        <w:t>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7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Within the European Union, legislators have adopted the General Data Protection Regulation, or GDPR, and which became effective in May 2018 which may impose additional obligations and risk upon our business and which may increase substantially the penalties to which we could be subject in the event of any non-compliance. In addition, Brexit could also lead to further legislative and regulatory changes, depending on the final terms of Brexit and the agreements or arrangements negotiated with the European Union. It remains unclear how the United Kingdom data protection laws or regulations will develop in the medium to longer term and how data transfers to and from the United Kingdom will be regulated. We may incur substantial expense in complying with the new obligations to be imposed by the GDPR and we may be required to make significant changes in our business operations, all of which may adversely affect our revenues and our business overall.</w:t>
      </w:r>
    </w:p>
    <w:p>
      <w:pPr>
        <w:spacing w:after="0" w:line="182"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On July 12, 2016, the European Commission adopted the EU-US Privacy Shield, a framework for the transfer of personal data from the European Union to the United States, as a successor to the Safe Harbor framework that was invalidated by the European Court of Justice in October 2015. We certified to the EU-US Privacy Shield. On July 16, 2020, the European Court of Justice invalidated the EU–US Privacy Shield ruling that it failed to offer adequate protections for European Union personal data transferred to the United States. The European Court of Justice, in the same decision, deemed that the Standard Contractual Clauses, or SCCs, approved by the European Commission for transfers of personal data between European Union controllers and non-European Union processors are valid, however the European Court of Justice deemed that transfers made pursuant to the SCCs need to be analyzed on a case-by-case basis to ensure the European Union’s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If such data transfer to the United States is not permitted, it could have a negative effect on our existing business and on our ability to attract and retain new customers.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Union may require their vendors to host all personal data within the European Union and may decide to do business with one of our competitors who hosts personal data within the European Union instead of doing business with us.</w:t>
      </w:r>
    </w:p>
    <w:p>
      <w:pPr>
        <w:spacing w:after="0" w:line="193"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9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Growth Platform may be perceived as not being secure, our customers may be harmed and may curtail or cease their use of our platform, our reputation may be damaged and we may incur significant liabilities.</w:t>
      </w:r>
    </w:p>
    <w:p>
      <w:pPr>
        <w:spacing w:after="0" w:line="78"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6" w:name="page47"/>
    <w:bookmarkEnd w:id="46"/>
    <w:p>
      <w:pPr>
        <w:ind w:right="40" w:firstLine="510"/>
        <w:spacing w:after="0" w:line="291"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63"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1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Growth Platform if they are concerned that they may infringe third-party intellectual property rights. The occurrence of any of these events may have a material adverse effect on our business.</w:t>
      </w:r>
    </w:p>
    <w:p>
      <w:pPr>
        <w:spacing w:after="0" w:line="169"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72"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7"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7" w:name="page48"/>
    <w:bookmarkEnd w:id="47"/>
    <w:p>
      <w:pPr>
        <w:ind w:right="320"/>
        <w:spacing w:after="0" w:line="272" w:lineRule="auto"/>
        <w:rPr>
          <w:sz w:val="20"/>
          <w:szCs w:val="20"/>
          <w:color w:val="auto"/>
        </w:rPr>
      </w:pPr>
      <w:r>
        <w:rPr>
          <w:rFonts w:ascii="Arial" w:cs="Arial" w:eastAsia="Arial" w:hAnsi="Arial"/>
          <w:sz w:val="18"/>
          <w:szCs w:val="18"/>
          <w:color w:val="auto"/>
        </w:rPr>
        <w:t>States. To the extent we expand our international activities, our exposure to unauthorized copying and use of our technology and proprietary information may increase.</w:t>
      </w:r>
    </w:p>
    <w:p>
      <w:pPr>
        <w:spacing w:after="0" w:line="174"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5" w:lineRule="exact"/>
        <w:rPr>
          <w:sz w:val="20"/>
          <w:szCs w:val="20"/>
          <w:color w:val="auto"/>
        </w:rPr>
      </w:pPr>
    </w:p>
    <w:p>
      <w:pPr>
        <w:ind w:right="80" w:firstLine="510"/>
        <w:spacing w:after="0" w:line="267"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Taxation</w:t>
      </w:r>
    </w:p>
    <w:p>
      <w:pPr>
        <w:spacing w:after="0" w:line="132"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Growth Platform that may violate our policy on acceptable use which prohibits content that is threatening, abusive, harassing, deceptive, false, misleading, vulgar, obscene, or indecent. While such content may not be illegal, use of our Growth Platform for such content could harm our reputation resulting in a loss of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15" w:lineRule="exact"/>
        <w:rPr>
          <w:sz w:val="20"/>
          <w:szCs w:val="20"/>
          <w:color w:val="auto"/>
        </w:rPr>
      </w:pPr>
    </w:p>
    <w:p>
      <w:pPr>
        <w:ind w:left="740" w:hanging="371"/>
        <w:spacing w:after="0" w:line="26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76" w:lineRule="exact"/>
        <w:rPr>
          <w:rFonts w:ascii="Arial" w:cs="Arial" w:eastAsia="Arial" w:hAnsi="Arial"/>
          <w:sz w:val="17"/>
          <w:szCs w:val="17"/>
          <w:color w:val="auto"/>
        </w:rPr>
      </w:pPr>
    </w:p>
    <w:p>
      <w:pPr>
        <w:jc w:val="both"/>
        <w:ind w:left="740" w:right="100" w:hanging="371"/>
        <w:spacing w:after="0" w:line="26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8" w:name="page49"/>
    <w:bookmarkEnd w:id="48"/>
    <w:p>
      <w:pPr>
        <w:ind w:left="740" w:right="60"/>
        <w:spacing w:after="0" w:line="256" w:lineRule="auto"/>
        <w:rPr>
          <w:sz w:val="20"/>
          <w:szCs w:val="20"/>
          <w:color w:val="auto"/>
        </w:rPr>
      </w:pPr>
      <w:r>
        <w:rPr>
          <w:rFonts w:ascii="Arial" w:cs="Arial" w:eastAsia="Arial" w:hAnsi="Arial"/>
          <w:sz w:val="18"/>
          <w:szCs w:val="18"/>
          <w:color w:val="auto"/>
        </w:rPr>
        <w:t>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2" w:lineRule="exact"/>
        <w:rPr>
          <w:sz w:val="20"/>
          <w:szCs w:val="20"/>
          <w:color w:val="auto"/>
        </w:rPr>
      </w:pPr>
    </w:p>
    <w:p>
      <w:pPr>
        <w:ind w:left="740" w:right="20" w:hanging="371"/>
        <w:spacing w:after="0" w:line="26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0" w:lineRule="exact"/>
        <w:rPr>
          <w:sz w:val="20"/>
          <w:szCs w:val="20"/>
          <w:color w:val="auto"/>
        </w:rPr>
      </w:pPr>
    </w:p>
    <w:p>
      <w:pPr>
        <w:ind w:firstLine="374"/>
        <w:spacing w:after="0" w:line="252"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302"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7"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Growth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302" w:lineRule="exact"/>
        <w:rPr>
          <w:sz w:val="20"/>
          <w:szCs w:val="20"/>
          <w:color w:val="auto"/>
        </w:rPr>
      </w:pPr>
    </w:p>
    <w:p>
      <w:pPr>
        <w:ind w:right="420"/>
        <w:spacing w:after="0" w:line="272"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Growth Platform and adversely impact our business.</w:t>
      </w:r>
    </w:p>
    <w:p>
      <w:pPr>
        <w:spacing w:after="0" w:line="6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Growth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7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Changes in tax laws, such as tax reform in the United States or changes in tax laws resulting from the Organization for Economic Co-operation and Development’s multi-jurisdictional plan of action to address “base erosion and profit shifting,” could impact our effective tax rate. In addition, the authorities in these jurisdictions could review our tax returns and impose additional tax, interest and penalties, and the authorities could claim that various withholding requirements apply to us or our subsidiaries or assert that benefits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of tax treaties are not available to us or our subsidiaries, any of which could have a material impact on us and the results of our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6"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due to prior period losses, which, if not utilized, will begin to expire in 2027 for federal purposes and begin to expire in 2023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It is possible that an ownership change in connection with a future offering, or any future ownership change, could have a material effect on the use of our net operating loss carryforwards or other tax attributes, which could adversely affect our profitability. Net operating loss carryforwards incurred for periods beginning on or after January 1, 2018 would not expire unused as a result of these limitations because they can be carried forward indefinitely.</w:t>
      </w: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Growth Platform and our ability to conduct business.</w:t>
      </w:r>
    </w:p>
    <w:p>
      <w:pPr>
        <w:spacing w:after="0" w:line="6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8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Growth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9" w:lineRule="exact"/>
        <w:rPr>
          <w:sz w:val="20"/>
          <w:szCs w:val="20"/>
          <w:color w:val="auto"/>
        </w:rPr>
      </w:pPr>
    </w:p>
    <w:p>
      <w:pPr>
        <w:ind w:right="300"/>
        <w:spacing w:after="0" w:line="373"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Growth Platform and potentially subject us to regulatory enforcement or private litigation.</w:t>
      </w:r>
    </w:p>
    <w:p>
      <w:pPr>
        <w:ind w:right="140" w:firstLine="510"/>
        <w:spacing w:after="0" w:line="268"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Growth Platform and could impair our attractiveness to customers, which would harm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0" w:name="page51"/>
    <w:bookmarkEnd w:id="50"/>
    <w:p>
      <w:pPr>
        <w:ind w:firstLine="510"/>
        <w:spacing w:after="0" w:line="273"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Growth Platform to decrease and adversely impact our financial results.</w:t>
      </w:r>
    </w:p>
    <w:p>
      <w:pPr>
        <w:spacing w:after="0" w:line="17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Growth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0"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299" w:lineRule="exact"/>
        <w:rPr>
          <w:sz w:val="20"/>
          <w:szCs w:val="20"/>
          <w:color w:val="auto"/>
        </w:rPr>
      </w:pPr>
    </w:p>
    <w:p>
      <w:pPr>
        <w:ind w:right="480"/>
        <w:spacing w:after="0" w:line="272"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19"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7" w:lineRule="exact"/>
        <w:rPr>
          <w:sz w:val="20"/>
          <w:szCs w:val="20"/>
          <w:color w:val="auto"/>
        </w:rPr>
      </w:pPr>
    </w:p>
    <w:p>
      <w:pPr>
        <w:ind w:right="280" w:firstLine="510"/>
        <w:spacing w:after="0" w:line="256"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82"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4" w:lineRule="exact"/>
        <w:rPr>
          <w:rFonts w:ascii="Arial" w:cs="Arial" w:eastAsia="Arial" w:hAnsi="Arial"/>
          <w:sz w:val="18"/>
          <w:szCs w:val="18"/>
          <w:color w:val="auto"/>
        </w:rPr>
      </w:pPr>
    </w:p>
    <w:p>
      <w:pPr>
        <w:ind w:left="1020" w:right="84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our Growth Platform subscriptions effectively so that we are able to attract and retain customers without compromising our profitability;</w:t>
      </w:r>
    </w:p>
    <w:p>
      <w:pPr>
        <w:spacing w:after="0" w:line="67" w:lineRule="exact"/>
        <w:rPr>
          <w:rFonts w:ascii="Arial" w:cs="Arial" w:eastAsia="Arial" w:hAnsi="Arial"/>
          <w:sz w:val="18"/>
          <w:szCs w:val="18"/>
          <w:color w:val="auto"/>
        </w:rPr>
      </w:pPr>
    </w:p>
    <w:p>
      <w:pPr>
        <w:ind w:left="1020" w:right="20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new customers for our marketing, sales and customer service software, increasing our existing customers’ use of our platform and providing our customers with excellent customer support;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1" w:name="page52"/>
    <w:bookmarkEnd w:id="51"/>
    <w:p>
      <w:pPr>
        <w:ind w:left="1020" w:right="38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4" w:lineRule="exact"/>
        <w:rPr>
          <w:rFonts w:ascii="Arial" w:cs="Arial" w:eastAsia="Arial" w:hAnsi="Arial"/>
          <w:sz w:val="18"/>
          <w:szCs w:val="18"/>
          <w:color w:val="auto"/>
        </w:rPr>
      </w:pPr>
    </w:p>
    <w:p>
      <w:pPr>
        <w:ind w:left="1020" w:right="2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37" w:lineRule="exact"/>
        <w:rPr>
          <w:rFonts w:ascii="Arial" w:cs="Arial" w:eastAsia="Arial" w:hAnsi="Arial"/>
          <w:sz w:val="16"/>
          <w:szCs w:val="16"/>
          <w:color w:val="auto"/>
        </w:rPr>
      </w:pPr>
    </w:p>
    <w:p>
      <w:pPr>
        <w:ind w:left="1020" w:right="62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Growth Platform in new markets outside of the United States;</w:t>
      </w:r>
    </w:p>
    <w:p>
      <w:pPr>
        <w:spacing w:after="0" w:line="67" w:lineRule="exact"/>
        <w:rPr>
          <w:rFonts w:ascii="Arial" w:cs="Arial" w:eastAsia="Arial" w:hAnsi="Arial"/>
          <w:sz w:val="18"/>
          <w:szCs w:val="18"/>
          <w:color w:val="auto"/>
        </w:rPr>
      </w:pPr>
    </w:p>
    <w:p>
      <w:pPr>
        <w:ind w:left="1020" w:right="380" w:hanging="503"/>
        <w:spacing w:after="0" w:line="27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2" w:lineRule="exact"/>
        <w:rPr>
          <w:sz w:val="20"/>
          <w:szCs w:val="20"/>
          <w:color w:val="auto"/>
        </w:rPr>
      </w:pPr>
    </w:p>
    <w:p>
      <w:pPr>
        <w:ind w:right="80" w:firstLine="374"/>
        <w:spacing w:after="0" w:line="282"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6"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7" w:lineRule="exact"/>
        <w:rPr>
          <w:sz w:val="20"/>
          <w:szCs w:val="20"/>
          <w:color w:val="auto"/>
        </w:rPr>
      </w:pPr>
    </w:p>
    <w:p>
      <w:pPr>
        <w:ind w:right="60" w:firstLine="374"/>
        <w:spacing w:after="0" w:line="282"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76"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offer our Growth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77"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7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We incurred indebtedness in the aggregate principal amount of $400.0 million in connection with the issuance of our 0.25% convertible senior notes due June 1, 2022, or the 2022 Notes. In June 2020, the Company exchanged approximately $272.1 million in aggregate principal amount of the 2022 Notes in privately-negotiated transactions for an aggregate of approximately $283.0 million in cash and 1.6 million shares of common stock. Following the partial repurchase of the 2022 Notes, $127.8 million of the 2022 Notes remained outstanding. In June 2020, concurrent with the partial repurchase of the 2022 Notes, we incurred indebtedness in the aggregate principal amount of $460.0 million in connection with the issuance of our 0.375% convertible senior notes due June 1, 2025, or the 2025 Notes, and together with the 2022 Notes, the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2" w:name="page53"/>
    <w:bookmarkEnd w:id="52"/>
    <w:p>
      <w:pPr>
        <w:ind w:right="100"/>
        <w:spacing w:after="0" w:line="256" w:lineRule="auto"/>
        <w:rPr>
          <w:sz w:val="20"/>
          <w:szCs w:val="20"/>
          <w:color w:val="auto"/>
        </w:rPr>
      </w:pPr>
      <w:r>
        <w:rPr>
          <w:rFonts w:ascii="Arial" w:cs="Arial" w:eastAsia="Arial" w:hAnsi="Arial"/>
          <w:sz w:val="18"/>
          <w:szCs w:val="18"/>
          <w:color w:val="auto"/>
        </w:rPr>
        <w:t>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9"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82" w:lineRule="exact"/>
        <w:rPr>
          <w:sz w:val="20"/>
          <w:szCs w:val="20"/>
          <w:color w:val="auto"/>
        </w:rPr>
      </w:pPr>
    </w:p>
    <w:p>
      <w:pPr>
        <w:ind w:right="1060" w:firstLine="510"/>
        <w:spacing w:after="0" w:line="272"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67" w:lineRule="exact"/>
        <w:rPr>
          <w:sz w:val="20"/>
          <w:szCs w:val="20"/>
          <w:color w:val="auto"/>
        </w:rPr>
      </w:pPr>
    </w:p>
    <w:p>
      <w:pPr>
        <w:ind w:left="1020" w:right="440" w:hanging="503"/>
        <w:spacing w:after="0" w:line="27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2" w:lineRule="exact"/>
        <w:rPr>
          <w:sz w:val="20"/>
          <w:szCs w:val="20"/>
          <w:color w:val="auto"/>
        </w:rPr>
      </w:pPr>
    </w:p>
    <w:p>
      <w:pPr>
        <w:ind w:right="640" w:firstLine="510"/>
        <w:spacing w:after="0" w:line="302"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15" w:lineRule="exact"/>
        <w:rPr>
          <w:sz w:val="20"/>
          <w:szCs w:val="20"/>
          <w:color w:val="auto"/>
        </w:rPr>
      </w:pPr>
    </w:p>
    <w:p>
      <w:pPr>
        <w:ind w:right="280" w:firstLine="510"/>
        <w:spacing w:after="0" w:line="272" w:lineRule="auto"/>
        <w:rPr>
          <w:sz w:val="20"/>
          <w:szCs w:val="20"/>
          <w:color w:val="auto"/>
        </w:rPr>
      </w:pPr>
      <w:r>
        <w:rPr>
          <w:rFonts w:ascii="Arial" w:cs="Arial" w:eastAsia="Arial" w:hAnsi="Arial"/>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6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Because the last reported sale price of our common stock for at least 20 trading days during the period of 30 consecutive trading days ending on the last trading day of the calendar quarter ended June 30, 2020 was equal to or greater than 130% of the applicable conversion price on each applicable trading day, the 2022 Notes are convertible at the option of the holders thereof during the calendar quarter ending September 30, 2020. Whether the 2022 Notes that remain outstanding will be convertible following the calendar quarter ending September 30, 2020 will depend on the continued satisfaction of this condition or another conversion condition in the future. The 2025 Notes will be eligible for conditional conversion in any calendar quarter after the calendar quarter ending September 30, 2020.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 The Notes are currently classified as long-term debt.</w:t>
      </w:r>
    </w:p>
    <w:p>
      <w:pPr>
        <w:spacing w:after="0" w:line="274"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7"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color w:val="auto"/>
        </w:rPr>
        <w:t xml:space="preserve">Under Financial Accounting Standards Board Accounting Standards Codification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53" w:name="page54"/>
    <w:bookmarkEnd w:id="53"/>
    <w:p>
      <w:pPr>
        <w:jc w:val="both"/>
        <w:ind w:right="300"/>
        <w:spacing w:after="0" w:line="282" w:lineRule="auto"/>
        <w:rPr>
          <w:sz w:val="20"/>
          <w:szCs w:val="20"/>
          <w:color w:val="auto"/>
        </w:rPr>
      </w:pPr>
      <w:r>
        <w:rPr>
          <w:rFonts w:ascii="Arial" w:cs="Arial" w:eastAsia="Arial" w:hAnsi="Arial"/>
          <w:sz w:val="17"/>
          <w:szCs w:val="17"/>
          <w:color w:val="auto"/>
        </w:rPr>
        <w:t>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w:t>
      </w:r>
    </w:p>
    <w:p>
      <w:pPr>
        <w:spacing w:after="0" w:line="16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92" w:lineRule="exact"/>
        <w:rPr>
          <w:sz w:val="20"/>
          <w:szCs w:val="20"/>
          <w:color w:val="auto"/>
        </w:rPr>
      </w:pPr>
    </w:p>
    <w:p>
      <w:pPr>
        <w:ind w:right="100" w:firstLine="510"/>
        <w:spacing w:after="0" w:line="252" w:lineRule="auto"/>
        <w:rPr>
          <w:sz w:val="20"/>
          <w:szCs w:val="20"/>
          <w:color w:val="auto"/>
        </w:rPr>
      </w:pPr>
      <w:r>
        <w:rPr>
          <w:rFonts w:ascii="Arial" w:cs="Arial" w:eastAsia="Arial" w:hAnsi="Arial"/>
          <w:sz w:val="18"/>
          <w:szCs w:val="18"/>
          <w:color w:val="auto"/>
        </w:rPr>
        <w:t>In July 2019, the FASB issued an exposure draft that proposes to change the accounting for the convertible debt instruments described above. Under the exposure draft, an entity may no longer be required to separately account for the liability and equity components of convertible debt instruments. This could have the impact of reducing non-cash interest expense, and thereby increasing net income (or decreasing net losses). Additionally, as currently proposed, the treasury stock method for calculating earnings per share will no longer be allowed for convertible debt instruments whose principal amount may be settled using shares. Rather, the if-converted method may be required, which would decrease (increase) our diluted net income (loss) per share. We cannot be sure that the proposed changes in this exposure draft will be adopted or will be adopted in their current format. We also cannot be sure whether other changes may be made to the current accounting standards related to the Notes, or otherwise, that could have an adverse impact on our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5" w:lineRule="exact"/>
        <w:rPr>
          <w:sz w:val="20"/>
          <w:szCs w:val="20"/>
          <w:color w:val="auto"/>
        </w:rPr>
      </w:pPr>
    </w:p>
    <w:p>
      <w:pPr>
        <w:ind w:right="200" w:firstLine="510"/>
        <w:spacing w:after="0" w:line="256"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$231.17, through June 30, 2020. The market price of our common stock may fluctuate significantly in response to numerous factors, many of which are beyond our control, including:</w:t>
      </w:r>
    </w:p>
    <w:p>
      <w:pPr>
        <w:spacing w:after="0" w:line="82" w:lineRule="exact"/>
        <w:rPr>
          <w:sz w:val="20"/>
          <w:szCs w:val="20"/>
          <w:color w:val="auto"/>
        </w:rPr>
      </w:pPr>
    </w:p>
    <w:p>
      <w:pPr>
        <w:ind w:left="1020" w:right="44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7" w:lineRule="exact"/>
        <w:rPr>
          <w:rFonts w:ascii="Arial" w:cs="Arial" w:eastAsia="Arial" w:hAnsi="Arial"/>
          <w:sz w:val="18"/>
          <w:szCs w:val="18"/>
          <w:color w:val="auto"/>
        </w:rPr>
      </w:pPr>
    </w:p>
    <w:p>
      <w:pPr>
        <w:ind w:left="1020" w:right="42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4" w:lineRule="exact"/>
        <w:rPr>
          <w:rFonts w:ascii="Arial" w:cs="Arial" w:eastAsia="Arial" w:hAnsi="Arial"/>
          <w:sz w:val="18"/>
          <w:szCs w:val="18"/>
          <w:color w:val="auto"/>
        </w:rPr>
      </w:pPr>
    </w:p>
    <w:p>
      <w:pPr>
        <w:ind w:left="1020" w:right="40" w:hanging="503"/>
        <w:spacing w:after="0" w:line="302"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44" w:lineRule="exact"/>
        <w:rPr>
          <w:rFonts w:ascii="Arial" w:cs="Arial" w:eastAsia="Arial" w:hAnsi="Arial"/>
          <w:sz w:val="17"/>
          <w:szCs w:val="17"/>
          <w:color w:val="auto"/>
        </w:rPr>
      </w:pPr>
    </w:p>
    <w:p>
      <w:pPr>
        <w:ind w:left="1020" w:right="60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7" w:lineRule="exact"/>
        <w:rPr>
          <w:rFonts w:ascii="Arial" w:cs="Arial" w:eastAsia="Arial" w:hAnsi="Arial"/>
          <w:sz w:val="18"/>
          <w:szCs w:val="18"/>
          <w:color w:val="auto"/>
        </w:rPr>
      </w:pPr>
    </w:p>
    <w:p>
      <w:pPr>
        <w:ind w:left="1020" w:right="62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14" w:lineRule="exact"/>
        <w:rPr>
          <w:rFonts w:ascii="Arial" w:cs="Arial" w:eastAsia="Arial" w:hAnsi="Arial"/>
          <w:sz w:val="18"/>
          <w:szCs w:val="18"/>
          <w:color w:val="auto"/>
        </w:rPr>
      </w:pPr>
    </w:p>
    <w:p>
      <w:pPr>
        <w:ind w:left="1020" w:right="30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2" w:lineRule="exact"/>
        <w:rPr>
          <w:sz w:val="20"/>
          <w:szCs w:val="20"/>
          <w:color w:val="auto"/>
        </w:rPr>
      </w:pPr>
    </w:p>
    <w:p>
      <w:pPr>
        <w:jc w:val="both"/>
        <w:ind w:right="200" w:firstLine="374"/>
        <w:spacing w:after="0" w:line="260"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5" w:lineRule="exact"/>
        <w:rPr>
          <w:sz w:val="20"/>
          <w:szCs w:val="20"/>
          <w:color w:val="auto"/>
        </w:rPr>
      </w:pPr>
    </w:p>
    <w:p>
      <w:pPr>
        <w:ind w:right="380" w:firstLine="374"/>
        <w:spacing w:after="0" w:line="260"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ind w:right="100"/>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9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2"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5"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8" w:lineRule="exact"/>
        <w:rPr>
          <w:sz w:val="20"/>
          <w:szCs w:val="20"/>
          <w:color w:val="auto"/>
        </w:rPr>
      </w:pPr>
    </w:p>
    <w:p>
      <w:pPr>
        <w:ind w:left="1020" w:right="80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4" w:lineRule="exact"/>
        <w:rPr>
          <w:rFonts w:ascii="Arial" w:cs="Arial" w:eastAsia="Arial" w:hAnsi="Arial"/>
          <w:sz w:val="18"/>
          <w:szCs w:val="18"/>
          <w:color w:val="auto"/>
        </w:rPr>
      </w:pPr>
    </w:p>
    <w:p>
      <w:pPr>
        <w:ind w:left="1020" w:right="56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56" w:name="page57"/>
    <w:bookmarkEnd w:id="56"/>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3" w:lineRule="exact"/>
        <w:rPr>
          <w:sz w:val="20"/>
          <w:szCs w:val="20"/>
          <w:color w:val="auto"/>
        </w:rPr>
      </w:pPr>
    </w:p>
    <w:p>
      <w:pPr>
        <w:ind w:firstLine="510"/>
        <w:spacing w:after="0" w:line="336"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8"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60"/>
          </w:cols>
          <w:pgMar w:left="320" w:top="447" w:right="519" w:bottom="1440" w:gutter="0" w:footer="0" w:header="0"/>
        </w:sectPr>
      </w:pPr>
    </w:p>
    <w:bookmarkStart w:id="57" w:name="page58"/>
    <w:bookmarkEnd w:id="57"/>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9260" w:type="dxa"/>
            <w:vAlign w:val="bottom"/>
            <w:gridSpan w:val="3"/>
            <w:vMerge w:val="restart"/>
          </w:tcPr>
          <w:p>
            <w:pPr>
              <w:ind w:left="39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8"/>
              </w:rPr>
              <w:t>Number</w:t>
            </w:r>
          </w:p>
        </w:tc>
        <w:tc>
          <w:tcPr>
            <w:tcW w:w="660" w:type="dxa"/>
            <w:vAlign w:val="bottom"/>
          </w:tcPr>
          <w:p>
            <w:pPr>
              <w:spacing w:after="0"/>
              <w:rPr>
                <w:sz w:val="16"/>
                <w:szCs w:val="16"/>
                <w:color w:val="auto"/>
              </w:rPr>
            </w:pPr>
          </w:p>
        </w:tc>
        <w:tc>
          <w:tcPr>
            <w:tcW w:w="9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3.1(1)</w:t>
            </w:r>
          </w:p>
        </w:tc>
        <w:tc>
          <w:tcPr>
            <w:tcW w:w="9920" w:type="dxa"/>
            <w:vAlign w:val="bottom"/>
            <w:gridSpan w:val="4"/>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335"/>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3.2(2)</w:t>
            </w:r>
          </w:p>
        </w:tc>
        <w:tc>
          <w:tcPr>
            <w:tcW w:w="9920" w:type="dxa"/>
            <w:vAlign w:val="bottom"/>
            <w:gridSpan w:val="4"/>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Second Amended and Restated Bylaws of the Registrant</w:t>
              </w:r>
            </w:hyperlink>
          </w:p>
        </w:tc>
        <w:tc>
          <w:tcPr>
            <w:tcW w:w="0" w:type="dxa"/>
            <w:vAlign w:val="bottom"/>
          </w:tcPr>
          <w:p>
            <w:pPr>
              <w:spacing w:after="0"/>
              <w:rPr>
                <w:sz w:val="1"/>
                <w:szCs w:val="1"/>
                <w:color w:val="auto"/>
              </w:rPr>
            </w:pPr>
          </w:p>
        </w:tc>
      </w:tr>
      <w:tr>
        <w:trPr>
          <w:trHeight w:val="429"/>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4.1(3)</w:t>
            </w:r>
          </w:p>
        </w:tc>
        <w:tc>
          <w:tcPr>
            <w:tcW w:w="9920" w:type="dxa"/>
            <w:vAlign w:val="bottom"/>
            <w:gridSpan w:val="4"/>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Form of Common Stock certificate of the Registrant</w:t>
              </w:r>
            </w:hyperlink>
          </w:p>
        </w:tc>
        <w:tc>
          <w:tcPr>
            <w:tcW w:w="0" w:type="dxa"/>
            <w:vAlign w:val="bottom"/>
          </w:tcPr>
          <w:p>
            <w:pPr>
              <w:spacing w:after="0"/>
              <w:rPr>
                <w:sz w:val="1"/>
                <w:szCs w:val="1"/>
                <w:color w:val="auto"/>
              </w:rPr>
            </w:pPr>
          </w:p>
        </w:tc>
      </w:tr>
      <w:tr>
        <w:trPr>
          <w:trHeight w:val="335"/>
        </w:trPr>
        <w:tc>
          <w:tcPr>
            <w:tcW w:w="1220" w:type="dxa"/>
            <w:vAlign w:val="bottom"/>
          </w:tcPr>
          <w:p>
            <w:pPr>
              <w:jc w:val="center"/>
              <w:ind w:right="133"/>
              <w:spacing w:after="0"/>
              <w:rPr>
                <w:sz w:val="20"/>
                <w:szCs w:val="20"/>
                <w:color w:val="auto"/>
              </w:rPr>
            </w:pPr>
            <w:r>
              <w:rPr>
                <w:rFonts w:ascii="Arial" w:cs="Arial" w:eastAsia="Arial" w:hAnsi="Arial"/>
                <w:sz w:val="18"/>
                <w:szCs w:val="18"/>
                <w:color w:val="auto"/>
                <w:w w:val="93"/>
              </w:rPr>
              <w:t>4.2(4)</w:t>
            </w:r>
          </w:p>
        </w:tc>
        <w:tc>
          <w:tcPr>
            <w:tcW w:w="9920" w:type="dxa"/>
            <w:vAlign w:val="bottom"/>
            <w:gridSpan w:val="4"/>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Indenture, dated as of June 4, 2020, between the Registrant, and Wilmington Trust, National Association, as trustee</w:t>
              </w:r>
            </w:hyperlink>
          </w:p>
        </w:tc>
        <w:tc>
          <w:tcPr>
            <w:tcW w:w="0" w:type="dxa"/>
            <w:vAlign w:val="bottom"/>
          </w:tcPr>
          <w:p>
            <w:pPr>
              <w:spacing w:after="0"/>
              <w:rPr>
                <w:sz w:val="1"/>
                <w:szCs w:val="1"/>
                <w:color w:val="auto"/>
              </w:rPr>
            </w:pPr>
          </w:p>
        </w:tc>
      </w:tr>
      <w:tr>
        <w:trPr>
          <w:trHeight w:val="335"/>
        </w:trPr>
        <w:tc>
          <w:tcPr>
            <w:tcW w:w="1220" w:type="dxa"/>
            <w:vAlign w:val="bottom"/>
          </w:tcPr>
          <w:p>
            <w:pPr>
              <w:jc w:val="center"/>
              <w:ind w:right="133"/>
              <w:spacing w:after="0"/>
              <w:rPr>
                <w:sz w:val="20"/>
                <w:szCs w:val="20"/>
                <w:color w:val="auto"/>
              </w:rPr>
            </w:pPr>
            <w:r>
              <w:rPr>
                <w:rFonts w:ascii="Arial" w:cs="Arial" w:eastAsia="Arial" w:hAnsi="Arial"/>
                <w:sz w:val="18"/>
                <w:szCs w:val="18"/>
                <w:color w:val="auto"/>
                <w:w w:val="93"/>
              </w:rPr>
              <w:t>4.3(5)</w:t>
            </w:r>
          </w:p>
        </w:tc>
        <w:tc>
          <w:tcPr>
            <w:tcW w:w="9920" w:type="dxa"/>
            <w:vAlign w:val="bottom"/>
            <w:gridSpan w:val="4"/>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Form of 0.375% Convertible Senior Notes due 2025 (included in Exhibit 4.2)</w:t>
              </w:r>
            </w:hyperlink>
          </w:p>
        </w:tc>
        <w:tc>
          <w:tcPr>
            <w:tcW w:w="0" w:type="dxa"/>
            <w:vAlign w:val="bottom"/>
          </w:tcPr>
          <w:p>
            <w:pPr>
              <w:spacing w:after="0"/>
              <w:rPr>
                <w:sz w:val="1"/>
                <w:szCs w:val="1"/>
                <w:color w:val="auto"/>
              </w:rPr>
            </w:pPr>
          </w:p>
        </w:tc>
      </w:tr>
      <w:tr>
        <w:trPr>
          <w:trHeight w:val="335"/>
        </w:trPr>
        <w:tc>
          <w:tcPr>
            <w:tcW w:w="1220" w:type="dxa"/>
            <w:vAlign w:val="bottom"/>
          </w:tcPr>
          <w:p>
            <w:pPr>
              <w:jc w:val="center"/>
              <w:ind w:right="133"/>
              <w:spacing w:after="0"/>
              <w:rPr>
                <w:sz w:val="20"/>
                <w:szCs w:val="20"/>
                <w:color w:val="auto"/>
              </w:rPr>
            </w:pPr>
            <w:r>
              <w:rPr>
                <w:rFonts w:ascii="Arial" w:cs="Arial" w:eastAsia="Arial" w:hAnsi="Arial"/>
                <w:sz w:val="18"/>
                <w:szCs w:val="18"/>
                <w:color w:val="auto"/>
                <w:w w:val="91"/>
              </w:rPr>
              <w:t>10.1(6)</w:t>
            </w:r>
          </w:p>
        </w:tc>
        <w:tc>
          <w:tcPr>
            <w:tcW w:w="9920" w:type="dxa"/>
            <w:vAlign w:val="bottom"/>
            <w:gridSpan w:val="4"/>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Form of Capped Call Transaction Confirmation</w:t>
              </w:r>
            </w:hyperlink>
          </w:p>
        </w:tc>
        <w:tc>
          <w:tcPr>
            <w:tcW w:w="0" w:type="dxa"/>
            <w:vAlign w:val="bottom"/>
          </w:tcPr>
          <w:p>
            <w:pPr>
              <w:spacing w:after="0"/>
              <w:rPr>
                <w:sz w:val="1"/>
                <w:szCs w:val="1"/>
                <w:color w:val="auto"/>
              </w:rPr>
            </w:pPr>
          </w:p>
        </w:tc>
      </w:tr>
      <w:tr>
        <w:trPr>
          <w:trHeight w:val="297"/>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31.1(7)</w:t>
            </w:r>
          </w:p>
        </w:tc>
        <w:tc>
          <w:tcPr>
            <w:tcW w:w="9920" w:type="dxa"/>
            <w:vAlign w:val="bottom"/>
            <w:gridSpan w:val="4"/>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Certification of Principal Executive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amended</w:t>
              </w:r>
            </w:hyperlink>
          </w:p>
        </w:tc>
        <w:tc>
          <w:tcPr>
            <w:tcW w:w="8820" w:type="dxa"/>
            <w:vAlign w:val="bottom"/>
            <w:tcBorders>
              <w:top w:val="single" w:sz="8" w:color="0000EE"/>
            </w:tcBorders>
            <w:gridSpan w:val="2"/>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31.2(7)</w:t>
            </w:r>
          </w:p>
        </w:tc>
        <w:tc>
          <w:tcPr>
            <w:tcW w:w="9920" w:type="dxa"/>
            <w:vAlign w:val="bottom"/>
            <w:gridSpan w:val="4"/>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amended</w:t>
              </w:r>
            </w:hyperlink>
          </w:p>
        </w:tc>
        <w:tc>
          <w:tcPr>
            <w:tcW w:w="8780" w:type="dxa"/>
            <w:vAlign w:val="bottom"/>
            <w:tcBorders>
              <w:top w:val="single" w:sz="8" w:color="0000EE"/>
            </w:tcBorders>
          </w:tcPr>
          <w:p>
            <w:pPr>
              <w:spacing w:after="0"/>
              <w:rPr>
                <w:sz w:val="16"/>
                <w:szCs w:val="16"/>
                <w:color w:val="auto"/>
              </w:rPr>
            </w:pPr>
          </w:p>
        </w:tc>
        <w:tc>
          <w:tcPr>
            <w:tcW w:w="4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right"/>
              <w:ind w:right="593"/>
              <w:spacing w:after="0"/>
              <w:rPr>
                <w:sz w:val="20"/>
                <w:szCs w:val="20"/>
                <w:color w:val="auto"/>
              </w:rPr>
            </w:pPr>
            <w:r>
              <w:rPr>
                <w:rFonts w:ascii="Arial" w:cs="Arial" w:eastAsia="Arial" w:hAnsi="Arial"/>
                <w:sz w:val="18"/>
                <w:szCs w:val="18"/>
                <w:color w:val="auto"/>
              </w:rPr>
              <w:t>32.1*</w:t>
            </w:r>
          </w:p>
        </w:tc>
        <w:tc>
          <w:tcPr>
            <w:tcW w:w="992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Certification of Principal Executive Officer and Principal Financial Officer pursuant to Section 906 of the Sarbanes-Oxley Act</w:t>
              </w:r>
            </w:hyperlink>
          </w:p>
        </w:tc>
        <w:tc>
          <w:tcPr>
            <w:tcW w:w="0" w:type="dxa"/>
            <w:vAlign w:val="bottom"/>
          </w:tcPr>
          <w:p>
            <w:pPr>
              <w:spacing w:after="0"/>
              <w:rPr>
                <w:sz w:val="1"/>
                <w:szCs w:val="1"/>
                <w:color w:val="auto"/>
              </w:rPr>
            </w:pPr>
          </w:p>
        </w:tc>
      </w:tr>
      <w:tr>
        <w:trPr>
          <w:trHeight w:val="32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20" w:hanging="468"/>
        <w:spacing w:after="0"/>
        <w:tabs>
          <w:tab w:leader="none" w:pos="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9" w:lineRule="exact"/>
        <w:rPr>
          <w:rFonts w:ascii="Arial" w:cs="Arial" w:eastAsia="Arial" w:hAnsi="Arial"/>
          <w:sz w:val="18"/>
          <w:szCs w:val="18"/>
          <w:color w:val="auto"/>
        </w:rPr>
      </w:pPr>
    </w:p>
    <w:p>
      <w:pPr>
        <w:ind w:left="520" w:right="60" w:hanging="513"/>
        <w:spacing w:after="0" w:line="256"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3.1 to Registrant’s Form 10-K filed with the Securities and Exchange Commission on February 24, 2016 and incorporated herein by reference.</w:t>
      </w:r>
    </w:p>
    <w:p>
      <w:pPr>
        <w:ind w:left="520" w:right="420" w:hanging="513"/>
        <w:spacing w:after="0" w:line="256"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3.1 to Registrant’s Form 8-K filed with the Securities and Exchange Commission on April 25, 2018 and incorporated herein by reference.</w:t>
      </w:r>
    </w:p>
    <w:p>
      <w:pPr>
        <w:ind w:left="520" w:right="60" w:hanging="513"/>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4.1 to Amendment No. 1 to Registrant’s Registration Statement on Form S-1 filed with the Securities and Exchange Commission on September 26, 2014, and incorporated herein by reference.</w:t>
      </w:r>
    </w:p>
    <w:p>
      <w:pPr>
        <w:spacing w:after="0" w:line="1" w:lineRule="exact"/>
        <w:rPr>
          <w:rFonts w:ascii="Arial" w:cs="Arial" w:eastAsia="Arial" w:hAnsi="Arial"/>
          <w:sz w:val="18"/>
          <w:szCs w:val="18"/>
          <w:color w:val="auto"/>
        </w:rPr>
      </w:pPr>
    </w:p>
    <w:p>
      <w:pPr>
        <w:ind w:left="520" w:right="560" w:hanging="513"/>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4.1 to Registrant’s Form 8-K filed with the Securities and Exchange Commission on June 5, 2020 and incorporated herein by reference.</w:t>
      </w:r>
    </w:p>
    <w:p>
      <w:pPr>
        <w:spacing w:after="0" w:line="1" w:lineRule="exact"/>
        <w:rPr>
          <w:rFonts w:ascii="Arial" w:cs="Arial" w:eastAsia="Arial" w:hAnsi="Arial"/>
          <w:sz w:val="18"/>
          <w:szCs w:val="18"/>
          <w:color w:val="auto"/>
        </w:rPr>
      </w:pPr>
    </w:p>
    <w:p>
      <w:pPr>
        <w:ind w:left="520" w:right="560" w:hanging="513"/>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4.2 to Registrant’s Form 8-K filed with the Securities and Exchange Commission on June 5, 2020 and incorporated herein by reference.</w:t>
      </w:r>
    </w:p>
    <w:p>
      <w:pPr>
        <w:spacing w:after="0" w:line="1" w:lineRule="exact"/>
        <w:rPr>
          <w:rFonts w:ascii="Arial" w:cs="Arial" w:eastAsia="Arial" w:hAnsi="Arial"/>
          <w:sz w:val="18"/>
          <w:szCs w:val="18"/>
          <w:color w:val="auto"/>
        </w:rPr>
      </w:pPr>
    </w:p>
    <w:p>
      <w:pPr>
        <w:ind w:left="520" w:right="480" w:hanging="513"/>
        <w:spacing w:after="0" w:line="24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as Exhibit 10.1 to Registrant’s Form 8-K filed with the Securities and Exchange Commission on June 5, 2020 and incorporated herein by reference.</w:t>
      </w:r>
    </w:p>
    <w:p>
      <w:pPr>
        <w:spacing w:after="0" w:line="1" w:lineRule="exact"/>
        <w:rPr>
          <w:rFonts w:ascii="Arial" w:cs="Arial" w:eastAsia="Arial" w:hAnsi="Arial"/>
          <w:sz w:val="18"/>
          <w:szCs w:val="18"/>
          <w:color w:val="auto"/>
        </w:rPr>
      </w:pPr>
    </w:p>
    <w:p>
      <w:pPr>
        <w:ind w:left="520" w:hanging="513"/>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9" w:lineRule="exact"/>
        <w:rPr>
          <w:sz w:val="20"/>
          <w:szCs w:val="20"/>
          <w:color w:val="auto"/>
        </w:rPr>
      </w:pPr>
    </w:p>
    <w:p>
      <w:pPr>
        <w:ind w:left="520" w:hanging="513"/>
        <w:spacing w:after="0" w:line="298"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58" w:name="page59"/>
    <w:bookmarkEnd w:id="58"/>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4"/>
        </w:trPr>
        <w:tc>
          <w:tcPr>
            <w:tcW w:w="9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w:t>
            </w:r>
          </w:p>
        </w:tc>
      </w:tr>
      <w:tr>
        <w:trPr>
          <w:trHeight w:val="227"/>
        </w:trPr>
        <w:tc>
          <w:tcPr>
            <w:tcW w:w="9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ectPr>
          <w:pgSz w:w="11900" w:h="16838" w:orient="portrait"/>
          <w:cols w:equalWidth="0" w:num="1">
            <w:col w:w="10720"/>
          </w:cols>
          <w:pgMar w:left="320" w:top="336" w:right="859" w:bottom="1440" w:gutter="0" w:footer="0" w:header="0"/>
        </w:sectPr>
      </w:pPr>
    </w:p>
    <w:bookmarkStart w:id="59" w:name="page60"/>
    <w:bookmarkEnd w:id="59"/>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15" w:lineRule="exact"/>
        <w:rPr>
          <w:sz w:val="20"/>
          <w:szCs w:val="20"/>
          <w:color w:val="auto"/>
        </w:rPr>
      </w:pPr>
    </w:p>
    <w:p>
      <w:pPr>
        <w:ind w:left="520" w:hanging="513"/>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420" w:hanging="513"/>
        <w:spacing w:after="0" w:line="260"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400" w:hanging="513"/>
        <w:spacing w:after="0" w:line="302"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420" w:hanging="513"/>
        <w:spacing w:after="0" w:line="260"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180" w:hanging="503"/>
        <w:spacing w:after="0" w:line="260"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500" w:hanging="503"/>
        <w:spacing w:after="0" w:line="260"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660" w:hanging="503"/>
        <w:spacing w:after="0" w:line="336"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180" w:hanging="503"/>
        <w:spacing w:after="0" w:line="260"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140" w:hanging="513"/>
        <w:spacing w:after="0" w:line="302"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900" w:hanging="503"/>
        <w:spacing w:after="0" w:line="336"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580" w:hanging="503"/>
        <w:spacing w:after="0" w:line="272"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80" w:type="dxa"/>
            <w:vAlign w:val="bottom"/>
          </w:tcPr>
          <w:p>
            <w:pPr>
              <w:spacing w:after="0"/>
              <w:rPr>
                <w:sz w:val="20"/>
                <w:szCs w:val="20"/>
                <w:color w:val="auto"/>
              </w:rPr>
            </w:pPr>
            <w:r>
              <w:rPr>
                <w:rFonts w:ascii="Arial" w:cs="Arial" w:eastAsia="Arial" w:hAnsi="Arial"/>
                <w:sz w:val="18"/>
                <w:szCs w:val="18"/>
                <w:color w:val="auto"/>
              </w:rPr>
              <w:t>Date: August 5, 2020</w:t>
            </w:r>
          </w:p>
        </w:tc>
        <w:tc>
          <w:tcPr>
            <w:tcW w:w="7160" w:type="dxa"/>
            <w:vAlign w:val="bottom"/>
            <w:gridSpan w:val="2"/>
          </w:tcPr>
          <w:p>
            <w:pPr>
              <w:ind w:left="2660"/>
              <w:spacing w:after="0"/>
              <w:rPr>
                <w:sz w:val="20"/>
                <w:szCs w:val="20"/>
                <w:color w:val="auto"/>
              </w:rPr>
            </w:pPr>
            <w:r>
              <w:rPr>
                <w:rFonts w:ascii="Arial" w:cs="Arial" w:eastAsia="Arial" w:hAnsi="Arial"/>
                <w:sz w:val="18"/>
                <w:szCs w:val="18"/>
                <w:color w:val="auto"/>
              </w:rPr>
              <w:t>By:  /s/ Brian Halligan</w:t>
            </w:r>
          </w:p>
        </w:tc>
      </w:tr>
      <w:tr>
        <w:trPr>
          <w:trHeight w:val="194"/>
        </w:trPr>
        <w:tc>
          <w:tcPr>
            <w:tcW w:w="41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1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1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340"/>
          </w:cols>
          <w:pgMar w:left="32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5" w:lineRule="exact"/>
        <w:rPr>
          <w:sz w:val="20"/>
          <w:szCs w:val="20"/>
          <w:color w:val="auto"/>
        </w:rPr>
      </w:pPr>
    </w:p>
    <w:p>
      <w:pPr>
        <w:ind w:left="520" w:hanging="513"/>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320" w:hanging="513"/>
        <w:spacing w:after="0" w:line="260"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300" w:hanging="513"/>
        <w:spacing w:after="0" w:line="302"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320" w:hanging="513"/>
        <w:spacing w:after="0" w:line="260"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80" w:hanging="503"/>
        <w:spacing w:after="0" w:line="260"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400" w:hanging="503"/>
        <w:spacing w:after="0" w:line="260"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560" w:hanging="503"/>
        <w:spacing w:after="0" w:line="336"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80" w:hanging="503"/>
        <w:spacing w:after="0" w:line="260"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40" w:hanging="513"/>
        <w:spacing w:after="0" w:line="302"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800" w:hanging="503"/>
        <w:spacing w:after="0" w:line="336"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480" w:hanging="503"/>
        <w:spacing w:after="0" w:line="272"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Arial" w:cs="Arial" w:eastAsia="Arial" w:hAnsi="Arial"/>
                <w:sz w:val="18"/>
                <w:szCs w:val="18"/>
                <w:color w:val="auto"/>
              </w:rPr>
              <w:t>Date: August 5, 2020</w:t>
            </w:r>
          </w:p>
        </w:tc>
        <w:tc>
          <w:tcPr>
            <w:tcW w:w="7120" w:type="dxa"/>
            <w:vAlign w:val="bottom"/>
            <w:gridSpan w:val="2"/>
          </w:tcPr>
          <w:p>
            <w:pPr>
              <w:ind w:left="2580"/>
              <w:spacing w:after="0"/>
              <w:rPr>
                <w:sz w:val="20"/>
                <w:szCs w:val="20"/>
                <w:color w:val="auto"/>
              </w:rPr>
            </w:pPr>
            <w:r>
              <w:rPr>
                <w:rFonts w:ascii="Arial" w:cs="Arial" w:eastAsia="Arial" w:hAnsi="Arial"/>
                <w:sz w:val="18"/>
                <w:szCs w:val="18"/>
                <w:color w:val="auto"/>
              </w:rPr>
              <w:t>By:  Kate Bueker</w:t>
            </w:r>
          </w:p>
        </w:tc>
      </w:tr>
      <w:tr>
        <w:trPr>
          <w:trHeight w:val="194"/>
        </w:trPr>
        <w:tc>
          <w:tcPr>
            <w:tcW w:w="4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80" w:firstLine="510"/>
        <w:spacing w:after="0" w:line="256"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Quarterly Report on Form 10-Q of HubSpot, Inc. for the period ended June 30, 2020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Arial" w:cs="Arial" w:eastAsia="Arial" w:hAnsi="Arial"/>
                <w:sz w:val="18"/>
                <w:szCs w:val="18"/>
                <w:color w:val="auto"/>
              </w:rPr>
              <w:t>Date: August 5, 2020</w:t>
            </w:r>
          </w:p>
        </w:tc>
        <w:tc>
          <w:tcPr>
            <w:tcW w:w="7120" w:type="dxa"/>
            <w:vAlign w:val="bottom"/>
            <w:gridSpan w:val="2"/>
          </w:tcPr>
          <w:p>
            <w:pPr>
              <w:ind w:left="2580"/>
              <w:spacing w:after="0"/>
              <w:rPr>
                <w:sz w:val="20"/>
                <w:szCs w:val="20"/>
                <w:color w:val="auto"/>
              </w:rPr>
            </w:pPr>
            <w:r>
              <w:rPr>
                <w:rFonts w:ascii="Arial" w:cs="Arial" w:eastAsia="Arial" w:hAnsi="Arial"/>
                <w:sz w:val="18"/>
                <w:szCs w:val="18"/>
                <w:color w:val="auto"/>
              </w:rPr>
              <w:t>By:  /s/ Brian Halligan</w:t>
            </w:r>
          </w:p>
        </w:tc>
      </w:tr>
      <w:tr>
        <w:trPr>
          <w:trHeight w:val="194"/>
        </w:trPr>
        <w:tc>
          <w:tcPr>
            <w:tcW w:w="4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55" w:lineRule="exact"/>
        <w:rPr>
          <w:sz w:val="20"/>
          <w:szCs w:val="20"/>
          <w:color w:val="auto"/>
        </w:rPr>
      </w:pPr>
    </w:p>
    <w:p>
      <w:pPr>
        <w:ind w:right="180" w:firstLine="510"/>
        <w:spacing w:after="0" w:line="256"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June 30, 2020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Arial" w:cs="Arial" w:eastAsia="Arial" w:hAnsi="Arial"/>
                <w:sz w:val="18"/>
                <w:szCs w:val="18"/>
                <w:color w:val="auto"/>
              </w:rPr>
              <w:t>Date: August 5, 2020</w:t>
            </w:r>
          </w:p>
        </w:tc>
        <w:tc>
          <w:tcPr>
            <w:tcW w:w="7120" w:type="dxa"/>
            <w:vAlign w:val="bottom"/>
            <w:gridSpan w:val="2"/>
          </w:tcPr>
          <w:p>
            <w:pPr>
              <w:ind w:left="2580"/>
              <w:spacing w:after="0"/>
              <w:rPr>
                <w:sz w:val="20"/>
                <w:szCs w:val="20"/>
                <w:color w:val="auto"/>
              </w:rPr>
            </w:pPr>
            <w:r>
              <w:rPr>
                <w:rFonts w:ascii="Arial" w:cs="Arial" w:eastAsia="Arial" w:hAnsi="Arial"/>
                <w:sz w:val="18"/>
                <w:szCs w:val="18"/>
                <w:color w:val="auto"/>
              </w:rPr>
              <w:t>By:  /s/ Kate Bueker</w:t>
            </w:r>
          </w:p>
        </w:tc>
      </w:tr>
      <w:tr>
        <w:trPr>
          <w:trHeight w:val="194"/>
        </w:trPr>
        <w:tc>
          <w:tcPr>
            <w:tcW w:w="4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29" w:lineRule="exact"/>
        <w:rPr>
          <w:sz w:val="20"/>
          <w:szCs w:val="20"/>
          <w:color w:val="auto"/>
        </w:rPr>
      </w:pPr>
    </w:p>
    <w:p>
      <w:pPr>
        <w:ind w:right="20" w:firstLine="510"/>
        <w:spacing w:after="0" w:line="307"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lvl>
    <w:lvl w:ilvl="1">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0" Type="http://schemas.openxmlformats.org/officeDocument/2006/relationships/image" Target="media/image88.png"/><Relationship Id="rId95" Type="http://schemas.openxmlformats.org/officeDocument/2006/relationships/hyperlink" Target="http://www.sec.gov/Archives/edgar/data/1404655/000156459016013204/hubs-ex31_768.htm" TargetMode="External"/><Relationship Id="rId96" Type="http://schemas.openxmlformats.org/officeDocument/2006/relationships/hyperlink" Target="http://www.sec.gov/Archives/edgar/data/1404655/000156459018009049/hubs-ex31_30.htm" TargetMode="External"/><Relationship Id="rId97" Type="http://schemas.openxmlformats.org/officeDocument/2006/relationships/hyperlink" Target="http://www.sec.gov/Archives/edgar/data/1404655/000119312514353746/d697256dex41.htm" TargetMode="External"/><Relationship Id="rId98" Type="http://schemas.openxmlformats.org/officeDocument/2006/relationships/hyperlink" Target="http://www.sec.gov/Archives/edgar/data/1404655/000119312520162234/d933656dex41.htm" TargetMode="External"/><Relationship Id="rId99" Type="http://schemas.openxmlformats.org/officeDocument/2006/relationships/hyperlink" Target="http://www.sec.gov/Archives/edgar/data/1404655/000119312520162234/d933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2020-08-05T16:05:42Z</dcterms:created>
  <dcterms:modified xsi:type="dcterms:W3CDTF">2020-08-05T16:05:42Z</dcterms:modified>
</cp:coreProperties>
</file>