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429260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446405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1"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82" w:lineRule="exact"/>
        <w:rPr>
          <w:sz w:val="24"/>
          <w:szCs w:val="24"/>
          <w:color w:val="auto"/>
        </w:rPr>
      </w:pPr>
    </w:p>
    <w:tbl>
      <w:tblPr>
        <w:tblLayout w:type="fixed"/>
        <w:tblInd w:w="3140" w:type="dxa"/>
        <w:tblCellMar>
          <w:top w:w="0" w:type="dxa"/>
          <w:left w:w="0" w:type="dxa"/>
          <w:bottom w:w="0" w:type="dxa"/>
          <w:right w:w="0" w:type="dxa"/>
        </w:tblCellMar>
      </w:tblPr>
      <w:tr>
        <w:trPr>
          <w:trHeight w:val="184"/>
        </w:trPr>
        <w:tc>
          <w:tcPr>
            <w:tcW w:w="306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89"/>
              </w:rPr>
              <w:t>TO</w:t>
            </w:r>
          </w:p>
        </w:tc>
      </w:tr>
      <w:tr>
        <w:trPr>
          <w:trHeight w:val="296"/>
        </w:trPr>
        <w:tc>
          <w:tcPr>
            <w:tcW w:w="41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148590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-200025</wp:posOffset>
            </wp:positionV>
            <wp:extent cx="510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476"/>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5"/>
          </w:tcPr>
          <w:p>
            <w:pPr>
              <w:jc w:val="center"/>
              <w:ind w:right="500"/>
              <w:spacing w:after="0"/>
              <w:rPr>
                <w:sz w:val="20"/>
                <w:szCs w:val="20"/>
                <w:color w:val="auto"/>
              </w:rPr>
            </w:pPr>
            <w:r>
              <w:rPr>
                <w:rFonts w:ascii="Arial" w:cs="Arial" w:eastAsia="Arial" w:hAnsi="Arial"/>
                <w:sz w:val="39"/>
                <w:szCs w:val="39"/>
                <w:b w:val="1"/>
                <w:bCs w:val="1"/>
                <w:color w:val="auto"/>
                <w:w w:val="93"/>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left="1380"/>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vMerge w:val="restart"/>
          </w:tcPr>
          <w:p>
            <w:pPr>
              <w:jc w:val="center"/>
              <w:ind w:right="1860"/>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382"/>
        </w:trPr>
        <w:tc>
          <w:tcPr>
            <w:tcW w:w="4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jc w:val="center"/>
              <w:ind w:left="1380"/>
              <w:spacing w:after="0"/>
              <w:rPr>
                <w:sz w:val="20"/>
                <w:szCs w:val="20"/>
                <w:color w:val="auto"/>
              </w:rPr>
            </w:pPr>
            <w:r>
              <w:rPr>
                <w:rFonts w:ascii="Arial" w:cs="Arial" w:eastAsia="Arial" w:hAnsi="Arial"/>
                <w:sz w:val="16"/>
                <w:szCs w:val="16"/>
                <w:b w:val="1"/>
                <w:bCs w:val="1"/>
                <w:color w:val="auto"/>
                <w:w w:val="91"/>
              </w:rPr>
              <w:t>(State or other jurisdiction of</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Pr>
          <w:p>
            <w:pPr>
              <w:jc w:val="center"/>
              <w:ind w:right="184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1"/>
              </w:rPr>
              <w:t>incorporation or organization)</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60"/>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73"/>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91"/>
              </w:rPr>
              <w:t>25 First Street</w:t>
            </w:r>
          </w:p>
        </w:tc>
        <w:tc>
          <w:tcPr>
            <w:tcW w:w="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2"/>
              </w:rPr>
              <w:t>Cambridge</w:t>
            </w:r>
            <w:r>
              <w:rPr>
                <w:rFonts w:ascii="Arial" w:cs="Arial" w:eastAsia="Arial" w:hAnsi="Arial"/>
                <w:sz w:val="17"/>
                <w:szCs w:val="17"/>
                <w:color w:val="auto"/>
                <w:w w:val="92"/>
              </w:rPr>
              <w:t>, Massachusetts</w:t>
            </w:r>
          </w:p>
        </w:tc>
        <w:tc>
          <w:tcPr>
            <w:tcW w:w="2700" w:type="dxa"/>
            <w:vAlign w:val="bottom"/>
            <w:gridSpan w:val="2"/>
          </w:tcPr>
          <w:p>
            <w:pPr>
              <w:jc w:val="right"/>
              <w:ind w:right="1920"/>
              <w:spacing w:after="0"/>
              <w:rPr>
                <w:sz w:val="20"/>
                <w:szCs w:val="20"/>
                <w:color w:val="auto"/>
              </w:rPr>
            </w:pPr>
            <w:r>
              <w:rPr>
                <w:rFonts w:ascii="Arial" w:cs="Arial" w:eastAsia="Arial" w:hAnsi="Arial"/>
                <w:sz w:val="16"/>
                <w:szCs w:val="16"/>
                <w:b w:val="1"/>
                <w:bCs w:val="1"/>
                <w:color w:val="auto"/>
              </w:rPr>
              <w:t>02141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40" w:type="dxa"/>
            <w:vAlign w:val="bottom"/>
          </w:tcPr>
          <w:p>
            <w:pPr>
              <w:spacing w:after="0"/>
              <w:rPr>
                <w:sz w:val="18"/>
                <w:szCs w:val="18"/>
                <w:color w:val="auto"/>
              </w:rPr>
            </w:pPr>
          </w:p>
        </w:tc>
        <w:tc>
          <w:tcPr>
            <w:tcW w:w="3180" w:type="dxa"/>
            <w:vAlign w:val="bottom"/>
            <w:gridSpan w:val="4"/>
          </w:tcPr>
          <w:p>
            <w:pPr>
              <w:ind w:left="60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w w:val="91"/>
              </w:rPr>
              <w:t>(888) 482-7768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80" w:type="dxa"/>
            <w:vAlign w:val="bottom"/>
            <w:gridSpan w:val="7"/>
          </w:tcPr>
          <w:p>
            <w:pPr>
              <w:jc w:val="center"/>
              <w:ind w:left="350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4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Title of each class</w:t>
            </w:r>
          </w:p>
        </w:tc>
        <w:tc>
          <w:tcPr>
            <w:tcW w:w="44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8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760" w:type="dxa"/>
            <w:vAlign w:val="bottom"/>
            <w:gridSpan w:val="4"/>
          </w:tcPr>
          <w:p>
            <w:pPr>
              <w:spacing w:after="0" w:line="173" w:lineRule="exact"/>
              <w:rPr>
                <w:sz w:val="20"/>
                <w:szCs w:val="20"/>
                <w:color w:val="auto"/>
              </w:rPr>
            </w:pPr>
            <w:r>
              <w:rPr>
                <w:rFonts w:ascii="Arial" w:cs="Arial" w:eastAsia="Arial" w:hAnsi="Arial"/>
                <w:sz w:val="15"/>
                <w:szCs w:val="15"/>
                <w:color w:val="auto"/>
                <w:w w:val="93"/>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NO</w:t>
            </w:r>
          </w:p>
        </w:tc>
        <w:tc>
          <w:tcPr>
            <w:tcW w:w="48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r>
      <w:tr>
        <w:trPr>
          <w:trHeight w:val="147"/>
        </w:trPr>
        <w:tc>
          <w:tcPr>
            <w:tcW w:w="10760" w:type="dxa"/>
            <w:vAlign w:val="bottom"/>
            <w:gridSpan w:val="4"/>
          </w:tcPr>
          <w:p>
            <w:pPr>
              <w:ind w:left="520"/>
              <w:spacing w:after="0" w:line="147" w:lineRule="exact"/>
              <w:rPr>
                <w:sz w:val="20"/>
                <w:szCs w:val="20"/>
                <w:color w:val="auto"/>
              </w:rPr>
            </w:pPr>
            <w:r>
              <w:rPr>
                <w:rFonts w:ascii="Arial" w:cs="Arial" w:eastAsia="Arial" w:hAnsi="Arial"/>
                <w:sz w:val="15"/>
                <w:szCs w:val="15"/>
                <w:color w:val="auto"/>
                <w:w w:val="93"/>
              </w:rPr>
              <w:t>Indicate by check mark whether the registrant has submitted electronically every Interactive Data file required to be submitted pursuant to Rule 405 of Regulation S-T</w:t>
            </w:r>
          </w:p>
        </w:tc>
        <w:tc>
          <w:tcPr>
            <w:tcW w:w="480" w:type="dxa"/>
            <w:vAlign w:val="bottom"/>
          </w:tcPr>
          <w:p>
            <w:pPr>
              <w:spacing w:after="0"/>
              <w:rPr>
                <w:sz w:val="12"/>
                <w:szCs w:val="12"/>
                <w:color w:val="auto"/>
              </w:rPr>
            </w:pPr>
          </w:p>
        </w:tc>
      </w:tr>
      <w:tr>
        <w:trPr>
          <w:trHeight w:val="201"/>
        </w:trPr>
        <w:tc>
          <w:tcPr>
            <w:tcW w:w="8460" w:type="dxa"/>
            <w:vAlign w:val="bottom"/>
            <w:gridSpan w:val="3"/>
          </w:tcPr>
          <w:p>
            <w:pPr>
              <w:spacing w:after="0"/>
              <w:rPr>
                <w:sz w:val="20"/>
                <w:szCs w:val="20"/>
                <w:color w:val="auto"/>
              </w:rPr>
            </w:pPr>
            <w:r>
              <w:rPr>
                <w:rFonts w:ascii="Arial" w:cs="Arial" w:eastAsia="Arial" w:hAnsi="Arial"/>
                <w:sz w:val="15"/>
                <w:szCs w:val="15"/>
                <w:color w:val="auto"/>
                <w:w w:val="92"/>
              </w:rPr>
              <w:t>(§232.405 of this chapter) during the preceding 12 months (or for such shorter period that the registrant was required to submit such files).</w:t>
            </w:r>
          </w:p>
        </w:tc>
        <w:tc>
          <w:tcPr>
            <w:tcW w:w="2300" w:type="dxa"/>
            <w:vAlign w:val="bottom"/>
          </w:tcPr>
          <w:p>
            <w:pPr>
              <w:ind w:left="100"/>
              <w:spacing w:after="0" w:line="173" w:lineRule="exact"/>
              <w:rPr>
                <w:sz w:val="20"/>
                <w:szCs w:val="20"/>
                <w:color w:val="auto"/>
              </w:rPr>
            </w:pPr>
            <w:r>
              <w:rPr>
                <w:rFonts w:ascii="Arial" w:cs="Arial" w:eastAsia="Arial" w:hAnsi="Arial"/>
                <w:sz w:val="15"/>
                <w:szCs w:val="15"/>
                <w:color w:val="auto"/>
              </w:rPr>
              <w:t>YES</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tc>
        <w:tc>
          <w:tcPr>
            <w:tcW w:w="480" w:type="dxa"/>
            <w:vAlign w:val="bottom"/>
          </w:tcPr>
          <w:p>
            <w:pPr>
              <w:spacing w:after="0"/>
              <w:rPr>
                <w:sz w:val="17"/>
                <w:szCs w:val="17"/>
                <w:color w:val="auto"/>
              </w:rPr>
            </w:pPr>
          </w:p>
        </w:tc>
      </w:tr>
      <w:tr>
        <w:trPr>
          <w:trHeight w:val="161"/>
        </w:trPr>
        <w:tc>
          <w:tcPr>
            <w:tcW w:w="10760" w:type="dxa"/>
            <w:vAlign w:val="bottom"/>
            <w:gridSpan w:val="4"/>
          </w:tcPr>
          <w:p>
            <w:pPr>
              <w:ind w:left="520"/>
              <w:spacing w:after="0" w:line="161" w:lineRule="exact"/>
              <w:rPr>
                <w:sz w:val="20"/>
                <w:szCs w:val="20"/>
                <w:color w:val="auto"/>
              </w:rPr>
            </w:pPr>
            <w:r>
              <w:rPr>
                <w:rFonts w:ascii="Arial" w:cs="Arial" w:eastAsia="Arial" w:hAnsi="Arial"/>
                <w:sz w:val="15"/>
                <w:szCs w:val="15"/>
                <w:color w:val="auto"/>
                <w:w w:val="91"/>
              </w:rPr>
              <w:t>Indicate by check mark whether the registrant is a large accelerated filer, an accelerated filer, a non-accelerated filer, smaller reporting company, or an emerging growth</w:t>
            </w:r>
          </w:p>
        </w:tc>
        <w:tc>
          <w:tcPr>
            <w:tcW w:w="480" w:type="dxa"/>
            <w:vAlign w:val="bottom"/>
          </w:tcPr>
          <w:p>
            <w:pPr>
              <w:spacing w:after="0"/>
              <w:rPr>
                <w:sz w:val="13"/>
                <w:szCs w:val="13"/>
                <w:color w:val="auto"/>
              </w:rPr>
            </w:pPr>
          </w:p>
        </w:tc>
      </w:tr>
      <w:tr>
        <w:trPr>
          <w:trHeight w:val="191"/>
        </w:trPr>
        <w:tc>
          <w:tcPr>
            <w:tcW w:w="10760" w:type="dxa"/>
            <w:vAlign w:val="bottom"/>
            <w:gridSpan w:val="4"/>
          </w:tcPr>
          <w:p>
            <w:pPr>
              <w:spacing w:after="0"/>
              <w:rPr>
                <w:sz w:val="20"/>
                <w:szCs w:val="20"/>
                <w:color w:val="auto"/>
              </w:rPr>
            </w:pPr>
            <w:r>
              <w:rPr>
                <w:rFonts w:ascii="Arial" w:cs="Arial" w:eastAsia="Arial" w:hAnsi="Arial"/>
                <w:sz w:val="15"/>
                <w:szCs w:val="15"/>
                <w:color w:val="auto"/>
                <w:w w:val="93"/>
              </w:rPr>
              <w:t>company. See the definitions of “large accelerated filer,” “accelerated filer,” “smaller reporting company,” and “emerging growth company” in Rule 12b-2 of the Exchange Act.</w:t>
            </w:r>
          </w:p>
        </w:tc>
        <w:tc>
          <w:tcPr>
            <w:tcW w:w="480" w:type="dxa"/>
            <w:vAlign w:val="bottom"/>
          </w:tcPr>
          <w:p>
            <w:pPr>
              <w:spacing w:after="0"/>
              <w:rPr>
                <w:sz w:val="16"/>
                <w:szCs w:val="16"/>
                <w:color w:val="auto"/>
              </w:rPr>
            </w:pPr>
          </w:p>
        </w:tc>
      </w:tr>
      <w:tr>
        <w:trPr>
          <w:trHeight w:val="305"/>
        </w:trPr>
        <w:tc>
          <w:tcPr>
            <w:tcW w:w="24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Non-accelerated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239"/>
        </w:trPr>
        <w:tc>
          <w:tcPr>
            <w:tcW w:w="24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11240" w:type="dxa"/>
            <w:vAlign w:val="bottom"/>
            <w:gridSpan w:val="5"/>
          </w:tcPr>
          <w:p>
            <w:pPr>
              <w:ind w:left="520"/>
              <w:spacing w:after="0"/>
              <w:rPr>
                <w:sz w:val="20"/>
                <w:szCs w:val="20"/>
                <w:color w:val="auto"/>
              </w:rPr>
            </w:pPr>
            <w:r>
              <w:rPr>
                <w:rFonts w:ascii="Arial" w:cs="Arial" w:eastAsia="Arial" w:hAnsi="Arial"/>
                <w:sz w:val="15"/>
                <w:szCs w:val="15"/>
                <w:color w:val="auto"/>
                <w:w w:val="93"/>
              </w:rPr>
              <w:t>If an emerging growth company, indicate by check mark if the registrant has elected not to use the extended transition period for complying with any new or revised financial</w:t>
            </w:r>
          </w:p>
        </w:tc>
      </w:tr>
      <w:tr>
        <w:trPr>
          <w:trHeight w:val="239"/>
        </w:trPr>
        <w:tc>
          <w:tcPr>
            <w:tcW w:w="7480" w:type="dxa"/>
            <w:vAlign w:val="bottom"/>
            <w:gridSpan w:val="2"/>
          </w:tcPr>
          <w:p>
            <w:pPr>
              <w:spacing w:after="0" w:line="173" w:lineRule="exact"/>
              <w:rPr>
                <w:sz w:val="20"/>
                <w:szCs w:val="20"/>
                <w:color w:val="auto"/>
              </w:rPr>
            </w:pPr>
            <w:r>
              <w:rPr>
                <w:rFonts w:ascii="Arial" w:cs="Arial" w:eastAsia="Arial" w:hAnsi="Arial"/>
                <w:sz w:val="15"/>
                <w:szCs w:val="15"/>
                <w:color w:val="auto"/>
              </w:rPr>
              <w:t xml:space="preserve">accounting standards provided pursuant to Section 13(a)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9"/>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2"/>
              </w:rPr>
              <w:t>Indicate by check mark whether the registrant is a shell company (as defined in Rule 12b-2 of the Exchange Act).</w:t>
            </w:r>
          </w:p>
        </w:tc>
        <w:tc>
          <w:tcPr>
            <w:tcW w:w="98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23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80" w:type="dxa"/>
            <w:vAlign w:val="bottom"/>
          </w:tcPr>
          <w:p>
            <w:pPr>
              <w:spacing w:after="0"/>
              <w:rPr>
                <w:sz w:val="24"/>
                <w:szCs w:val="24"/>
                <w:color w:val="auto"/>
              </w:rPr>
            </w:pPr>
          </w:p>
        </w:tc>
      </w:tr>
      <w:tr>
        <w:trPr>
          <w:trHeight w:val="250"/>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2"/>
              </w:rPr>
              <w:t>There were 45,887,624 shares of the registrant’s Common Stock issued and outstanding as of October 30, 2020.</w:t>
            </w:r>
          </w:p>
        </w:tc>
        <w:tc>
          <w:tcPr>
            <w:tcW w:w="9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740"/>
        </w:trPr>
        <w:tc>
          <w:tcPr>
            <w:tcW w:w="24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9660" w:type="dxa"/>
            <w:vAlign w:val="bottom"/>
          </w:tcPr>
          <w:p>
            <w:pPr>
              <w:jc w:val="center"/>
              <w:ind w:right="71"/>
              <w:spacing w:after="0"/>
              <w:rPr>
                <w:sz w:val="20"/>
                <w:szCs w:val="20"/>
                <w:color w:val="auto"/>
              </w:rPr>
            </w:pPr>
            <w:r>
              <w:rPr>
                <w:rFonts w:ascii="Arial" w:cs="Arial" w:eastAsia="Arial" w:hAnsi="Arial"/>
                <w:sz w:val="18"/>
                <w:szCs w:val="18"/>
                <w:b w:val="1"/>
                <w:bCs w:val="1"/>
                <w:color w:val="auto"/>
                <w:w w:val="96"/>
              </w:rPr>
              <w:t>HUBSPOT, INC.</w:t>
            </w:r>
          </w:p>
        </w:tc>
        <w:tc>
          <w:tcPr>
            <w:tcW w:w="700" w:type="dxa"/>
            <w:vAlign w:val="bottom"/>
          </w:tcPr>
          <w:p>
            <w:pPr>
              <w:spacing w:after="0"/>
              <w:rPr>
                <w:sz w:val="20"/>
                <w:szCs w:val="20"/>
                <w:color w:val="auto"/>
              </w:rPr>
            </w:pPr>
          </w:p>
        </w:tc>
      </w:tr>
      <w:tr>
        <w:trPr>
          <w:trHeight w:val="429"/>
        </w:trPr>
        <w:tc>
          <w:tcPr>
            <w:tcW w:w="880" w:type="dxa"/>
            <w:vAlign w:val="bottom"/>
          </w:tcPr>
          <w:p>
            <w:pPr>
              <w:spacing w:after="0"/>
              <w:rPr>
                <w:sz w:val="24"/>
                <w:szCs w:val="24"/>
                <w:color w:val="auto"/>
              </w:rPr>
            </w:pPr>
          </w:p>
        </w:tc>
        <w:tc>
          <w:tcPr>
            <w:tcW w:w="9660" w:type="dxa"/>
            <w:vAlign w:val="bottom"/>
          </w:tcPr>
          <w:p>
            <w:pPr>
              <w:jc w:val="center"/>
              <w:ind w:right="71"/>
              <w:spacing w:after="0"/>
              <w:rPr>
                <w:sz w:val="20"/>
                <w:szCs w:val="20"/>
                <w:color w:val="auto"/>
              </w:rPr>
            </w:pPr>
            <w:r>
              <w:rPr>
                <w:rFonts w:ascii="Arial" w:cs="Arial" w:eastAsia="Arial" w:hAnsi="Arial"/>
                <w:sz w:val="18"/>
                <w:szCs w:val="18"/>
                <w:b w:val="1"/>
                <w:bCs w:val="1"/>
                <w:color w:val="auto"/>
                <w:w w:val="88"/>
              </w:rPr>
              <w:t>Table of Contents</w:t>
            </w:r>
          </w:p>
        </w:tc>
        <w:tc>
          <w:tcPr>
            <w:tcW w:w="700" w:type="dxa"/>
            <w:vAlign w:val="bottom"/>
          </w:tcPr>
          <w:p>
            <w:pPr>
              <w:spacing w:after="0"/>
              <w:rPr>
                <w:sz w:val="24"/>
                <w:szCs w:val="24"/>
                <w:color w:val="auto"/>
              </w:rPr>
            </w:pPr>
          </w:p>
        </w:tc>
      </w:tr>
      <w:tr>
        <w:trPr>
          <w:trHeight w:val="429"/>
        </w:trPr>
        <w:tc>
          <w:tcPr>
            <w:tcW w:w="880" w:type="dxa"/>
            <w:vAlign w:val="bottom"/>
          </w:tcPr>
          <w:p>
            <w:pPr>
              <w:spacing w:after="0"/>
              <w:rPr>
                <w:sz w:val="24"/>
                <w:szCs w:val="24"/>
                <w:color w:val="auto"/>
              </w:rPr>
            </w:pPr>
          </w:p>
        </w:tc>
        <w:tc>
          <w:tcPr>
            <w:tcW w:w="9660" w:type="dxa"/>
            <w:vAlign w:val="bottom"/>
          </w:tcPr>
          <w:p>
            <w:pPr>
              <w:jc w:val="center"/>
              <w:ind w:right="91"/>
              <w:spacing w:after="0"/>
              <w:rPr>
                <w:rFonts w:ascii="Arial" w:cs="Arial" w:eastAsia="Arial" w:hAnsi="Arial"/>
                <w:sz w:val="18"/>
                <w:szCs w:val="18"/>
                <w:b w:val="1"/>
                <w:bCs w:val="1"/>
                <w:u w:val="single" w:color="auto"/>
                <w:color w:val="0000EE"/>
                <w:w w:val="94"/>
              </w:rPr>
            </w:pPr>
            <w:hyperlink w:anchor="page5">
              <w:r>
                <w:rPr>
                  <w:rFonts w:ascii="Arial" w:cs="Arial" w:eastAsia="Arial" w:hAnsi="Arial"/>
                  <w:sz w:val="18"/>
                  <w:szCs w:val="18"/>
                  <w:b w:val="1"/>
                  <w:bCs w:val="1"/>
                  <w:u w:val="single" w:color="auto"/>
                  <w:color w:val="0000EE"/>
                  <w:w w:val="94"/>
                </w:rPr>
                <w:t>Part I — Financial Information</w:t>
              </w:r>
            </w:hyperlink>
          </w:p>
        </w:tc>
        <w:tc>
          <w:tcPr>
            <w:tcW w:w="70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Financial Statements:</w:t>
              </w:r>
            </w:hyperlink>
          </w:p>
        </w:tc>
        <w:tc>
          <w:tcPr>
            <w:tcW w:w="700" w:type="dxa"/>
            <w:vAlign w:val="bottom"/>
          </w:tcPr>
          <w:p>
            <w:pPr>
              <w:spacing w:after="0"/>
              <w:rPr>
                <w:sz w:val="24"/>
                <w:szCs w:val="24"/>
                <w:color w:val="auto"/>
              </w:rPr>
            </w:pPr>
          </w:p>
        </w:tc>
      </w:tr>
      <w:tr>
        <w:trPr>
          <w:trHeight w:val="214"/>
        </w:trPr>
        <w:tc>
          <w:tcPr>
            <w:tcW w:w="880" w:type="dxa"/>
            <w:vAlign w:val="bottom"/>
          </w:tcPr>
          <w:p>
            <w:pPr>
              <w:spacing w:after="0"/>
              <w:rPr>
                <w:sz w:val="18"/>
                <w:szCs w:val="18"/>
                <w:color w:val="auto"/>
              </w:rPr>
            </w:pPr>
          </w:p>
        </w:tc>
        <w:tc>
          <w:tcPr>
            <w:tcW w:w="966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 as of September 30, 2020 and December 31,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880" w:type="dxa"/>
            <w:vAlign w:val="bottom"/>
          </w:tcPr>
          <w:p>
            <w:pPr>
              <w:spacing w:after="0"/>
              <w:rPr>
                <w:sz w:val="18"/>
                <w:szCs w:val="18"/>
                <w:color w:val="auto"/>
              </w:rPr>
            </w:pPr>
          </w:p>
        </w:tc>
        <w:tc>
          <w:tcPr>
            <w:tcW w:w="9660" w:type="dxa"/>
            <w:vAlign w:val="bottom"/>
          </w:tcPr>
          <w:p>
            <w:pPr>
              <w:ind w:left="10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Unaudited Consolidated Statements of Operations for the Three and Nine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880" w:type="dxa"/>
            <w:vAlign w:val="bottom"/>
          </w:tcPr>
          <w:p>
            <w:pPr>
              <w:spacing w:after="0"/>
              <w:rPr>
                <w:sz w:val="18"/>
                <w:szCs w:val="18"/>
                <w:color w:val="auto"/>
              </w:rPr>
            </w:pPr>
          </w:p>
        </w:tc>
        <w:tc>
          <w:tcPr>
            <w:tcW w:w="9660" w:type="dxa"/>
            <w:vAlign w:val="bottom"/>
          </w:tcPr>
          <w:p>
            <w:pPr>
              <w:ind w:left="100"/>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Unaudited Consolidated Statements of Comprehensive Loss for the Three and Nine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880" w:type="dxa"/>
            <w:vAlign w:val="bottom"/>
          </w:tcPr>
          <w:p>
            <w:pPr>
              <w:spacing w:after="0"/>
              <w:rPr>
                <w:sz w:val="18"/>
                <w:szCs w:val="18"/>
                <w:color w:val="auto"/>
              </w:rPr>
            </w:pPr>
          </w:p>
        </w:tc>
        <w:tc>
          <w:tcPr>
            <w:tcW w:w="9660" w:type="dxa"/>
            <w:vAlign w:val="bottom"/>
          </w:tcPr>
          <w:p>
            <w:pPr>
              <w:ind w:left="100"/>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Unaudited Consolidated Statements of Cash Flows for the Three and Nine Months Ended September 30,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880" w:type="dxa"/>
            <w:vAlign w:val="bottom"/>
          </w:tcPr>
          <w:p>
            <w:pPr>
              <w:spacing w:after="0"/>
              <w:rPr>
                <w:sz w:val="18"/>
                <w:szCs w:val="18"/>
                <w:color w:val="auto"/>
              </w:rPr>
            </w:pPr>
          </w:p>
        </w:tc>
        <w:tc>
          <w:tcPr>
            <w:tcW w:w="9660" w:type="dxa"/>
            <w:vAlign w:val="bottom"/>
          </w:tcPr>
          <w:p>
            <w:pPr>
              <w:ind w:lef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1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1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5"/>
        </w:trPr>
        <w:tc>
          <w:tcPr>
            <w:tcW w:w="880" w:type="dxa"/>
            <w:vAlign w:val="bottom"/>
          </w:tcPr>
          <w:p>
            <w:pPr>
              <w:spacing w:after="0"/>
              <w:rPr>
                <w:sz w:val="24"/>
                <w:szCs w:val="24"/>
                <w:color w:val="auto"/>
              </w:rPr>
            </w:pPr>
          </w:p>
        </w:tc>
        <w:tc>
          <w:tcPr>
            <w:tcW w:w="9660" w:type="dxa"/>
            <w:vAlign w:val="bottom"/>
          </w:tcPr>
          <w:p>
            <w:pPr>
              <w:jc w:val="center"/>
              <w:ind w:right="71"/>
              <w:spacing w:after="0"/>
              <w:rPr>
                <w:rFonts w:ascii="Arial" w:cs="Arial" w:eastAsia="Arial" w:hAnsi="Arial"/>
                <w:sz w:val="18"/>
                <w:szCs w:val="18"/>
                <w:b w:val="1"/>
                <w:bCs w:val="1"/>
                <w:u w:val="single" w:color="auto"/>
                <w:color w:val="0000EE"/>
                <w:w w:val="96"/>
              </w:rPr>
            </w:pPr>
            <w:hyperlink w:anchor="page35">
              <w:r>
                <w:rPr>
                  <w:rFonts w:ascii="Arial" w:cs="Arial" w:eastAsia="Arial" w:hAnsi="Arial"/>
                  <w:sz w:val="18"/>
                  <w:szCs w:val="18"/>
                  <w:b w:val="1"/>
                  <w:bCs w:val="1"/>
                  <w:u w:val="single" w:color="auto"/>
                  <w:color w:val="0000EE"/>
                  <w:w w:val="96"/>
                </w:rPr>
                <w:t>Part II — Other Information</w:t>
              </w:r>
            </w:hyperlink>
          </w:p>
        </w:tc>
        <w:tc>
          <w:tcPr>
            <w:tcW w:w="70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1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660" w:type="dxa"/>
            <w:vAlign w:val="bottom"/>
          </w:tcPr>
          <w:p>
            <w:pPr>
              <w:ind w:left="1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Default Upon Senior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Mine Safety Disclosures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tcPr>
          <w:p>
            <w:pPr>
              <w:ind w:left="1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880" w:type="dxa"/>
            <w:vAlign w:val="bottom"/>
          </w:tcPr>
          <w:p>
            <w:pPr>
              <w:spacing w:after="0"/>
              <w:rPr>
                <w:rFonts w:ascii="Arial" w:cs="Arial" w:eastAsia="Arial" w:hAnsi="Arial"/>
                <w:sz w:val="18"/>
                <w:szCs w:val="18"/>
                <w:u w:val="single" w:color="auto"/>
                <w:color w:val="0000EE"/>
                <w:w w:val="99"/>
              </w:rPr>
            </w:pPr>
            <w:hyperlink w:anchor="page58">
              <w:r>
                <w:rPr>
                  <w:rFonts w:ascii="Arial" w:cs="Arial" w:eastAsia="Arial" w:hAnsi="Arial"/>
                  <w:sz w:val="18"/>
                  <w:szCs w:val="18"/>
                  <w:u w:val="single" w:color="auto"/>
                  <w:color w:val="0000EE"/>
                  <w:w w:val="99"/>
                </w:rPr>
                <w:t>Signatures</w:t>
              </w:r>
            </w:hyperlink>
          </w:p>
        </w:tc>
        <w:tc>
          <w:tcPr>
            <w:tcW w:w="96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EX-31.1</w:t>
            </w:r>
          </w:p>
        </w:tc>
        <w:tc>
          <w:tcPr>
            <w:tcW w:w="9660" w:type="dxa"/>
            <w:vAlign w:val="bottom"/>
          </w:tcPr>
          <w:p>
            <w:pPr>
              <w:ind w:left="100"/>
              <w:spacing w:after="0"/>
              <w:rPr>
                <w:sz w:val="20"/>
                <w:szCs w:val="20"/>
                <w:color w:val="auto"/>
              </w:rPr>
            </w:pPr>
            <w:r>
              <w:rPr>
                <w:rFonts w:ascii="Arial" w:cs="Arial" w:eastAsia="Arial" w:hAnsi="Arial"/>
                <w:sz w:val="18"/>
                <w:szCs w:val="18"/>
                <w:color w:val="auto"/>
              </w:rPr>
              <w:t>CERTIFICATION OF THE CEO PURSUANT TO SECTION 302</w:t>
            </w:r>
          </w:p>
        </w:tc>
        <w:tc>
          <w:tcPr>
            <w:tcW w:w="70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EX-31.2</w:t>
            </w:r>
          </w:p>
        </w:tc>
        <w:tc>
          <w:tcPr>
            <w:tcW w:w="9660" w:type="dxa"/>
            <w:vAlign w:val="bottom"/>
          </w:tcPr>
          <w:p>
            <w:pPr>
              <w:ind w:left="100"/>
              <w:spacing w:after="0"/>
              <w:rPr>
                <w:sz w:val="20"/>
                <w:szCs w:val="20"/>
                <w:color w:val="auto"/>
              </w:rPr>
            </w:pPr>
            <w:r>
              <w:rPr>
                <w:rFonts w:ascii="Arial" w:cs="Arial" w:eastAsia="Arial" w:hAnsi="Arial"/>
                <w:sz w:val="18"/>
                <w:szCs w:val="18"/>
                <w:color w:val="auto"/>
              </w:rPr>
              <w:t>CERTIFICATION OF THE CFO PURSUANT TO SECTION 302</w:t>
            </w:r>
          </w:p>
        </w:tc>
        <w:tc>
          <w:tcPr>
            <w:tcW w:w="700" w:type="dxa"/>
            <w:vAlign w:val="bottom"/>
          </w:tcPr>
          <w:p>
            <w:pPr>
              <w:spacing w:after="0"/>
              <w:rPr>
                <w:sz w:val="18"/>
                <w:szCs w:val="18"/>
                <w:color w:val="auto"/>
              </w:rPr>
            </w:pP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EX-32.1</w:t>
            </w:r>
          </w:p>
        </w:tc>
        <w:tc>
          <w:tcPr>
            <w:tcW w:w="9660" w:type="dxa"/>
            <w:vAlign w:val="bottom"/>
          </w:tcPr>
          <w:p>
            <w:pPr>
              <w:ind w:left="100"/>
              <w:spacing w:after="0"/>
              <w:rPr>
                <w:sz w:val="20"/>
                <w:szCs w:val="20"/>
                <w:color w:val="auto"/>
              </w:rPr>
            </w:pPr>
            <w:r>
              <w:rPr>
                <w:rFonts w:ascii="Arial" w:cs="Arial" w:eastAsia="Arial" w:hAnsi="Arial"/>
                <w:sz w:val="18"/>
                <w:szCs w:val="18"/>
                <w:color w:val="auto"/>
              </w:rPr>
              <w:t>CERTIFICATION OF THE CEO AND CFO PURSUANT TO SECTION 906</w:t>
            </w:r>
          </w:p>
        </w:tc>
        <w:tc>
          <w:tcPr>
            <w:tcW w:w="700" w:type="dxa"/>
            <w:vAlign w:val="bottom"/>
          </w:tcPr>
          <w:p>
            <w:pPr>
              <w:spacing w:after="0"/>
              <w:rPr>
                <w:sz w:val="19"/>
                <w:szCs w:val="19"/>
                <w:color w:val="auto"/>
              </w:rPr>
            </w:pPr>
          </w:p>
        </w:tc>
      </w:tr>
      <w:tr>
        <w:trPr>
          <w:trHeight w:val="1188"/>
        </w:trPr>
        <w:tc>
          <w:tcPr>
            <w:tcW w:w="8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6"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4"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7" w:lineRule="exact"/>
        <w:rPr>
          <w:rFonts w:ascii="Arial" w:cs="Arial" w:eastAsia="Arial" w:hAnsi="Arial"/>
          <w:sz w:val="18"/>
          <w:szCs w:val="18"/>
          <w:color w:val="auto"/>
        </w:rPr>
      </w:pPr>
    </w:p>
    <w:p>
      <w:pPr>
        <w:ind w:left="1020" w:right="5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cash flow from operations and the proceeds from our convertible debt and stock offerings to fund certain growth strategies and to support our business;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4" w:lineRule="exact"/>
        <w:rPr>
          <w:rFonts w:ascii="Arial" w:cs="Arial" w:eastAsia="Arial" w:hAnsi="Arial"/>
          <w:sz w:val="18"/>
          <w:szCs w:val="18"/>
          <w:color w:val="auto"/>
        </w:rPr>
      </w:pPr>
    </w:p>
    <w:p>
      <w:pPr>
        <w:ind w:left="1020" w:right="420" w:hanging="503"/>
        <w:spacing w:after="0" w:line="30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44"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2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7" w:lineRule="exact"/>
        <w:rPr>
          <w:sz w:val="20"/>
          <w:szCs w:val="20"/>
          <w:color w:val="auto"/>
        </w:rPr>
      </w:pPr>
    </w:p>
    <w:p>
      <w:pPr>
        <w:jc w:val="both"/>
        <w:ind w:right="180" w:firstLine="510"/>
        <w:spacing w:after="0" w:line="307"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ind w:right="240" w:firstLine="510"/>
        <w:spacing w:after="0" w:line="260"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320" w:top="44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4"/>
              </w:rPr>
              <w:t>PART I — Financial Information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1"/>
              </w:rPr>
              <w:t>HubSpot,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94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1,059,615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 net of allowance for doubtful accounts of $2,525 and $1,584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at September 30, 2020 and December 31, 2019, respectively</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Deferred commission expense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40,516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1,358,814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1,109,724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65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88"/>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1,875,421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14,116</w:t>
            </w:r>
          </w:p>
        </w:tc>
        <w:tc>
          <w:tcPr>
            <w:tcW w:w="2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372,372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283,373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474,048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1,142,557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1,198,332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(467,745)</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(398,130)</w:t>
            </w:r>
          </w:p>
        </w:tc>
        <w:tc>
          <w:tcPr>
            <w:tcW w:w="0" w:type="dxa"/>
            <w:vAlign w:val="bottom"/>
          </w:tcPr>
          <w:p>
            <w:pPr>
              <w:spacing w:after="0"/>
              <w:rPr>
                <w:sz w:val="1"/>
                <w:szCs w:val="1"/>
                <w:color w:val="auto"/>
              </w:rPr>
            </w:pPr>
          </w:p>
        </w:tc>
      </w:tr>
      <w:tr>
        <w:trPr>
          <w:trHeight w:val="222"/>
        </w:trPr>
        <w:tc>
          <w:tcPr>
            <w:tcW w:w="7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732,864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1,875,421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0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221,058</w:t>
            </w:r>
          </w:p>
        </w:tc>
        <w:tc>
          <w:tcPr>
            <w:tcW w:w="24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167,078</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608,702</w:t>
            </w:r>
          </w:p>
        </w:tc>
        <w:tc>
          <w:tcPr>
            <w:tcW w:w="160" w:type="dxa"/>
            <w:vAlign w:val="bottom"/>
          </w:tcPr>
          <w:p>
            <w:pPr>
              <w:spacing w:after="0"/>
              <w:rPr>
                <w:sz w:val="19"/>
                <w:szCs w:val="19"/>
                <w:color w:val="auto"/>
              </w:rPr>
            </w:pPr>
          </w:p>
        </w:tc>
        <w:tc>
          <w:tcPr>
            <w:tcW w:w="46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467,180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228,385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cost of revenues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185,782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324,230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154,430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tcPr>
          <w:p>
            <w:pPr>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(7,062)</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(5,760)</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(16,946)</w:t>
            </w:r>
          </w:p>
        </w:tc>
        <w:tc>
          <w:tcPr>
            <w:tcW w:w="0" w:type="dxa"/>
            <w:vAlign w:val="bottom"/>
          </w:tcPr>
          <w:p>
            <w:pPr>
              <w:spacing w:after="0"/>
              <w:rPr>
                <w:sz w:val="1"/>
                <w:szCs w:val="1"/>
                <w:color w:val="auto"/>
              </w:rPr>
            </w:pPr>
          </w:p>
        </w:tc>
      </w:tr>
      <w:tr>
        <w:trPr>
          <w:trHeight w:val="228"/>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7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50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(926)</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1"/>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 net loss per share: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r>
      <w:tr>
        <w:trPr>
          <w:trHeight w:val="170"/>
        </w:trPr>
        <w:tc>
          <w:tcPr>
            <w:tcW w:w="5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7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8"/>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(43,444)</w:t>
            </w:r>
          </w:p>
        </w:tc>
        <w:tc>
          <w:tcPr>
            <w:tcW w:w="100" w:type="dxa"/>
            <w:vAlign w:val="bottom"/>
            <w:shd w:val="clear" w:color="auto" w:fill="CFF0FC"/>
          </w:tcPr>
          <w:p>
            <w:pPr>
              <w:spacing w:after="0"/>
              <w:rPr>
                <w:sz w:val="19"/>
                <w:szCs w:val="19"/>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(997)</w:t>
            </w:r>
          </w:p>
        </w:tc>
      </w:tr>
      <w:tr>
        <w:trPr>
          <w:trHeight w:val="214"/>
        </w:trPr>
        <w:tc>
          <w:tcPr>
            <w:tcW w:w="5780" w:type="dxa"/>
            <w:vAlign w:val="bottom"/>
          </w:tcPr>
          <w:p>
            <w:pPr>
              <w:ind w:left="260"/>
              <w:spacing w:after="0"/>
              <w:rPr>
                <w:sz w:val="20"/>
                <w:szCs w:val="20"/>
                <w:color w:val="auto"/>
              </w:rPr>
            </w:pPr>
            <w:r>
              <w:rPr>
                <w:rFonts w:ascii="Arial" w:cs="Arial" w:eastAsia="Arial" w:hAnsi="Arial"/>
                <w:sz w:val="18"/>
                <w:szCs w:val="18"/>
                <w:color w:val="auto"/>
                <w:w w:val="94"/>
              </w:rPr>
              <w:t>Changes in unrealized (loss) gain on investments, net of income taxes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tcPr>
          <w:p>
            <w:pPr>
              <w:ind w:left="260"/>
              <w:spacing w:after="0"/>
              <w:rPr>
                <w:sz w:val="20"/>
                <w:szCs w:val="20"/>
                <w:color w:val="auto"/>
              </w:rPr>
            </w:pPr>
            <w:r>
              <w:rPr>
                <w:rFonts w:ascii="Arial" w:cs="Arial" w:eastAsia="Arial" w:hAnsi="Arial"/>
                <w:sz w:val="18"/>
                <w:szCs w:val="18"/>
                <w:color w:val="auto"/>
                <w:w w:val="95"/>
              </w:rPr>
              <w:t>($15) thousand and ($91) thousand for the three and nine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80" w:type="dxa"/>
            <w:vAlign w:val="bottom"/>
          </w:tcPr>
          <w:p>
            <w:pPr>
              <w:ind w:left="260"/>
              <w:spacing w:after="0"/>
              <w:rPr>
                <w:sz w:val="20"/>
                <w:szCs w:val="20"/>
                <w:color w:val="auto"/>
              </w:rPr>
            </w:pPr>
            <w:r>
              <w:rPr>
                <w:rFonts w:ascii="Arial" w:cs="Arial" w:eastAsia="Arial" w:hAnsi="Arial"/>
                <w:sz w:val="18"/>
                <w:szCs w:val="18"/>
                <w:color w:val="auto"/>
                <w:w w:val="93"/>
              </w:rPr>
              <w:t>September 30, 2020, and ($12) thousand and $257 thousand for the three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780" w:type="dxa"/>
            <w:vAlign w:val="bottom"/>
          </w:tcPr>
          <w:p>
            <w:pPr>
              <w:ind w:left="260"/>
              <w:spacing w:after="0"/>
              <w:rPr>
                <w:sz w:val="20"/>
                <w:szCs w:val="20"/>
                <w:color w:val="auto"/>
              </w:rPr>
            </w:pPr>
            <w:r>
              <w:rPr>
                <w:rFonts w:ascii="Arial" w:cs="Arial" w:eastAsia="Arial" w:hAnsi="Arial"/>
                <w:sz w:val="18"/>
                <w:szCs w:val="18"/>
                <w:color w:val="auto"/>
              </w:rPr>
              <w:t>and nine months ended September 30, 2019.</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r>
      <w:tr>
        <w:trPr>
          <w:trHeight w:val="222"/>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54"/>
        </w:trPr>
        <w:tc>
          <w:tcPr>
            <w:tcW w:w="75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00"/>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00"/>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(69,615)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(43,444)</w:t>
            </w:r>
          </w:p>
        </w:tc>
        <w:tc>
          <w:tcPr>
            <w:tcW w:w="0" w:type="dxa"/>
            <w:vAlign w:val="bottom"/>
          </w:tcPr>
          <w:p>
            <w:pPr>
              <w:spacing w:after="0"/>
              <w:rPr>
                <w:sz w:val="1"/>
                <w:szCs w:val="1"/>
                <w:color w:val="auto"/>
              </w:rPr>
            </w:pPr>
          </w:p>
        </w:tc>
      </w:tr>
      <w:tr>
        <w:trPr>
          <w:trHeight w:val="20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and cash equivalents provided</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by operating activities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500"/>
              <w:spacing w:after="0"/>
              <w:rPr>
                <w:sz w:val="20"/>
                <w:szCs w:val="20"/>
                <w:color w:val="auto"/>
              </w:rPr>
            </w:pPr>
            <w:r>
              <w:rPr>
                <w:rFonts w:ascii="Arial" w:cs="Arial" w:eastAsia="Arial" w:hAnsi="Arial"/>
                <w:sz w:val="16"/>
                <w:szCs w:val="16"/>
                <w:color w:val="auto"/>
              </w:rPr>
              <w:t>Loss on early extinguishment of 2022 Convertible Notes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of 2022 Convertible Notes attributable to the debt discount</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(48,675)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tcPr>
          <w:p>
            <w:pPr>
              <w:ind w:left="500"/>
              <w:spacing w:after="0"/>
              <w:rPr>
                <w:sz w:val="20"/>
                <w:szCs w:val="20"/>
                <w:color w:val="auto"/>
              </w:rPr>
            </w:pPr>
            <w:r>
              <w:rPr>
                <w:rFonts w:ascii="Arial" w:cs="Arial" w:eastAsia="Arial" w:hAnsi="Arial"/>
                <w:sz w:val="16"/>
                <w:szCs w:val="16"/>
                <w:color w:val="auto"/>
              </w:rPr>
              <w:t>(Benefit) provision for deferred income taxes</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500"/>
              <w:spacing w:after="0"/>
              <w:rPr>
                <w:sz w:val="20"/>
                <w:szCs w:val="20"/>
                <w:color w:val="auto"/>
              </w:rPr>
            </w:pPr>
            <w:r>
              <w:rPr>
                <w:rFonts w:ascii="Arial" w:cs="Arial" w:eastAsia="Arial" w:hAnsi="Arial"/>
                <w:sz w:val="16"/>
                <w:szCs w:val="16"/>
                <w:color w:val="auto"/>
              </w:rPr>
              <w:t>Accretion of bond discount</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currency translation</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2"/>
        </w:trPr>
        <w:tc>
          <w:tcPr>
            <w:tcW w:w="7540" w:type="dxa"/>
            <w:vAlign w:val="bottom"/>
          </w:tcPr>
          <w:p>
            <w:pPr>
              <w:ind w:left="50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2"/>
        </w:trPr>
        <w:tc>
          <w:tcPr>
            <w:tcW w:w="754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(22,596)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commission expense</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(11,351)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(5,551)</w:t>
            </w:r>
          </w:p>
        </w:tc>
        <w:tc>
          <w:tcPr>
            <w:tcW w:w="0" w:type="dxa"/>
            <w:vAlign w:val="bottom"/>
          </w:tcPr>
          <w:p>
            <w:pPr>
              <w:spacing w:after="0"/>
              <w:rPr>
                <w:sz w:val="1"/>
                <w:szCs w:val="1"/>
                <w:color w:val="auto"/>
              </w:rPr>
            </w:pPr>
          </w:p>
        </w:tc>
      </w:tr>
      <w:tr>
        <w:trPr>
          <w:trHeight w:val="212"/>
        </w:trPr>
        <w:tc>
          <w:tcPr>
            <w:tcW w:w="7540" w:type="dxa"/>
            <w:vAlign w:val="bottom"/>
          </w:tcPr>
          <w:p>
            <w:pPr>
              <w:ind w:left="74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(21,516)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(14,788)</w:t>
            </w:r>
          </w:p>
        </w:tc>
        <w:tc>
          <w:tcPr>
            <w:tcW w:w="0" w:type="dxa"/>
            <w:vAlign w:val="bottom"/>
          </w:tcPr>
          <w:p>
            <w:pPr>
              <w:spacing w:after="0"/>
              <w:rPr>
                <w:sz w:val="1"/>
                <w:szCs w:val="1"/>
                <w:color w:val="auto"/>
              </w:rPr>
            </w:pPr>
          </w:p>
        </w:tc>
      </w:tr>
      <w:tr>
        <w:trPr>
          <w:trHeight w:val="212"/>
        </w:trPr>
        <w:tc>
          <w:tcPr>
            <w:tcW w:w="75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4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Net cash and cash equivalents provided by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(1,377,442)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(967,994)</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1,013,270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investments</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(27,753)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(21,197)</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Capitalization of software development costs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(15,644)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(9,139)</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Purchases of strategic investments</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FF0FC"/>
          </w:tcPr>
          <w:p>
            <w:pPr>
              <w:ind w:left="980"/>
              <w:spacing w:after="0"/>
              <w:rPr>
                <w:sz w:val="20"/>
                <w:szCs w:val="20"/>
                <w:color w:val="auto"/>
              </w:rPr>
            </w:pPr>
            <w:r>
              <w:rPr>
                <w:rFonts w:ascii="Arial" w:cs="Arial" w:eastAsia="Arial" w:hAnsi="Arial"/>
                <w:sz w:val="16"/>
                <w:szCs w:val="16"/>
                <w:color w:val="auto"/>
              </w:rPr>
              <w:t>Net cash and cash equivalents used in investing activities</w:t>
            </w: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(398,637)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(309,269)</w:t>
            </w:r>
          </w:p>
        </w:tc>
        <w:tc>
          <w:tcPr>
            <w:tcW w:w="0" w:type="dxa"/>
            <w:vAlign w:val="bottom"/>
          </w:tcPr>
          <w:p>
            <w:pPr>
              <w:spacing w:after="0"/>
              <w:rPr>
                <w:sz w:val="1"/>
                <w:szCs w:val="1"/>
                <w:color w:val="auto"/>
              </w:rPr>
            </w:pPr>
          </w:p>
        </w:tc>
      </w:tr>
      <w:tr>
        <w:trPr>
          <w:trHeight w:val="205"/>
        </w:trPr>
        <w:tc>
          <w:tcPr>
            <w:tcW w:w="75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2025 Convertible Notes, net of issuance costs paid of $9.9 million</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Proceeds from settlement of Convertible Note Hedges related to the 2022 Convertible Notes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settlement of Warrants related to the 2022 Convertible Notes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(327,543)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Repayment of 2022 Convertible Notes attributable to the principal</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(234,366)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Capped Call Options related to the 2025 Convertible Notes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(50,600)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Proceeds from common stock offering, net of offering costs paid of $365</w:t>
            </w: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(4,637)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(4,767)</w:t>
            </w:r>
          </w:p>
        </w:tc>
        <w:tc>
          <w:tcPr>
            <w:tcW w:w="0" w:type="dxa"/>
            <w:vAlign w:val="bottom"/>
          </w:tcPr>
          <w:p>
            <w:pPr>
              <w:spacing w:after="0"/>
              <w:rPr>
                <w:sz w:val="1"/>
                <w:szCs w:val="1"/>
                <w:color w:val="auto"/>
              </w:rPr>
            </w:pPr>
          </w:p>
        </w:tc>
      </w:tr>
      <w:tr>
        <w:trPr>
          <w:trHeight w:val="212"/>
        </w:trPr>
        <w:tc>
          <w:tcPr>
            <w:tcW w:w="7540" w:type="dxa"/>
            <w:vAlign w:val="bottom"/>
          </w:tcPr>
          <w:p>
            <w:pPr>
              <w:ind w:left="26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finance lease obligations</w:t>
            </w:r>
          </w:p>
        </w:tc>
        <w:tc>
          <w:tcPr>
            <w:tcW w:w="2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5"/>
        </w:trPr>
        <w:tc>
          <w:tcPr>
            <w:tcW w:w="7540" w:type="dxa"/>
            <w:vAlign w:val="bottom"/>
            <w:tcBorders>
              <w:bottom w:val="single" w:sz="8" w:color="CFF0FC"/>
            </w:tcBorders>
          </w:tcPr>
          <w:p>
            <w:pPr>
              <w:ind w:left="980"/>
              <w:spacing w:after="0"/>
              <w:rPr>
                <w:sz w:val="20"/>
                <w:szCs w:val="20"/>
                <w:color w:val="auto"/>
              </w:rPr>
            </w:pPr>
            <w:r>
              <w:rPr>
                <w:rFonts w:ascii="Arial" w:cs="Arial" w:eastAsia="Arial" w:hAnsi="Arial"/>
                <w:sz w:val="16"/>
                <w:szCs w:val="16"/>
                <w:color w:val="auto"/>
              </w:rPr>
              <w:t>Net cash and cash equivalents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217,697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356,538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(150,591)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278,515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127,924</w:t>
            </w:r>
          </w:p>
        </w:tc>
        <w:tc>
          <w:tcPr>
            <w:tcW w:w="18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233,294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2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508</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2,849</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65,013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540" w:type="dxa"/>
            <w:vAlign w:val="bottom"/>
          </w:tcPr>
          <w:p>
            <w:pPr>
              <w:spacing w:after="0"/>
              <w:rPr>
                <w:sz w:val="20"/>
                <w:szCs w:val="20"/>
                <w:color w:val="auto"/>
              </w:rPr>
            </w:pPr>
            <w:r>
              <w:rPr>
                <w:rFonts w:ascii="Arial" w:cs="Arial" w:eastAsia="Arial" w:hAnsi="Arial"/>
                <w:sz w:val="16"/>
                <w:szCs w:val="16"/>
                <w:color w:val="auto"/>
              </w:rPr>
              <w:t>Capital expenditures incurred but not yet paid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1,270</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Asset retirement obligations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6"/>
                <w:szCs w:val="16"/>
                <w:color w:val="auto"/>
              </w:rPr>
              <w:t>Issuance of common stock for repayment of 2022 Convertible Notes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330,497</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6" w:lineRule="exact"/>
        <w:rPr>
          <w:sz w:val="20"/>
          <w:szCs w:val="20"/>
          <w:color w:val="auto"/>
        </w:rPr>
      </w:pPr>
    </w:p>
    <w:p>
      <w:pPr>
        <w:ind w:right="60" w:firstLine="510"/>
        <w:spacing w:after="0" w:line="282" w:lineRule="auto"/>
        <w:rPr>
          <w:sz w:val="20"/>
          <w:szCs w:val="20"/>
          <w:color w:val="auto"/>
        </w:rPr>
      </w:pPr>
      <w:r>
        <w:rPr>
          <w:rFonts w:ascii="Arial" w:cs="Arial" w:eastAsia="Arial" w:hAnsi="Arial"/>
          <w:sz w:val="17"/>
          <w:szCs w:val="17"/>
          <w:color w:val="auto"/>
        </w:rPr>
        <w:t>HubSpot, Inc. (the “Company”) provides software and support through its cloud-based customer relationship management, or CRM, platform to help businesses to grow better. The Company’s CRM platform includes marketing, sales, service, and website management products and features tools and integrations that enable businesses to attract, engage, and delight customers throughout the customer lifecycle.</w:t>
      </w:r>
    </w:p>
    <w:p>
      <w:pPr>
        <w:spacing w:after="0" w:line="169"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2019,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7"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2020.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9"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12, 2020.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9" w:lineRule="exact"/>
        <w:rPr>
          <w:sz w:val="20"/>
          <w:szCs w:val="20"/>
          <w:color w:val="auto"/>
        </w:rPr>
      </w:pPr>
    </w:p>
    <w:p>
      <w:pPr>
        <w:ind w:right="80" w:firstLine="520"/>
        <w:spacing w:after="0" w:line="298" w:lineRule="auto"/>
        <w:rPr>
          <w:sz w:val="20"/>
          <w:szCs w:val="20"/>
          <w:color w:val="auto"/>
        </w:rPr>
      </w:pPr>
      <w:r>
        <w:rPr>
          <w:rFonts w:ascii="Arial" w:cs="Arial" w:eastAsia="Arial" w:hAnsi="Arial"/>
          <w:sz w:val="16"/>
          <w:szCs w:val="16"/>
          <w:color w:val="auto"/>
        </w:rPr>
        <w:t>In March 2020, the World Health Organization, or WHO, declared the outbreak of a disease caused by a novel strain of the coronavirus (COVID-19) to be a global pandemic, or pandemic. The Company has assessed the impact of the pandemic, and while the broader implications of the pandemic on the results of operations and overall financial performance remain uncertain, the Company assessed the potential impact on the September 30, 2020 financial statements and determined there were no material adjustments necessary with respect to these consolidated financial statements.</w:t>
      </w:r>
    </w:p>
    <w:p>
      <w:pPr>
        <w:spacing w:after="0" w:line="159" w:lineRule="exact"/>
        <w:rPr>
          <w:sz w:val="20"/>
          <w:szCs w:val="20"/>
          <w:color w:val="auto"/>
        </w:rPr>
      </w:pPr>
    </w:p>
    <w:p>
      <w:pPr>
        <w:ind w:right="160" w:firstLine="520"/>
        <w:spacing w:after="0" w:line="293" w:lineRule="auto"/>
        <w:rPr>
          <w:sz w:val="20"/>
          <w:szCs w:val="20"/>
          <w:color w:val="auto"/>
        </w:rPr>
      </w:pPr>
      <w:r>
        <w:rPr>
          <w:rFonts w:ascii="Arial" w:cs="Arial" w:eastAsia="Arial" w:hAnsi="Arial"/>
          <w:sz w:val="16"/>
          <w:szCs w:val="16"/>
          <w:color w:val="auto"/>
        </w:rPr>
        <w:t>Given that the economic consequences of the pandemic have been exceptionally challenging for many customers, in March 2020, the Company implemented certain changes to pricing and packaging, including reducing prices on certain products and offering certain product functionality free of charge for a limited time. The Company also paid certain Solutions Partners six months of commissions in advance of them being earned. While revenue, customer retention, and earnings are relatively predictable under a subscription-based business model, the potential effect of the pandemic will not be fully reflected in the results of operations and overall financial performance of the Company until future periods given the current macro-economic uncertainty.</w:t>
      </w:r>
    </w:p>
    <w:p>
      <w:pPr>
        <w:spacing w:after="0" w:line="164" w:lineRule="exact"/>
        <w:rPr>
          <w:sz w:val="20"/>
          <w:szCs w:val="20"/>
          <w:color w:val="auto"/>
        </w:rPr>
      </w:pPr>
    </w:p>
    <w:p>
      <w:pPr>
        <w:ind w:firstLine="520"/>
        <w:spacing w:after="0" w:line="254" w:lineRule="auto"/>
        <w:rPr>
          <w:sz w:val="20"/>
          <w:szCs w:val="20"/>
          <w:color w:val="auto"/>
        </w:rPr>
      </w:pPr>
      <w:r>
        <w:rPr>
          <w:rFonts w:ascii="Arial" w:cs="Arial" w:eastAsia="Arial" w:hAnsi="Arial"/>
          <w:sz w:val="18"/>
          <w:szCs w:val="18"/>
          <w:color w:val="auto"/>
        </w:rPr>
        <w:t>In March 2020, the Coronavirus Aid, Relief, and Economic Security (“CARES”) Act was signed into law by the United States. The CARES Act provides a substantial stimulus and assistance package intended to address the impact of the COVID-19 pandemic, including tax relief and government loans, grants, and investments. In June 2020, the Jobs Support Scheme (“JSS”) was announced by the Singapore government to provide support to employers and help enterprises retain their local employees during the pandemic. The CARES Act and the JSS did not have a material impact with respect to these consolidated financial statements.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440" w:firstLine="510"/>
        <w:spacing w:after="0" w:line="272"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 w:name="page10"/>
    <w:bookmarkEnd w:id="9"/>
    <w:p>
      <w:pPr>
        <w:ind w:right="40" w:firstLine="510"/>
        <w:spacing w:after="0" w:line="291" w:lineRule="auto"/>
        <w:rPr>
          <w:sz w:val="20"/>
          <w:szCs w:val="20"/>
          <w:color w:val="auto"/>
        </w:rPr>
      </w:pPr>
      <w:r>
        <w:rPr>
          <w:rFonts w:ascii="Arial" w:cs="Arial" w:eastAsia="Arial" w:hAnsi="Arial"/>
          <w:sz w:val="16"/>
          <w:szCs w:val="16"/>
          <w:color w:val="auto"/>
        </w:rPr>
        <w:t>In January 2017, the Financial Accounting Standards Board (“FASB”) issued guidance simplifying the accounting for goodwill impairment by removing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the new guidance, goodwill impairment is recognized based on Step 1 of the current guidance, which calculates the carrying value in excess of the reporting unit’s fair value. The guidance was adopted effective January 1, 2020 and did not have a material impact on the consolidated financial statements.</w:t>
      </w:r>
    </w:p>
    <w:p>
      <w:pPr>
        <w:spacing w:after="0" w:line="56"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In June 2016, the FASB issued guidance that introduces a new methodology for accounting for credit losses on financial instruments. The guidance establishes a new forward-looking "expected loss model" that requires entities to estimate current expected credit losses on accounts receivable and financial instruments by using all practical and relevant information. The guidance was adopted effective January 1, 2020 and did not have a material impact on the consolidated financial statements.</w:t>
      </w:r>
    </w:p>
    <w:p>
      <w:pPr>
        <w:spacing w:after="0" w:line="8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December 2019, the FASB issued guidance simplifying the accounting for incomes taxes by removing (i) the exception to the incremental approach for intraperiod tax allocation when there is a loss from continuing operations and income or a gain from other items, (ii) the exception to recognize a deferred tax liability for equity method investments when a foreign subsidiary becomes an equity method investment, and (iii) the exception to the general methodology for calculating income taxes in an interim period when a year-to-date loss exceeds the anticipated loss for the year. The guidance also improves consistent application of and simplifies GAAP for other areas of Topic 740, Income Taxes. The guidance was adopted effective January 1, 2020, using a prospective approach and did not have a material impact on the consolidated financial statements.</w:t>
      </w:r>
    </w:p>
    <w:p>
      <w:pPr>
        <w:spacing w:after="0" w:line="7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new standard is effective beginning in January 2022, with early adoption permitted. The Company is currently evaluating the impact of adoption of the standard on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ind w:right="200" w:firstLine="510"/>
        <w:spacing w:after="0" w:line="260" w:lineRule="auto"/>
        <w:rPr>
          <w:sz w:val="20"/>
          <w:szCs w:val="20"/>
          <w:color w:val="auto"/>
        </w:rPr>
      </w:pPr>
      <w:r>
        <w:rPr>
          <w:rFonts w:ascii="Arial" w:cs="Arial" w:eastAsia="Arial" w:hAnsi="Arial"/>
          <w:sz w:val="18"/>
          <w:szCs w:val="18"/>
          <w:color w:val="auto"/>
        </w:rPr>
        <w:t>The Company provides disaggregation of revenue based on geographic region (Note 14)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15"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 Deferred revenue during the nine months ended September 30, 2020 increased by $25.0 million resulting from $656.0 million of additional invoicing and was offset by revenue recognized of $631.0 million during the same period. $135.2 million of revenue was recognized during the three month period ended September 30, 2020 that was included in deferred revenue at the beginning of the period. $215.5 million of revenue was recognized during the nine month period ended September 30, 2020 that was included in deferred revenue at the beginning of the period. As of September 30, 2020, approximately $214.3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194"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Additional contract liabilities of $1.5 million and $1.4 million were included in accrued expenses and other current liabilities on the consolidated balance sheet as of September 30, 2020 and December 31, 2019.</w:t>
      </w:r>
    </w:p>
    <w:p>
      <w:pPr>
        <w:spacing w:after="0" w:line="17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0" w:name="page11"/>
    <w:bookmarkEnd w:id="10"/>
    <w:p>
      <w:pPr>
        <w:ind w:firstLine="510"/>
        <w:spacing w:after="0" w:line="256" w:lineRule="auto"/>
        <w:rPr>
          <w:sz w:val="20"/>
          <w:szCs w:val="20"/>
          <w:color w:val="auto"/>
        </w:rPr>
      </w:pPr>
      <w:r>
        <w:rPr>
          <w:rFonts w:ascii="Arial" w:cs="Arial" w:eastAsia="Arial" w:hAnsi="Arial"/>
          <w:sz w:val="18"/>
          <w:szCs w:val="18"/>
          <w:color w:val="auto"/>
        </w:rPr>
        <w:t>Deferred commission expense during the three months ended September 30, 2020 increased by $6.4 million as a result of deferring incremental costs of obtaining a contract of $17.5 million and was offset by amortization of $11.1 million during the same period. Deferred commission expense during the nine months ended September 30, 2020 increased by $12.2 million as a result of deferring incremental costs of obtaining a contract of $44.1 million and was offset by amortization of $31.9 million during the same period.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Accounts receivable are carried at the original invoiced amount less an allowance 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pandemic has added uncertainty to the collectability of certain receivables, particularly in industries hard hit by the pandemic. As a result, the Company recorded an incremental reserve associated with the pandemic during the nine months ended September 30, 2020.</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allowance for doubtful accounts:</w:t>
      </w:r>
    </w:p>
    <w:p>
      <w:pPr>
        <w:spacing w:after="0" w:line="80"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Provision</w:t>
            </w:r>
          </w:p>
        </w:tc>
        <w:tc>
          <w:tcPr>
            <w:tcW w:w="1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80" w:type="dxa"/>
            <w:vAlign w:val="bottom"/>
            <w:shd w:val="clear" w:color="auto" w:fill="CFF0FC"/>
          </w:tcPr>
          <w:p>
            <w:pPr>
              <w:spacing w:after="0"/>
              <w:rPr>
                <w:sz w:val="19"/>
                <w:szCs w:val="19"/>
                <w:color w:val="auto"/>
              </w:rPr>
            </w:pPr>
          </w:p>
        </w:tc>
      </w:tr>
      <w:tr>
        <w:trPr>
          <w:trHeight w:val="228"/>
        </w:trPr>
        <w:tc>
          <w:tcPr>
            <w:tcW w:w="392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(6,264)</w:t>
            </w:r>
          </w:p>
        </w:tc>
      </w:tr>
      <w:tr>
        <w:trPr>
          <w:trHeight w:val="221"/>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19" w:lineRule="exact"/>
        <w:rPr>
          <w:sz w:val="20"/>
          <w:szCs w:val="20"/>
          <w:color w:val="auto"/>
        </w:rPr>
      </w:pPr>
    </w:p>
    <w:p>
      <w:pPr>
        <w:ind w:right="340" w:firstLine="510"/>
        <w:spacing w:after="0" w:line="276" w:lineRule="auto"/>
        <w:rPr>
          <w:sz w:val="20"/>
          <w:szCs w:val="20"/>
          <w:color w:val="auto"/>
        </w:rPr>
      </w:pPr>
      <w:r>
        <w:rPr>
          <w:rFonts w:ascii="Arial" w:cs="Arial" w:eastAsia="Arial" w:hAnsi="Arial"/>
          <w:sz w:val="17"/>
          <w:szCs w:val="17"/>
          <w:color w:val="auto"/>
        </w:rPr>
        <w:t>During the nine months ended September 30, 2020, the lease term began or was extended for various leases of office spaces globally. All leases, ranging from approximately 1 year to approximately 10 years, exclusive of renewal options, were determined to be operating leases with total estimated aggregate base rent payments of approximately $76.8 million. The Company recorded $65.3 million of right-of-use assets and $65.1 million of lease liabilities for these leases during the period upon the lease commencement or extensions.</w:t>
      </w:r>
    </w:p>
    <w:p>
      <w:pPr>
        <w:spacing w:after="0" w:line="173"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September 30, 2020 is 5.2%.</w:t>
      </w:r>
    </w:p>
    <w:p>
      <w:pPr>
        <w:spacing w:after="0" w:line="173" w:lineRule="exact"/>
        <w:rPr>
          <w:sz w:val="20"/>
          <w:szCs w:val="20"/>
          <w:color w:val="auto"/>
        </w:rPr>
      </w:pPr>
    </w:p>
    <w:p>
      <w:pPr>
        <w:ind w:right="320" w:firstLine="510"/>
        <w:spacing w:after="0" w:line="288" w:lineRule="auto"/>
        <w:rPr>
          <w:sz w:val="20"/>
          <w:szCs w:val="20"/>
          <w:color w:val="auto"/>
        </w:rPr>
      </w:pPr>
      <w:r>
        <w:rPr>
          <w:rFonts w:ascii="Arial" w:cs="Arial" w:eastAsia="Arial" w:hAnsi="Arial"/>
          <w:sz w:val="16"/>
          <w:szCs w:val="16"/>
          <w:color w:val="auto"/>
        </w:rPr>
        <w:t>Operating lease costs were $11.9 million for the three months ended September 30, 2020, $32.6 million for the nine months ended September 30, 2020, $9.6 million for the three months ended September 30, 2019, and $25.1 million for the nine months ended September 30, 2019.</w:t>
      </w:r>
    </w:p>
    <w:p>
      <w:pPr>
        <w:ind w:right="360" w:firstLine="510"/>
        <w:spacing w:after="0" w:line="335" w:lineRule="auto"/>
        <w:rPr>
          <w:sz w:val="20"/>
          <w:szCs w:val="20"/>
          <w:color w:val="auto"/>
        </w:rPr>
      </w:pPr>
      <w:r>
        <w:rPr>
          <w:rFonts w:ascii="Arial" w:cs="Arial" w:eastAsia="Arial" w:hAnsi="Arial"/>
          <w:sz w:val="16"/>
          <w:szCs w:val="16"/>
          <w:color w:val="auto"/>
        </w:rPr>
        <w:t>The Company leases its office facilities under non-cancelable operating leases. Unused spaces are generally subleased to third parties. Operating sublease income generated under all operating lease agreements for the three and nine months ended September 30, 2020 and 2019 are as follows:</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4"/>
                <w:szCs w:val="14"/>
                <w:color w:val="auto"/>
              </w:rPr>
            </w:pPr>
          </w:p>
        </w:tc>
        <w:tc>
          <w:tcPr>
            <w:tcW w:w="2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21"/>
        </w:trPr>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9"/>
                <w:szCs w:val="19"/>
                <w:color w:val="auto"/>
              </w:rPr>
            </w:pPr>
          </w:p>
        </w:tc>
      </w:tr>
      <w:tr>
        <w:trPr>
          <w:trHeight w:val="221"/>
        </w:trPr>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left="363"/>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1,112</w:t>
            </w:r>
          </w:p>
        </w:tc>
        <w:tc>
          <w:tcPr>
            <w:tcW w:w="4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0"/>
                <w:szCs w:val="20"/>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3,840</w:t>
            </w:r>
          </w:p>
        </w:tc>
        <w:tc>
          <w:tcPr>
            <w:tcW w:w="4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FF0FC"/>
          </w:tcPr>
          <w:p>
            <w:pPr>
              <w:spacing w:after="0"/>
              <w:rPr>
                <w:sz w:val="20"/>
                <w:szCs w:val="20"/>
                <w:color w:val="auto"/>
              </w:rPr>
            </w:pPr>
          </w:p>
        </w:tc>
      </w:tr>
    </w:tbl>
    <w:p>
      <w:pPr>
        <w:spacing w:after="0" w:line="227" w:lineRule="exact"/>
        <w:rPr>
          <w:sz w:val="20"/>
          <w:szCs w:val="20"/>
          <w:color w:val="auto"/>
        </w:rPr>
      </w:pPr>
    </w:p>
    <w:p>
      <w:pPr>
        <w:ind w:right="140" w:firstLine="749"/>
        <w:spacing w:after="0" w:line="260" w:lineRule="auto"/>
        <w:rPr>
          <w:sz w:val="20"/>
          <w:szCs w:val="20"/>
          <w:color w:val="auto"/>
        </w:rPr>
      </w:pPr>
      <w:r>
        <w:rPr>
          <w:rFonts w:ascii="Arial" w:cs="Arial" w:eastAsia="Arial" w:hAnsi="Arial"/>
          <w:sz w:val="18"/>
          <w:szCs w:val="18"/>
          <w:color w:val="auto"/>
        </w:rPr>
        <w:t>Cash payments related to our operating lease liabilities were $11.6 million for the three months ended September 30, 2020, $31.4 million for the nine months ended September 30, 2020, $8.3 million for the three months ended September 30, 2019 and $23.0 million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Net Loss per Share</w:t>
      </w:r>
    </w:p>
    <w:p>
      <w:pPr>
        <w:spacing w:after="0" w:line="226"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below), the Conversion Option of the 2022 Notes, and the Conversion Option of the 2025 Notes (the “Conversion Options”) (Note 9) are considered to be potential common stock equivalents.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tbl>
      <w:tblPr>
        <w:tblLayout w:type="fixed"/>
        <w:tblInd w:w="1140" w:type="dxa"/>
        <w:tblCellMar>
          <w:top w:w="0" w:type="dxa"/>
          <w:left w:w="0" w:type="dxa"/>
          <w:bottom w:w="0" w:type="dxa"/>
          <w:right w:w="0" w:type="dxa"/>
        </w:tblCellMar>
      </w:tblPr>
      <w:tr>
        <w:trPr>
          <w:trHeight w:val="160"/>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Pr>
          <w:p>
            <w:pPr>
              <w:spacing w:after="0"/>
              <w:rPr>
                <w:sz w:val="13"/>
                <w:szCs w:val="13"/>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7"/>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74"/>
              <w:spacing w:after="0" w:line="154"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(22,498)</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(14,987)</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(69,615)</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2"/>
              </w:rPr>
              <w:t>(43,444)</w:t>
            </w:r>
          </w:p>
        </w:tc>
        <w:tc>
          <w:tcPr>
            <w:tcW w:w="0" w:type="dxa"/>
            <w:vAlign w:val="bottom"/>
          </w:tcPr>
          <w:p>
            <w:pPr>
              <w:spacing w:after="0"/>
              <w:rPr>
                <w:sz w:val="1"/>
                <w:szCs w:val="1"/>
                <w:color w:val="auto"/>
              </w:rPr>
            </w:pPr>
          </w:p>
        </w:tc>
      </w:tr>
      <w:tr>
        <w:trPr>
          <w:trHeight w:val="194"/>
        </w:trPr>
        <w:tc>
          <w:tcPr>
            <w:tcW w:w="4080" w:type="dxa"/>
            <w:vAlign w:val="bottom"/>
            <w:tcBorders>
              <w:top w:val="single" w:sz="8" w:color="CFF0FC"/>
            </w:tcBorders>
          </w:tcPr>
          <w:p>
            <w:pPr>
              <w:spacing w:after="0" w:line="194" w:lineRule="exact"/>
              <w:rPr>
                <w:sz w:val="20"/>
                <w:szCs w:val="20"/>
                <w:color w:val="auto"/>
              </w:rPr>
            </w:pPr>
            <w:r>
              <w:rPr>
                <w:rFonts w:ascii="Arial" w:cs="Arial" w:eastAsia="Arial" w:hAnsi="Arial"/>
                <w:sz w:val="18"/>
                <w:szCs w:val="18"/>
                <w:color w:val="auto"/>
              </w:rPr>
              <w:t>Weighted-average common shares</w:t>
            </w: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41,749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3"/>
              </w:rPr>
              <w:t>Dilutive effect of share equivalents resulting from stock</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4"/>
              </w:rPr>
              <w:t>options, RSUs, ESPP, Warrants and the Conversion</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outstanding — diluted</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41,749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510"/>
        <w:spacing w:after="0" w:line="260"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8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expects to settle the principal amount of the 2022 Notes and the 2025 Notes (the “Notes”)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 of the Company’s common stock for a given period of time exceeds the initial conversion price of $94.77 per share for the 2022 Notes and $282.52 for the 2025 Notes. The average stock price for the three month period ended September 30, 2020 was $262.12 and for the nine month period ended September 30, 2020 was $203.21.</w:t>
      </w:r>
    </w:p>
    <w:p>
      <w:pPr>
        <w:spacing w:after="0" w:line="182" w:lineRule="exact"/>
        <w:rPr>
          <w:sz w:val="20"/>
          <w:szCs w:val="20"/>
          <w:color w:val="auto"/>
        </w:rPr>
      </w:pPr>
    </w:p>
    <w:p>
      <w:pPr>
        <w:ind w:right="220" w:firstLine="510"/>
        <w:spacing w:after="0" w:line="276" w:lineRule="auto"/>
        <w:rPr>
          <w:sz w:val="20"/>
          <w:szCs w:val="20"/>
          <w:color w:val="auto"/>
        </w:rPr>
      </w:pPr>
      <w:r>
        <w:rPr>
          <w:rFonts w:ascii="Arial" w:cs="Arial" w:eastAsia="Arial" w:hAnsi="Arial"/>
          <w:sz w:val="17"/>
          <w:szCs w:val="17"/>
          <w:color w:val="auto"/>
        </w:rPr>
        <w:t>As the last reported sale price of the Company’s common stock for at least 20 trading days during the period of 30 consecutive trading days ending on the last trading day of the calendar quarter ended September 30, 2020 was equal to or greater than 130% of the conversion price of $94.77 on each applicable trading day, the 2022 Notes are convertible at the option of the holders thereof during the calendar quarter ending September 30, 2020. For disclosure purposes, the potentially dilutive effect of the Conversion Spread is calculated and included in the table below.</w:t>
      </w:r>
    </w:p>
    <w:p>
      <w:pPr>
        <w:spacing w:after="0" w:line="173" w:lineRule="exact"/>
        <w:rPr>
          <w:sz w:val="20"/>
          <w:szCs w:val="20"/>
          <w:color w:val="auto"/>
        </w:rPr>
      </w:pPr>
    </w:p>
    <w:p>
      <w:pPr>
        <w:ind w:right="480" w:firstLine="510"/>
        <w:spacing w:after="0" w:line="256" w:lineRule="auto"/>
        <w:rPr>
          <w:sz w:val="20"/>
          <w:szCs w:val="20"/>
          <w:color w:val="auto"/>
        </w:rPr>
      </w:pPr>
      <w:r>
        <w:rPr>
          <w:rFonts w:ascii="Arial" w:cs="Arial" w:eastAsia="Arial" w:hAnsi="Arial"/>
          <w:sz w:val="18"/>
          <w:szCs w:val="18"/>
          <w:color w:val="auto"/>
        </w:rPr>
        <w:t>As of September 30, 2020, the conditions allowing holders of the 2025 Notes to convert have not been met as the conversion rights can only be exercised after September 30, 2020. Also, the last reported price of the Company's common stock for at least 20 trading days during the period of 30 consecutive trading days ending on the last trading day of the calendar quarter ended September 30, 2020 was not equal to or greater than 130% of the conversion price of $282.52 on each applicable trading day.</w:t>
      </w:r>
    </w:p>
    <w:p>
      <w:pPr>
        <w:spacing w:after="0" w:line="189" w:lineRule="exact"/>
        <w:rPr>
          <w:sz w:val="20"/>
          <w:szCs w:val="20"/>
          <w:color w:val="auto"/>
        </w:rPr>
      </w:pPr>
    </w:p>
    <w:p>
      <w:pPr>
        <w:ind w:right="660" w:firstLine="510"/>
        <w:spacing w:after="0" w:line="272" w:lineRule="auto"/>
        <w:rPr>
          <w:sz w:val="20"/>
          <w:szCs w:val="20"/>
          <w:color w:val="auto"/>
        </w:rPr>
      </w:pPr>
      <w:r>
        <w:rPr>
          <w:rFonts w:ascii="Arial" w:cs="Arial" w:eastAsia="Arial" w:hAnsi="Arial"/>
          <w:sz w:val="18"/>
          <w:szCs w:val="18"/>
          <w:color w:val="auto"/>
        </w:rPr>
        <w:t>The Warrants give the holders the option to purchase the Company’s common stock at $115.80 per share. If the market value per share of the Company’s common stock exceeds the $115.80 share price, the Warrants could have a dilutive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2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960" w:type="dxa"/>
            <w:vAlign w:val="bottom"/>
            <w:tcBorders>
              <w:bottom w:val="single" w:sz="8" w:color="auto"/>
            </w:tcBorders>
          </w:tcPr>
          <w:p>
            <w:pPr>
              <w:jc w:val="right"/>
              <w:ind w:right="1077"/>
              <w:spacing w:after="0" w:line="154"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3"/>
                <w:szCs w:val="13"/>
                <w:color w:val="auto"/>
              </w:rPr>
            </w:pPr>
          </w:p>
        </w:tc>
      </w:tr>
      <w:tr>
        <w:trPr>
          <w:trHeight w:val="154"/>
        </w:trPr>
        <w:tc>
          <w:tcPr>
            <w:tcW w:w="22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960" w:type="dxa"/>
            <w:vAlign w:val="bottom"/>
          </w:tcPr>
          <w:p>
            <w:pPr>
              <w:jc w:val="right"/>
              <w:ind w:right="97"/>
              <w:spacing w:after="0" w:line="154"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6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96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rPr>
              <w:t>1,170</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rPr>
              <w:t>RSUs</w:t>
            </w:r>
          </w:p>
        </w:tc>
        <w:tc>
          <w:tcPr>
            <w:tcW w:w="3960" w:type="dxa"/>
            <w:vAlign w:val="bottom"/>
          </w:tcPr>
          <w:p>
            <w:pPr>
              <w:spacing w:after="0"/>
              <w:rPr>
                <w:sz w:val="19"/>
                <w:szCs w:val="19"/>
                <w:color w:val="auto"/>
              </w:rPr>
            </w:pPr>
          </w:p>
        </w:tc>
        <w:tc>
          <w:tcPr>
            <w:tcW w:w="1960" w:type="dxa"/>
            <w:vAlign w:val="bottom"/>
          </w:tcPr>
          <w:p>
            <w:pPr>
              <w:jc w:val="right"/>
              <w:ind w:right="657"/>
              <w:spacing w:after="0"/>
              <w:rPr>
                <w:sz w:val="20"/>
                <w:szCs w:val="20"/>
                <w:color w:val="auto"/>
              </w:rPr>
            </w:pPr>
            <w:r>
              <w:rPr>
                <w:rFonts w:ascii="Arial" w:cs="Arial" w:eastAsia="Arial" w:hAnsi="Arial"/>
                <w:sz w:val="18"/>
                <w:szCs w:val="18"/>
                <w:color w:val="auto"/>
              </w:rPr>
              <w:t>1,726</w:t>
            </w: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9"/>
                <w:szCs w:val="19"/>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0"/>
              </w:rPr>
              <w:t>Conversion Option of the 2022</w:t>
            </w:r>
          </w:p>
        </w:tc>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96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rPr>
              <w:t>1,614</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w w:val="90"/>
              </w:rPr>
              <w:t>Conversion Option of the 2025</w:t>
            </w:r>
          </w:p>
        </w:tc>
        <w:tc>
          <w:tcPr>
            <w:tcW w:w="3960" w:type="dxa"/>
            <w:vAlign w:val="bottom"/>
          </w:tcPr>
          <w:p>
            <w:pPr>
              <w:ind w:left="20"/>
              <w:spacing w:after="0"/>
              <w:rPr>
                <w:sz w:val="20"/>
                <w:szCs w:val="20"/>
                <w:color w:val="auto"/>
              </w:rPr>
            </w:pPr>
            <w:r>
              <w:rPr>
                <w:rFonts w:ascii="Arial" w:cs="Arial" w:eastAsia="Arial" w:hAnsi="Arial"/>
                <w:sz w:val="18"/>
                <w:szCs w:val="18"/>
                <w:color w:val="auto"/>
              </w:rPr>
              <w:t>Notes</w:t>
            </w:r>
          </w:p>
        </w:tc>
        <w:tc>
          <w:tcPr>
            <w:tcW w:w="196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96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19" w:lineRule="exact"/>
        <w:rPr>
          <w:sz w:val="20"/>
          <w:szCs w:val="20"/>
          <w:color w:val="auto"/>
        </w:rPr>
      </w:pPr>
    </w:p>
    <w:p>
      <w:pPr>
        <w:ind w:right="20" w:firstLine="510"/>
        <w:spacing w:after="0" w:line="282"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62"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4" w:lineRule="exact"/>
        <w:rPr>
          <w:rFonts w:ascii="Arial" w:cs="Arial" w:eastAsia="Arial" w:hAnsi="Arial"/>
          <w:sz w:val="18"/>
          <w:szCs w:val="18"/>
          <w:color w:val="auto"/>
        </w:rPr>
      </w:pPr>
    </w:p>
    <w:p>
      <w:pPr>
        <w:ind w:left="1020" w:right="60" w:hanging="503"/>
        <w:spacing w:after="0" w:line="30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4"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3" w:lineRule="exact"/>
        <w:rPr>
          <w:sz w:val="20"/>
          <w:szCs w:val="20"/>
          <w:color w:val="auto"/>
        </w:rPr>
      </w:pPr>
    </w:p>
    <w:p>
      <w:pPr>
        <w:ind w:right="1060" w:firstLine="510"/>
        <w:spacing w:after="0" w:line="272"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September 30, 2020 and December 31, 2019:</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line="154" w:lineRule="exact"/>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4"/>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21,536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21,536</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122,205</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122,205</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974,577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974,577</w:t>
            </w:r>
          </w:p>
        </w:tc>
        <w:tc>
          <w:tcPr>
            <w:tcW w:w="10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r>
      <w:tr>
        <w:trPr>
          <w:trHeight w:val="221"/>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1,106,194</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1,127,730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5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line="154" w:lineRule="exact"/>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4"/>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96,618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96,618</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87,138</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r>
      <w:tr>
        <w:trPr>
          <w:trHeight w:val="221"/>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814,342</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firstLine="510"/>
        <w:spacing w:after="0" w:line="260"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and restricted cash (within prepaid expenses and other current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13" w:name="page14"/>
    <w:bookmarkEnd w:id="13"/>
    <w:p>
      <w:pPr>
        <w:spacing w:after="0" w:line="282" w:lineRule="auto"/>
        <w:rPr>
          <w:sz w:val="20"/>
          <w:szCs w:val="20"/>
          <w:color w:val="auto"/>
        </w:rPr>
      </w:pPr>
      <w:r>
        <w:rPr>
          <w:rFonts w:ascii="Arial" w:cs="Arial" w:eastAsia="Arial" w:hAnsi="Arial"/>
          <w:sz w:val="17"/>
          <w:szCs w:val="17"/>
          <w:color w:val="auto"/>
        </w:rPr>
        <w:t>assets and other long-term assets) on the consolidated balance sheets. At September 30, 2020 and December 31, 2019,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69" w:lineRule="exact"/>
        <w:rPr>
          <w:sz w:val="20"/>
          <w:szCs w:val="20"/>
          <w:color w:val="auto"/>
        </w:rPr>
      </w:pPr>
    </w:p>
    <w:p>
      <w:pPr>
        <w:ind w:right="20" w:firstLine="544"/>
        <w:spacing w:after="0" w:line="260" w:lineRule="auto"/>
        <w:rPr>
          <w:sz w:val="20"/>
          <w:szCs w:val="20"/>
          <w:color w:val="auto"/>
        </w:rPr>
      </w:pPr>
      <w:r>
        <w:rPr>
          <w:rFonts w:ascii="Arial" w:cs="Arial" w:eastAsia="Arial" w:hAnsi="Arial"/>
          <w:sz w:val="18"/>
          <w:szCs w:val="18"/>
          <w:color w:val="auto"/>
        </w:rPr>
        <w:t>As of September 30, 2020, the fair value of the 2022 Notes was $393.1 million and the fair value of the 2025 Notes was $582.9 million. The fair values were determined based on the quoted prices of the 2022 and 2025 Notes in an inactive market on the last trading day of the reporting period and have been classified as Level 2 within the fair value hierarchy.</w:t>
      </w:r>
    </w:p>
    <w:p>
      <w:pPr>
        <w:spacing w:after="0" w:line="185" w:lineRule="exact"/>
        <w:rPr>
          <w:sz w:val="20"/>
          <w:szCs w:val="20"/>
          <w:color w:val="auto"/>
        </w:rPr>
      </w:pPr>
    </w:p>
    <w:p>
      <w:pPr>
        <w:ind w:right="480" w:firstLine="510"/>
        <w:spacing w:after="0" w:line="272" w:lineRule="auto"/>
        <w:rPr>
          <w:sz w:val="20"/>
          <w:szCs w:val="20"/>
          <w:color w:val="auto"/>
        </w:rPr>
      </w:pPr>
      <w:r>
        <w:rPr>
          <w:rFonts w:ascii="Arial" w:cs="Arial" w:eastAsia="Arial" w:hAnsi="Arial"/>
          <w:sz w:val="18"/>
          <w:szCs w:val="18"/>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174"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Restricted cash is comprised of money market funds and certificates of deposit related to landlord guarantees for leased facilities. These restricted cash balances have been excluded from our cash and cash equivalents balance on our consolidated balance sheets.</w:t>
      </w:r>
    </w:p>
    <w:p>
      <w:pPr>
        <w:spacing w:after="0" w:line="174"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$6.2 million of strategic investments without readily determinable fair values at September 30, 2020 and $4.4 million of strategic investments without readily determinable fair values at December 31, 2019. These investments are included in other assets on the consolidated balance sheets. For the nine month period ended September 30, 2020, the Company recorded an impairment of $250 thousand.</w:t>
      </w:r>
    </w:p>
    <w:p>
      <w:pPr>
        <w:spacing w:after="0" w:line="3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composition of our short- and long-term investments at September 30, 2020 and December 31, 2019.</w:t>
      </w:r>
    </w:p>
    <w:p>
      <w:pPr>
        <w:spacing w:after="0" w:line="306"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8"/>
          </w:tcPr>
          <w:p>
            <w:pPr>
              <w:jc w:val="center"/>
              <w:ind w:right="12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5,989</w:t>
            </w:r>
          </w:p>
        </w:tc>
        <w:tc>
          <w:tcPr>
            <w:tcW w:w="3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5,989</w:t>
            </w:r>
          </w:p>
        </w:tc>
        <w:tc>
          <w:tcPr>
            <w:tcW w:w="80" w:type="dxa"/>
            <w:vAlign w:val="bottom"/>
            <w:shd w:val="clear" w:color="auto" w:fill="CFF0FC"/>
          </w:tcPr>
          <w:p>
            <w:pPr>
              <w:spacing w:after="0"/>
              <w:rPr>
                <w:sz w:val="19"/>
                <w:szCs w:val="19"/>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121,501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122,205</w:t>
            </w:r>
          </w:p>
        </w:tc>
        <w:tc>
          <w:tcPr>
            <w:tcW w:w="8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974,496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974,577</w:t>
            </w:r>
          </w:p>
        </w:tc>
        <w:tc>
          <w:tcPr>
            <w:tcW w:w="80" w:type="dxa"/>
            <w:vAlign w:val="bottom"/>
            <w:shd w:val="clear" w:color="auto" w:fill="CFF0FC"/>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r>
      <w:tr>
        <w:trPr>
          <w:trHeight w:val="221"/>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1,102,380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1,103,165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3"/>
        </w:trPr>
        <w:tc>
          <w:tcPr>
            <w:tcW w:w="3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00"/>
              <w:spacing w:after="0" w:line="132"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ind w:left="8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gridSpan w:val="2"/>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3"/>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8"/>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77,214</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581,066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40" w:firstLine="510"/>
        <w:spacing w:after="0" w:line="298" w:lineRule="auto"/>
        <w:rPr>
          <w:sz w:val="20"/>
          <w:szCs w:val="20"/>
          <w:color w:val="auto"/>
        </w:rPr>
      </w:pPr>
      <w:r>
        <w:rPr>
          <w:rFonts w:ascii="Arial" w:cs="Arial" w:eastAsia="Arial" w:hAnsi="Arial"/>
          <w:sz w:val="16"/>
          <w:szCs w:val="16"/>
          <w:color w:val="auto"/>
        </w:rPr>
        <w:t>For all of our securities for which the amortized cost basis was greater than the fair value at September 30, 2020,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contractual maturities of short-term and long-term investments held at September 30, 2020 and December 31, 2019 are as follows:</w:t>
      </w:r>
    </w:p>
    <w:p>
      <w:pPr>
        <w:sectPr>
          <w:pgSz w:w="11900" w:h="16838" w:orient="portrait"/>
          <w:cols w:equalWidth="0" w:num="1">
            <w:col w:w="11240"/>
          </w:cols>
          <w:pgMar w:left="320" w:top="661" w:right="339" w:bottom="1440" w:gutter="0" w:footer="0" w:header="0"/>
        </w:sectPr>
      </w:pPr>
    </w:p>
    <w:p>
      <w:pPr>
        <w:spacing w:after="0" w:line="103"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September 30, 2020</w:t>
      </w:r>
    </w:p>
    <w:p>
      <w:pPr>
        <w:spacing w:after="0" w:line="9" w:lineRule="exact"/>
        <w:rPr>
          <w:sz w:val="20"/>
          <w:szCs w:val="20"/>
          <w:color w:val="auto"/>
        </w:rPr>
      </w:pPr>
    </w:p>
    <w:tbl>
      <w:tblPr>
        <w:tblLayout w:type="fixed"/>
        <w:tblInd w:w="5700" w:type="dxa"/>
        <w:tblCellMar>
          <w:top w:w="0" w:type="dxa"/>
          <w:left w:w="0" w:type="dxa"/>
          <w:bottom w:w="0" w:type="dxa"/>
          <w:right w:w="0" w:type="dxa"/>
        </w:tblCellMar>
      </w:tblPr>
      <w:tr>
        <w:trPr>
          <w:trHeight w:val="132"/>
        </w:trPr>
        <w:tc>
          <w:tcPr>
            <w:tcW w:w="128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60" w:type="dxa"/>
            <w:vAlign w:val="bottom"/>
            <w:tcBorders>
              <w:top w:val="single" w:sz="8" w:color="auto"/>
            </w:tcBorders>
          </w:tcPr>
          <w:p>
            <w:pPr>
              <w:ind w:left="34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-8890</wp:posOffset>
            </wp:positionV>
            <wp:extent cx="1549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ind w:left="64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December 31,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2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20" w:type="dxa"/>
            <w:vAlign w:val="bottom"/>
            <w:tcBorders>
              <w:top w:val="single" w:sz="8" w:color="auto"/>
            </w:tcBorders>
          </w:tcPr>
          <w:p>
            <w:pPr>
              <w:ind w:left="30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489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ind w:left="7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140" w:space="100"/>
            <w:col w:w="3000"/>
          </w:cols>
          <w:pgMar w:left="320" w:top="661" w:right="339" w:bottom="1440" w:gutter="0" w:footer="0" w:header="0"/>
          <w:type w:val="continuous"/>
        </w:sectPr>
      </w:pPr>
    </w:p>
    <w:tbl>
      <w:tblPr>
        <w:tblLayout w:type="fixed"/>
        <w:tblInd w:w="580" w:type="dxa"/>
        <w:tblCellMar>
          <w:top w:w="0" w:type="dxa"/>
          <w:left w:w="0" w:type="dxa"/>
          <w:bottom w:w="0" w:type="dxa"/>
          <w:right w:w="0" w:type="dxa"/>
        </w:tblCellMar>
      </w:tblPr>
      <w:tr>
        <w:trPr>
          <w:trHeight w:val="208"/>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70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1,059,102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1,059,615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691,556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shd w:val="clear" w:color="auto" w:fill="CFF0FC"/>
          </w:tcPr>
          <w:p>
            <w:pPr>
              <w:spacing w:after="0"/>
              <w:rPr>
                <w:sz w:val="18"/>
                <w:szCs w:val="18"/>
                <w:color w:val="auto"/>
              </w:rPr>
            </w:pPr>
          </w:p>
        </w:tc>
      </w:tr>
      <w:tr>
        <w:trPr>
          <w:trHeight w:val="228"/>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through 2 years</w:t>
            </w:r>
          </w:p>
        </w:tc>
        <w:tc>
          <w:tcPr>
            <w:tcW w:w="1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43,550</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tcBorders>
              <w:bottom w:val="single" w:sz="8" w:color="CFF0FC"/>
            </w:tcBorders>
          </w:tcPr>
          <w:p>
            <w:pPr>
              <w:spacing w:after="0"/>
              <w:rPr>
                <w:sz w:val="19"/>
                <w:szCs w:val="19"/>
                <w:color w:val="auto"/>
              </w:rPr>
            </w:pPr>
          </w:p>
        </w:tc>
      </w:tr>
      <w:tr>
        <w:trPr>
          <w:trHeight w:val="221"/>
        </w:trPr>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1,102,380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1,103,165</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6" w:lineRule="exact"/>
        <w:rPr>
          <w:sz w:val="20"/>
          <w:szCs w:val="20"/>
          <w:color w:val="auto"/>
        </w:rPr>
      </w:pPr>
    </w:p>
    <w:p>
      <w:pPr>
        <w:ind w:firstLine="510"/>
        <w:spacing w:after="0" w:line="302"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statement of cash flows for the three months ended September 30,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10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124,895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225,770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3"/>
              </w:rPr>
              <w:t>Restricted cash, included in prepaid expenses and 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6,019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1,505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127,924</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233,294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consists of the following:</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7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Pr>
          <w:p>
            <w:pPr>
              <w:spacing w:after="0"/>
              <w:rPr>
                <w:sz w:val="24"/>
                <w:szCs w:val="24"/>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5"/>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center"/>
              <w:ind w:right="157"/>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14,591</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19,167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19,169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87,326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Equipment under finance lease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Internal-use software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11,318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159,779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132,728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51"/>
              <w:spacing w:after="0"/>
              <w:rPr>
                <w:sz w:val="20"/>
                <w:szCs w:val="20"/>
                <w:color w:val="auto"/>
              </w:rPr>
            </w:pPr>
            <w:r>
              <w:rPr>
                <w:rFonts w:ascii="Arial" w:cs="Arial" w:eastAsia="Arial" w:hAnsi="Arial"/>
                <w:sz w:val="18"/>
                <w:szCs w:val="18"/>
                <w:color w:val="auto"/>
              </w:rPr>
              <w:t>(64,427)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(49,079)</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ind w:right="377"/>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95,352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20" w:firstLine="510"/>
        <w:spacing w:after="0" w:line="260" w:lineRule="auto"/>
        <w:rPr>
          <w:sz w:val="20"/>
          <w:szCs w:val="20"/>
          <w:color w:val="auto"/>
        </w:rPr>
      </w:pPr>
      <w:r>
        <w:rPr>
          <w:rFonts w:ascii="Arial" w:cs="Arial" w:eastAsia="Arial" w:hAnsi="Arial"/>
          <w:sz w:val="18"/>
          <w:szCs w:val="18"/>
          <w:color w:val="auto"/>
        </w:rPr>
        <w:t>Depreciation and amortization expense on property and equipment was $5.5 million for the three months ended September 30, 2020, $15.1 million for the nine months ended September 30, 2020, $3.8 million for the three months ended September 30, 2019 and $11.2 million for the nine months ended September 30,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Capitalized Software Development Costs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4"/>
          </w:tcPr>
          <w:p>
            <w:pPr>
              <w:jc w:val="right"/>
              <w:ind w:right="1035"/>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w w:val="96"/>
              </w:rPr>
              <w:t>Gross capitalized software development costs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(55,766)</w:t>
            </w: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(44,848)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Capitalized software development costs, net</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vMerge w:val="restart"/>
          </w:tcPr>
          <w:p>
            <w:pPr>
              <w:jc w:val="right"/>
              <w:ind w:right="59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5" w:name="page16"/>
    <w:bookmarkEnd w:id="15"/>
    <w:p>
      <w:pPr>
        <w:ind w:right="20" w:firstLine="510"/>
        <w:spacing w:after="0" w:line="272"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are amortized on a straight-line basis over their estimated useful life of two years.</w:t>
      </w:r>
    </w:p>
    <w:p>
      <w:pPr>
        <w:spacing w:after="0" w:line="262"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The following table summarizes software development costs capitalized, stock-based compensation included in capitalized software development costs, and amortization of capitalized software development costs.</w:t>
      </w:r>
    </w:p>
    <w:p>
      <w:pPr>
        <w:sectPr>
          <w:pgSz w:w="11900" w:h="16838" w:orient="portrait"/>
          <w:cols w:equalWidth="0" w:num="1">
            <w:col w:w="11220"/>
          </w:cols>
          <w:pgMar w:left="320" w:top="380" w:right="359" w:bottom="1440" w:gutter="0" w:footer="0" w:header="0"/>
        </w:sectPr>
      </w:pPr>
    </w:p>
    <w:p>
      <w:pPr>
        <w:spacing w:after="0" w:line="179" w:lineRule="exact"/>
        <w:rPr>
          <w:sz w:val="20"/>
          <w:szCs w:val="20"/>
          <w:color w:val="auto"/>
        </w:rPr>
      </w:pPr>
    </w:p>
    <w:p>
      <w:pPr>
        <w:jc w:val="center"/>
        <w:ind w:left="5940"/>
        <w:spacing w:after="0"/>
        <w:rPr>
          <w:sz w:val="20"/>
          <w:szCs w:val="20"/>
          <w:color w:val="auto"/>
        </w:rPr>
      </w:pPr>
      <w:r>
        <w:rPr>
          <w:rFonts w:ascii="Arial" w:cs="Arial" w:eastAsia="Arial" w:hAnsi="Arial"/>
          <w:sz w:val="13"/>
          <w:szCs w:val="13"/>
          <w:b w:val="1"/>
          <w:bCs w:val="1"/>
          <w:color w:val="auto"/>
        </w:rPr>
        <w:t>Three Months Ended</w:t>
      </w:r>
    </w:p>
    <w:p>
      <w:pPr>
        <w:spacing w:after="0" w:line="1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-3810</wp:posOffset>
            </wp:positionV>
            <wp:extent cx="1217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5920"/>
        <w:spacing w:after="0"/>
        <w:tabs>
          <w:tab w:leader="none" w:pos="69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6350</wp:posOffset>
            </wp:positionV>
            <wp:extent cx="12172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000"/>
        <w:spacing w:after="0"/>
        <w:rPr>
          <w:sz w:val="20"/>
          <w:szCs w:val="20"/>
          <w:color w:val="auto"/>
        </w:rPr>
      </w:pPr>
      <w:r>
        <w:rPr>
          <w:rFonts w:ascii="Arial" w:cs="Arial" w:eastAsia="Arial" w:hAnsi="Arial"/>
          <w:sz w:val="13"/>
          <w:szCs w:val="13"/>
          <w:b w:val="1"/>
          <w:bCs w:val="1"/>
          <w:color w:val="auto"/>
        </w:rPr>
        <w:t>Nine Months Ended</w:t>
      </w:r>
    </w:p>
    <w:p>
      <w:pPr>
        <w:spacing w:after="0" w:line="14"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-3810</wp:posOffset>
            </wp:positionV>
            <wp:extent cx="1106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tabs>
          <w:tab w:leader="none" w:pos="9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13335</wp:posOffset>
            </wp:positionV>
            <wp:extent cx="1106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7280" w:space="720"/>
            <w:col w:w="3220"/>
          </w:cols>
          <w:pgMar w:left="320" w:top="380" w:right="359" w:bottom="1440" w:gutter="0" w:footer="0" w:header="0"/>
          <w:type w:val="continuous"/>
        </w:sectPr>
      </w:pPr>
    </w:p>
    <w:tbl>
      <w:tblPr>
        <w:tblLayout w:type="fixed"/>
        <w:tblInd w:w="1700" w:type="dxa"/>
        <w:tblCellMar>
          <w:top w:w="0" w:type="dxa"/>
          <w:left w:w="0" w:type="dxa"/>
          <w:bottom w:w="0" w:type="dxa"/>
          <w:right w:w="0" w:type="dxa"/>
        </w:tblCellMar>
      </w:tblPr>
      <w:tr>
        <w:trPr>
          <w:trHeight w:val="208"/>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Software development costs capitalized</w:t>
            </w:r>
          </w:p>
        </w:tc>
        <w:tc>
          <w:tcPr>
            <w:tcW w:w="4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w w:val="93"/>
              </w:rPr>
              <w:t>Stock-based compensation included in capitalized</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7"/>
        </w:trPr>
        <w:tc>
          <w:tcPr>
            <w:tcW w:w="3760" w:type="dxa"/>
            <w:vAlign w:val="bottom"/>
          </w:tcPr>
          <w:p>
            <w:pPr>
              <w:ind w:left="120"/>
              <w:spacing w:after="0"/>
              <w:rPr>
                <w:sz w:val="20"/>
                <w:szCs w:val="20"/>
                <w:color w:val="auto"/>
              </w:rPr>
            </w:pPr>
            <w:r>
              <w:rPr>
                <w:rFonts w:ascii="Arial" w:cs="Arial" w:eastAsia="Arial" w:hAnsi="Arial"/>
                <w:sz w:val="18"/>
                <w:szCs w:val="18"/>
                <w:color w:val="auto"/>
              </w:rPr>
              <w:t>software development costs</w:t>
            </w:r>
          </w:p>
        </w:tc>
        <w:tc>
          <w:tcPr>
            <w:tcW w:w="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687</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5"/>
              </w:rPr>
              <w:t>Amortization of capitalized software development</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29"/>
        </w:trPr>
        <w:tc>
          <w:tcPr>
            <w:tcW w:w="3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costs</w:t>
            </w:r>
          </w:p>
        </w:tc>
        <w:tc>
          <w:tcPr>
            <w:tcW w:w="4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15"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5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If the Company undergoes a fundamental change prior to the maturity date, holders of the notes may require the Company to repurchase for cash all or any portion of their notes at a repurchase price equal to 100% of the principal amount of the notes to be repurchased, plus accrued and unpaid interest to, but excluding, the fundamental change repurchase date. In addition, if specific corporate events occur prior to the applicable maturity date or if the Company delivers a notice of redemption, the Company will increase the conversion rate for a holder who elects to convert their notes in connection with such a corporate event or convert its 2025 Notes called for redemption in connection with such notice of redemption, as permitted by the Indenture. As of September 30, 2020, the conditions allowing holders of the 2025 Notes to convert have not been met. The 2025 Notes were therefore not convertible during the three or nine months ended September 30, 2020. The 2025 Notes are classified as long-term debt.</w:t>
      </w:r>
    </w:p>
    <w:p>
      <w:pPr>
        <w:spacing w:after="0" w:line="62" w:lineRule="exact"/>
        <w:rPr>
          <w:sz w:val="20"/>
          <w:szCs w:val="20"/>
          <w:color w:val="auto"/>
        </w:rPr>
      </w:pPr>
    </w:p>
    <w:p>
      <w:pPr>
        <w:ind w:right="100" w:firstLine="510"/>
        <w:spacing w:after="0" w:line="252" w:lineRule="auto"/>
        <w:rPr>
          <w:sz w:val="20"/>
          <w:szCs w:val="20"/>
          <w:color w:val="auto"/>
        </w:rPr>
      </w:pPr>
      <w:r>
        <w:rPr>
          <w:rFonts w:ascii="Arial" w:cs="Arial" w:eastAsia="Arial" w:hAnsi="Arial"/>
          <w:sz w:val="18"/>
          <w:szCs w:val="18"/>
          <w:color w:val="auto"/>
        </w:rPr>
        <w:t>In accounting for the issuance of the 2025 Notes, the Company separated the 2025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$98.7 million and was determined by deducting the fair value of the liability component from the par value of the 2025 Notes. The equity component is recorded in additional paid-in capital in the consolidated balance sheets and is not remeasured as long as it continues to meet the conditions for equity classification. The excess of the principal amount of the liability component over its carrying amount (the "Debt Discount") is amortized to interest expense at an effective interest rate of 5.71% over the contractual term of the 2025 Notes.</w:t>
      </w:r>
    </w:p>
    <w:p>
      <w:pPr>
        <w:spacing w:after="0" w:line="87" w:lineRule="exact"/>
        <w:rPr>
          <w:sz w:val="20"/>
          <w:szCs w:val="20"/>
          <w:color w:val="auto"/>
        </w:rPr>
      </w:pPr>
    </w:p>
    <w:p>
      <w:pPr>
        <w:ind w:right="100" w:firstLine="510"/>
        <w:spacing w:after="0" w:line="276" w:lineRule="auto"/>
        <w:rPr>
          <w:sz w:val="20"/>
          <w:szCs w:val="20"/>
          <w:color w:val="auto"/>
        </w:rPr>
      </w:pPr>
      <w:r>
        <w:rPr>
          <w:rFonts w:ascii="Arial" w:cs="Arial" w:eastAsia="Arial" w:hAnsi="Arial"/>
          <w:sz w:val="17"/>
          <w:szCs w:val="17"/>
          <w:color w:val="auto"/>
        </w:rPr>
        <w:t>In accounting for the debt issuance costs of $9.9 million related to the 2025 Notes, the Company allocated the total amount incurred to the liability and equity components of the 2025 Notes based on their relative values. Issuance costs attributable to the liability component were $7.8 million and will be amortized to interest expense using the effective interest method over the contractual terms of the 2025 Notes. Issuance costs attributable to the equity component were $2.1 million and are netted with the equity component of the 2025 Notes in stockholders’ equity.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type w:val="continuous"/>
        </w:sectPr>
      </w:pPr>
    </w:p>
    <w:bookmarkStart w:id="16" w:name="page17"/>
    <w:bookmarkEnd w:id="16"/>
    <w:p>
      <w:pPr>
        <w:ind w:right="400" w:firstLine="510"/>
        <w:spacing w:after="0" w:line="307" w:lineRule="auto"/>
        <w:rPr>
          <w:sz w:val="20"/>
          <w:szCs w:val="20"/>
          <w:color w:val="auto"/>
        </w:rPr>
      </w:pPr>
      <w:r>
        <w:rPr>
          <w:rFonts w:ascii="Arial" w:cs="Arial" w:eastAsia="Arial" w:hAnsi="Arial"/>
          <w:sz w:val="16"/>
          <w:szCs w:val="16"/>
          <w:color w:val="auto"/>
        </w:rPr>
        <w:t>The difference in the book and tax allocation between the liability and equity components of the 2025 Notes resulted in a difference between the carrying amount and tax basis of the 2025 Notes. This taxable temporary difference resulted in the Company recognizing a deferred tax liability and a corresponding reduction in the Company's valuation allowance on its US deferred tax assets, resulting in no net deferred tax impact.</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As of September 30, 2020</w:t>
            </w:r>
          </w:p>
        </w:tc>
        <w:tc>
          <w:tcPr>
            <w:tcW w:w="4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of December 31, 2019</w:t>
            </w:r>
          </w:p>
        </w:tc>
      </w:tr>
      <w:tr>
        <w:trPr>
          <w:trHeight w:val="220"/>
        </w:trPr>
        <w:tc>
          <w:tcPr>
            <w:tcW w:w="3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3060" w:type="dxa"/>
            <w:vAlign w:val="bottom"/>
          </w:tcPr>
          <w:p>
            <w:pPr>
              <w:spacing w:after="0"/>
              <w:rPr>
                <w:sz w:val="20"/>
                <w:szCs w:val="20"/>
                <w:color w:val="auto"/>
              </w:rPr>
            </w:pPr>
            <w:r>
              <w:rPr>
                <w:rFonts w:ascii="Arial" w:cs="Arial" w:eastAsia="Arial" w:hAnsi="Arial"/>
                <w:sz w:val="18"/>
                <w:szCs w:val="18"/>
                <w:color w:val="auto"/>
              </w:rPr>
              <w:t>Principal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9"/>
                <w:szCs w:val="19"/>
                <w:color w:val="auto"/>
              </w:rPr>
            </w:pPr>
          </w:p>
        </w:tc>
        <w:tc>
          <w:tcPr>
            <w:tcW w:w="800" w:type="dxa"/>
            <w:vAlign w:val="bottom"/>
            <w:gridSpan w:val="2"/>
          </w:tcPr>
          <w:p>
            <w:pPr>
              <w:jc w:val="right"/>
              <w:ind w:right="608"/>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(93,192)</w:t>
            </w: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8"/>
        </w:trPr>
        <w:tc>
          <w:tcPr>
            <w:tcW w:w="3060" w:type="dxa"/>
            <w:vAlign w:val="bottom"/>
          </w:tcPr>
          <w:p>
            <w:pPr>
              <w:spacing w:after="0"/>
              <w:rPr>
                <w:sz w:val="20"/>
                <w:szCs w:val="20"/>
                <w:color w:val="auto"/>
              </w:rPr>
            </w:pPr>
            <w:r>
              <w:rPr>
                <w:rFonts w:ascii="Arial" w:cs="Arial" w:eastAsia="Arial" w:hAnsi="Arial"/>
                <w:sz w:val="18"/>
                <w:szCs w:val="18"/>
                <w:color w:val="auto"/>
              </w:rPr>
              <w:t>Unamortized issuance costs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(7,322)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21"/>
        </w:trPr>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of September 30, 2020</w:t>
            </w:r>
          </w:p>
        </w:tc>
        <w:tc>
          <w:tcPr>
            <w:tcW w:w="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 of December 31, 2019</w:t>
            </w:r>
          </w:p>
        </w:tc>
      </w:tr>
      <w:tr>
        <w:trPr>
          <w:trHeight w:val="235"/>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Issuance costs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(2,120)</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21"/>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related to the 2025 Notes is as follows: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56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35"/>
        </w:trPr>
        <w:tc>
          <w:tcPr>
            <w:tcW w:w="28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35"/>
        </w:trPr>
        <w:tc>
          <w:tcPr>
            <w:tcW w:w="28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Borders>
              <w:right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0"/>
        </w:trPr>
        <w:tc>
          <w:tcPr>
            <w:tcW w:w="2820" w:type="dxa"/>
            <w:vAlign w:val="bottom"/>
          </w:tcPr>
          <w:p>
            <w:pPr>
              <w:spacing w:after="0"/>
              <w:rPr>
                <w:sz w:val="20"/>
                <w:szCs w:val="20"/>
                <w:color w:val="auto"/>
              </w:rPr>
            </w:pPr>
            <w:r>
              <w:rPr>
                <w:rFonts w:ascii="Arial" w:cs="Arial" w:eastAsia="Arial" w:hAnsi="Arial"/>
                <w:sz w:val="18"/>
                <w:szCs w:val="18"/>
                <w:color w:val="auto"/>
              </w:rPr>
              <w:t>Contractual interest expense</w:t>
            </w:r>
          </w:p>
        </w:tc>
        <w:tc>
          <w:tcPr>
            <w:tcW w:w="800" w:type="dxa"/>
            <w:vAlign w:val="bottom"/>
          </w:tcPr>
          <w:p>
            <w:pPr>
              <w:jc w:val="right"/>
              <w:ind w:right="64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42"/>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r>
      <w:tr>
        <w:trPr>
          <w:trHeight w:val="240"/>
        </w:trPr>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issuance costs</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tcPr>
          <w:p>
            <w:pPr>
              <w:spacing w:after="0"/>
              <w:rPr>
                <w:sz w:val="20"/>
                <w:szCs w:val="20"/>
                <w:color w:val="auto"/>
              </w:rPr>
            </w:pPr>
          </w:p>
        </w:tc>
      </w:tr>
      <w:tr>
        <w:trPr>
          <w:trHeight w:val="23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expense</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6,529</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0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115"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In May 2017, the Company issued $350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51"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On or after February 1, 2022 until the close of business on the second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7" w:name="page18"/>
    <w:bookmarkEnd w:id="17"/>
    <w:p>
      <w:pPr>
        <w:ind w:right="40"/>
        <w:spacing w:after="0" w:line="267" w:lineRule="auto"/>
        <w:rPr>
          <w:sz w:val="20"/>
          <w:szCs w:val="20"/>
          <w:color w:val="auto"/>
        </w:rPr>
      </w:pPr>
      <w:r>
        <w:rPr>
          <w:rFonts w:ascii="Arial" w:cs="Arial" w:eastAsia="Arial" w:hAnsi="Arial"/>
          <w:sz w:val="17"/>
          <w:szCs w:val="17"/>
          <w:color w:val="auto"/>
        </w:rPr>
        <w:t>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The Company expects to settle the principal amount of the 2022 Notes in cash. Because the last reported sale price of the Company’s common stock for at least 20 trading days during the period of 30 consecutive trading days ending on the last trading day of the calendar quarter ended September 30, 2020 was equal to or greater than 130% of the applicable conversion price on each applicable trading day, the 2022 Notes are convertible at the option of the holders thereof during the calendar quarter ending September 30, 2020. In the third quarter of 2020, the Company settled $1 thousand of principal balance of the 2022 Notes in cash. Between the end of the most recently completed fiscal quarter and October 30, 2020, the Company has received conversion notices for approximately $2.1 million of the principal balance of the 2022 Notes. The Company expects to settle the principal amount of the 2022 Notes in cash.</w:t>
      </w:r>
    </w:p>
    <w:p>
      <w:pPr>
        <w:spacing w:after="0" w:line="77"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The total cost of the Convertible Note Hedges was $78.9 million.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The purchase of the Convertible Note Hedges and the sale of Warrants is intended to effectively increase the overall conversion price from $94.77 to $115.83 per share. As these transactions meet certain accounting criteria, the net $20.0 million paid for the Convertible Note Hedges and Warrants is recorded in stockholders’ equity and are not accounted for as separate derivative financial instruments.</w:t>
      </w:r>
    </w:p>
    <w:p>
      <w:pPr>
        <w:spacing w:after="0" w:line="79" w:lineRule="exact"/>
        <w:rPr>
          <w:sz w:val="20"/>
          <w:szCs w:val="20"/>
          <w:color w:val="auto"/>
        </w:rPr>
      </w:pPr>
    </w:p>
    <w:p>
      <w:pPr>
        <w:ind w:right="60" w:firstLine="510"/>
        <w:spacing w:after="0" w:line="283" w:lineRule="auto"/>
        <w:rPr>
          <w:sz w:val="20"/>
          <w:szCs w:val="20"/>
          <w:color w:val="auto"/>
        </w:rPr>
      </w:pPr>
      <w:r>
        <w:rPr>
          <w:rFonts w:ascii="Arial" w:cs="Arial" w:eastAsia="Arial" w:hAnsi="Arial"/>
          <w:sz w:val="16"/>
          <w:szCs w:val="16"/>
          <w:color w:val="auto"/>
        </w:rPr>
        <w:t>In June 2020, the Company used part of the net proceeds from the issuance of the 2025 Notes for the partial repurchase of the 2022 Notes, which consisted of a repurchase of $272.1 million aggregate principal amount of the 2022 Notes for an aggregate purchase price of approximately $283.0 in cash and approximately 1.6 million shares of its common stock at $207.17 per share. Of the $613.5 million in aggregate consideration, $248.7 million was allocated to the fair value of the debt component of the repurchase, and $364.8 million was allocated to the equity component (the associated Conversion Option of the 2022 Notes) of the repurchases, respectively, utilizing a discount rate of 4.9% to determine the fair value of the liability component. This rate was based on the Company’s estimated borrowing rate for a similar liability with the same maturity, but without the associated conversion option. To derive this effective discount rate, the Company utilized observable market rates for liabilities with similar estimated credit characteristics. As of the partial repurchase date, the carrying value of the 2022 Notes subject to the 2022 Notes partial repurchase, net of unamortized debt discount and issuance costs, was $238.2 million. The 2022 Notes partial repurchase and issuance of the 2025 Notes were deemed to have substantially different terms due to the significant difference between the value of the conversion option immediately prior to and after the exchange, and accordingly, the 2022 Notes partial repurchase was accounted for as a debt extinguishment. The 2022 Notes partial repurchase resulted in a $10.5 million loss on early extinguishment of debt, which is recorded within interest expense on the Company’s statements of operations. The loss on extinguishment was determined by comparing the consideration attributed to the fair value of the debt component with the carrying value of the debt component, which includes the proportionate amounts of unamortized debt discount and the remaining unamortized debt issuance costs. In connection with the partial repurchase of the 2022 Notes, the consideration allocated to the equity component of $364.8 million was recorded as a reduction to additional paid-in capital on the Company’s consolidated balance sheet. The Company also reversed a corresponding portion of the associated deferred tax liability and increased the Company’s valuation allowance on its US deferred tax assets, resulting in no net deferred tax impact. As of September 30, 2020, $127.8 million of principal remains outstanding on the 2022 Notes.</w:t>
      </w:r>
    </w:p>
    <w:p>
      <w:pPr>
        <w:spacing w:after="0" w:line="65"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 connection with the partial repurchase of the 2022 Notes, the Company terminated Convertible Note Hedges corresponding to approximately 2.9 million shares of the Company’s common stock in exchange for cash consideration of $362.5 million, and certain counterparties terminated Warrants corresponding to approximately 2.9 million shares of the Company’s common stock in exchange for cash consideration of $327.6 million. The net proceeds of $34.9 million received from these transactions were recorded as an increase to additional paid-in capital. As of September 30, 2020, Convertible Note Hedges giving the Company the option to purchase approximately 1.3 million shares of the Company’s common stock and Warrants giving certain counterparties the option to acquire up to 1.3 million shares of the Company’s common stock remain outstanding.</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8" w:name="page19"/>
    <w:bookmarkEnd w:id="18"/>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As of September 30, 2020</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Principal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127,841</w:t>
            </w:r>
          </w:p>
        </w:tc>
        <w:tc>
          <w:tcPr>
            <w:tcW w:w="14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399,992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(12,356)</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(55,299)</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Unamortized issuance costs</w:t>
            </w:r>
          </w:p>
        </w:tc>
        <w:tc>
          <w:tcPr>
            <w:tcW w:w="120" w:type="dxa"/>
            <w:vAlign w:val="bottom"/>
          </w:tcPr>
          <w:p>
            <w:pPr>
              <w:spacing w:after="0"/>
              <w:rPr>
                <w:sz w:val="19"/>
                <w:szCs w:val="19"/>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3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1"/>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1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vMerge w:val="restart"/>
          </w:tcPr>
          <w:p>
            <w:pPr>
              <w:jc w:val="right"/>
              <w:ind w:right="37"/>
              <w:spacing w:after="0"/>
              <w:rPr>
                <w:sz w:val="20"/>
                <w:szCs w:val="20"/>
                <w:color w:val="auto"/>
              </w:rPr>
            </w:pPr>
            <w:r>
              <w:rPr>
                <w:rFonts w:ascii="Arial" w:cs="Arial" w:eastAsia="Arial" w:hAnsi="Arial"/>
                <w:sz w:val="14"/>
                <w:szCs w:val="14"/>
                <w:b w:val="1"/>
                <w:bCs w:val="1"/>
                <w:color w:val="auto"/>
                <w:w w:val="90"/>
              </w:rPr>
              <w:t>As of September 30,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0"/>
        </w:trPr>
        <w:tc>
          <w:tcPr>
            <w:tcW w:w="1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Issuance costs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(912)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w w:val="90"/>
              </w:rPr>
              <w:t>Interest expense related to the 2022 Notes is as follows:</w:t>
            </w: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35"/>
              <w:spacing w:after="0"/>
              <w:rPr>
                <w:sz w:val="20"/>
                <w:szCs w:val="20"/>
                <w:color w:val="auto"/>
              </w:rPr>
            </w:pPr>
            <w:r>
              <w:rPr>
                <w:rFonts w:ascii="Arial" w:cs="Arial" w:eastAsia="Arial" w:hAnsi="Arial"/>
                <w:sz w:val="14"/>
                <w:szCs w:val="14"/>
                <w:b w:val="1"/>
                <w:bCs w:val="1"/>
                <w:color w:val="auto"/>
                <w:w w:val="91"/>
              </w:rPr>
              <w:t>Nine Months Ended September 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8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80" w:type="dxa"/>
            <w:vAlign w:val="bottom"/>
            <w:gridSpan w:val="2"/>
          </w:tcPr>
          <w:p>
            <w:pPr>
              <w:ind w:left="1180"/>
              <w:spacing w:after="0"/>
              <w:rPr>
                <w:sz w:val="20"/>
                <w:szCs w:val="20"/>
                <w:color w:val="auto"/>
              </w:rPr>
            </w:pPr>
            <w:r>
              <w:rPr>
                <w:rFonts w:ascii="Arial" w:cs="Arial" w:eastAsia="Arial" w:hAnsi="Arial"/>
                <w:sz w:val="18"/>
                <w:szCs w:val="18"/>
                <w:color w:val="auto"/>
              </w:rPr>
              <w:t>Amortization of debt discount</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1,737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11,366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8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80" w:type="dxa"/>
            <w:vAlign w:val="bottom"/>
            <w:gridSpan w:val="2"/>
          </w:tcPr>
          <w:p>
            <w:pPr>
              <w:ind w:left="1180"/>
              <w:spacing w:after="0"/>
              <w:rPr>
                <w:sz w:val="20"/>
                <w:szCs w:val="20"/>
                <w:color w:val="auto"/>
              </w:rPr>
            </w:pPr>
            <w:r>
              <w:rPr>
                <w:rFonts w:ascii="Arial" w:cs="Arial" w:eastAsia="Arial" w:hAnsi="Arial"/>
                <w:sz w:val="18"/>
                <w:szCs w:val="18"/>
                <w:color w:val="auto"/>
              </w:rPr>
              <w:t>Total interest expense</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1,947</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12,749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equity impact, included in additional paid-in capital, of the above components of the 2022 Notes is as follows:</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thousands)</w:t>
            </w: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w:t>
            </w:r>
          </w:p>
        </w:tc>
        <w:tc>
          <w:tcPr>
            <w:tcW w:w="1140" w:type="dxa"/>
            <w:vAlign w:val="bottom"/>
            <w:gridSpan w:val="2"/>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(364,835)</w:t>
            </w: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repayment of 2022 Notes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330,497</w:t>
            </w:r>
          </w:p>
        </w:tc>
        <w:tc>
          <w:tcPr>
            <w:tcW w:w="8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settlements of Convertible Note Hedges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362,492</w:t>
            </w:r>
          </w:p>
        </w:tc>
        <w:tc>
          <w:tcPr>
            <w:tcW w:w="80" w:type="dxa"/>
            <w:vAlign w:val="bottom"/>
            <w:shd w:val="clear" w:color="auto" w:fill="CFF0FC"/>
          </w:tcPr>
          <w:p>
            <w:pPr>
              <w:spacing w:after="0"/>
              <w:rPr>
                <w:sz w:val="19"/>
                <w:szCs w:val="19"/>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8"/>
                <w:szCs w:val="18"/>
                <w:color w:val="auto"/>
              </w:rPr>
              <w:t>Payments for settlement of Warrants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(327,543)</w:t>
            </w:r>
          </w:p>
        </w:tc>
      </w:tr>
      <w:tr>
        <w:trPr>
          <w:trHeight w:val="221"/>
        </w:trPr>
        <w:tc>
          <w:tcPr>
            <w:tcW w:w="47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8400"/>
        <w:spacing w:after="0"/>
        <w:rPr>
          <w:sz w:val="20"/>
          <w:szCs w:val="20"/>
          <w:color w:val="auto"/>
        </w:rPr>
      </w:pPr>
      <w:r>
        <w:rPr>
          <w:rFonts w:ascii="Arial" w:cs="Arial" w:eastAsia="Arial" w:hAnsi="Arial"/>
          <w:sz w:val="15"/>
          <w:szCs w:val="15"/>
          <w:b w:val="1"/>
          <w:bCs w:val="1"/>
          <w:color w:val="auto"/>
        </w:rPr>
        <w:t>10. Commitments and Contingencies</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$20.9 million are being amortized on a straight-line basis into lease expense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$86.8 million.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finance lease agreements as of September 30, 2020 are as follows: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9" w:name="page20"/>
    <w:bookmarkEnd w:id="19"/>
    <w:tbl>
      <w:tblPr>
        <w:tblLayout w:type="fixed"/>
        <w:tblInd w:w="170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w:t>
            </w:r>
          </w:p>
        </w:tc>
      </w:tr>
      <w:tr>
        <w:trPr>
          <w:trHeight w:val="154"/>
        </w:trPr>
        <w:tc>
          <w:tcPr>
            <w:tcW w:w="6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28"/>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50,884</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49,554</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49,160</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47,879</w:t>
            </w:r>
          </w:p>
        </w:tc>
        <w:tc>
          <w:tcPr>
            <w:tcW w:w="80" w:type="dxa"/>
            <w:vAlign w:val="bottom"/>
            <w:shd w:val="clear" w:color="auto" w:fill="CFF0FC"/>
          </w:tcPr>
          <w:p>
            <w:pPr>
              <w:spacing w:after="0"/>
              <w:rPr>
                <w:sz w:val="19"/>
                <w:szCs w:val="19"/>
                <w:color w:val="auto"/>
              </w:rPr>
            </w:pPr>
          </w:p>
        </w:tc>
      </w:tr>
      <w:tr>
        <w:trPr>
          <w:trHeight w:val="228"/>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183,531</w:t>
            </w:r>
          </w:p>
        </w:tc>
        <w:tc>
          <w:tcPr>
            <w:tcW w:w="80" w:type="dxa"/>
            <w:vAlign w:val="bottom"/>
            <w:tcBorders>
              <w:bottom w:val="single" w:sz="8" w:color="CFF0FC"/>
            </w:tcBorders>
          </w:tcPr>
          <w:p>
            <w:pPr>
              <w:spacing w:after="0"/>
              <w:rPr>
                <w:sz w:val="19"/>
                <w:szCs w:val="19"/>
                <w:color w:val="auto"/>
              </w:rPr>
            </w:pPr>
          </w:p>
        </w:tc>
      </w:tr>
      <w:tr>
        <w:trPr>
          <w:trHeight w:val="221"/>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393,159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8" w:lineRule="exact"/>
        <w:rPr>
          <w:sz w:val="20"/>
          <w:szCs w:val="20"/>
          <w:color w:val="auto"/>
        </w:rPr>
      </w:pPr>
    </w:p>
    <w:p>
      <w:pPr>
        <w:ind w:right="240" w:firstLine="510"/>
        <w:spacing w:after="0" w:line="260" w:lineRule="auto"/>
        <w:rPr>
          <w:sz w:val="20"/>
          <w:szCs w:val="20"/>
          <w:color w:val="auto"/>
        </w:rPr>
      </w:pPr>
      <w:r>
        <w:rPr>
          <w:rFonts w:ascii="Arial" w:cs="Arial" w:eastAsia="Arial" w:hAnsi="Arial"/>
          <w:sz w:val="18"/>
          <w:szCs w:val="18"/>
          <w:color w:val="auto"/>
        </w:rPr>
        <w:t>As of September 30, 2020, there were no material changes in our vendor commitments under non-cancelable arrangements, as disclosed in the Company’s audited consolidated financial statements for the year ended December 31, 2019 and related notes thereto contained in the Company’s Annual Report on Form 10-K, except as noted below.</w:t>
      </w:r>
    </w:p>
    <w:p>
      <w:pPr>
        <w:spacing w:after="0" w:line="252" w:lineRule="exact"/>
        <w:rPr>
          <w:sz w:val="20"/>
          <w:szCs w:val="20"/>
          <w:color w:val="auto"/>
        </w:rPr>
      </w:pPr>
    </w:p>
    <w:p>
      <w:pPr>
        <w:ind w:right="440" w:firstLine="510"/>
        <w:spacing w:after="0" w:line="272" w:lineRule="auto"/>
        <w:rPr>
          <w:sz w:val="20"/>
          <w:szCs w:val="20"/>
          <w:color w:val="auto"/>
        </w:rPr>
      </w:pPr>
      <w:r>
        <w:rPr>
          <w:rFonts w:ascii="Arial" w:cs="Arial" w:eastAsia="Arial" w:hAnsi="Arial"/>
          <w:sz w:val="18"/>
          <w:szCs w:val="18"/>
          <w:color w:val="auto"/>
        </w:rPr>
        <w:t>In May 2020, the Company extended a vendor commitment with an incremental three year contractual obligation of approximately $24 million, payable over the remaining three year term of the amended agreement.</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Changes in Stockholders’ Equity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stockholders’ equity for the nine months ended September 30,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94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940" w:type="dxa"/>
            <w:vAlign w:val="bottom"/>
            <w:gridSpan w:val="3"/>
          </w:tcPr>
          <w:p>
            <w:pPr>
              <w:jc w:val="center"/>
              <w:ind w:left="134"/>
              <w:spacing w:after="0" w:line="147" w:lineRule="exact"/>
              <w:rPr>
                <w:sz w:val="20"/>
                <w:szCs w:val="20"/>
                <w:color w:val="auto"/>
              </w:rPr>
            </w:pPr>
            <w:r>
              <w:rPr>
                <w:rFonts w:ascii="Arial" w:cs="Arial" w:eastAsia="Arial" w:hAnsi="Arial"/>
                <w:sz w:val="14"/>
                <w:szCs w:val="14"/>
                <w:b w:val="1"/>
                <w:bCs w:val="1"/>
                <w:color w:val="auto"/>
                <w:w w:val="90"/>
              </w:rPr>
              <w:t>Stock, $0.001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194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20" w:type="dxa"/>
            <w:vAlign w:val="bottom"/>
            <w:vMerge w:val="restart"/>
          </w:tcPr>
          <w:p>
            <w:pPr>
              <w:spacing w:after="0"/>
              <w:rPr>
                <w:sz w:val="20"/>
                <w:szCs w:val="20"/>
                <w:color w:val="auto"/>
              </w:rPr>
            </w:pPr>
            <w:r>
              <w:rPr>
                <w:rFonts w:ascii="Arial" w:cs="Arial" w:eastAsia="Arial" w:hAnsi="Arial"/>
                <w:sz w:val="18"/>
                <w:szCs w:val="18"/>
                <w:color w:val="auto"/>
              </w:rPr>
              <w:t>Balances at December 31, 2019</w:t>
            </w:r>
          </w:p>
        </w:tc>
        <w:tc>
          <w:tcPr>
            <w:tcW w:w="1180" w:type="dxa"/>
            <w:vAlign w:val="bottom"/>
            <w:gridSpan w:val="2"/>
          </w:tcPr>
          <w:p>
            <w:pPr>
              <w:ind w:left="280"/>
              <w:spacing w:after="0" w:line="154"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1120" w:type="dxa"/>
            <w:vAlign w:val="bottom"/>
            <w:gridSpan w:val="3"/>
          </w:tcPr>
          <w:p>
            <w:pPr>
              <w:jc w:val="center"/>
              <w:ind w:right="1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2"/>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42,955</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1,048,380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(398,130)</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stock plans, net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shares withheld for employee taxes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w w:val="95"/>
              </w:rPr>
              <w:t>Equity component of 2025 Notes, net of issuance costs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8"/>
                <w:szCs w:val="18"/>
                <w:color w:val="auto"/>
              </w:rPr>
              <w:t>(Note 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 Options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(50,600)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(50,600)</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w w:val="93"/>
              </w:rPr>
              <w:t>Equity component of the repayment of 2022 Notes (Note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8"/>
                <w:szCs w:val="18"/>
                <w:color w:val="auto"/>
              </w:rPr>
              <w:t>9)</w:t>
            </w:r>
          </w:p>
        </w:tc>
        <w:tc>
          <w:tcPr>
            <w:tcW w:w="98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($76)</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2"/>
              <w:spacing w:after="0"/>
              <w:rPr>
                <w:sz w:val="20"/>
                <w:szCs w:val="20"/>
                <w:color w:val="auto"/>
              </w:rPr>
            </w:pPr>
            <w:r>
              <w:rPr>
                <w:rFonts w:ascii="Arial" w:cs="Arial" w:eastAsia="Arial" w:hAnsi="Arial"/>
                <w:sz w:val="18"/>
                <w:szCs w:val="18"/>
                <w:color w:val="auto"/>
              </w:rPr>
              <w:t>(47,117)</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(47,117)</w:t>
            </w:r>
          </w:p>
        </w:tc>
        <w:tc>
          <w:tcPr>
            <w:tcW w:w="0" w:type="dxa"/>
            <w:vAlign w:val="bottom"/>
          </w:tcPr>
          <w:p>
            <w:pPr>
              <w:spacing w:after="0"/>
              <w:rPr>
                <w:sz w:val="1"/>
                <w:szCs w:val="1"/>
                <w:color w:val="auto"/>
              </w:rPr>
            </w:pPr>
          </w:p>
        </w:tc>
      </w:tr>
      <w:tr>
        <w:trPr>
          <w:trHeight w:val="221"/>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June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1,167,791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(445,247</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Issuance of common stock under stock plans</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taxes paid in cash</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w w:val="96"/>
              </w:rPr>
              <w:t>Unrealized loss on investments, net of income taxes of</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(22,498)</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Arial" w:cs="Arial" w:eastAsia="Arial" w:hAnsi="Arial"/>
                <w:sz w:val="18"/>
                <w:szCs w:val="18"/>
                <w:color w:val="auto"/>
              </w:rPr>
              <w:t>Balances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45,701</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1,198,332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(467,745</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2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920" w:type="dxa"/>
            <w:vAlign w:val="bottom"/>
            <w:gridSpan w:val="3"/>
          </w:tcPr>
          <w:p>
            <w:pPr>
              <w:jc w:val="center"/>
              <w:ind w:left="115"/>
              <w:spacing w:after="0" w:line="147" w:lineRule="exact"/>
              <w:rPr>
                <w:sz w:val="20"/>
                <w:szCs w:val="20"/>
                <w:color w:val="auto"/>
              </w:rPr>
            </w:pPr>
            <w:r>
              <w:rPr>
                <w:rFonts w:ascii="Arial" w:cs="Arial" w:eastAsia="Arial" w:hAnsi="Arial"/>
                <w:sz w:val="14"/>
                <w:szCs w:val="14"/>
                <w:b w:val="1"/>
                <w:bCs w:val="1"/>
                <w:color w:val="auto"/>
                <w:w w:val="90"/>
              </w:rPr>
              <w:t>Stock, $0.001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4"/>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160" w:type="dxa"/>
            <w:vAlign w:val="bottom"/>
            <w:gridSpan w:val="2"/>
          </w:tcPr>
          <w:p>
            <w:pPr>
              <w:ind w:left="260"/>
              <w:spacing w:after="0" w:line="154"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74"/>
              <w:spacing w:after="0" w:line="154"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120" w:type="dxa"/>
            <w:vAlign w:val="bottom"/>
            <w:gridSpan w:val="3"/>
          </w:tcPr>
          <w:p>
            <w:pPr>
              <w:jc w:val="center"/>
              <w:ind w:right="1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2"/>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39,300</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589,708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(344,384)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Issuance of common stock under stock plans, net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6"/>
              </w:rPr>
              <w:t>Issuance of common stock in relation to common stock</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net of offering costs incurred $365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$269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(28,457)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(28,457)</w:t>
            </w:r>
          </w:p>
        </w:tc>
        <w:tc>
          <w:tcPr>
            <w:tcW w:w="0" w:type="dxa"/>
            <w:vAlign w:val="bottom"/>
          </w:tcPr>
          <w:p>
            <w:pPr>
              <w:spacing w:after="0"/>
              <w:rPr>
                <w:sz w:val="1"/>
                <w:szCs w:val="1"/>
                <w:color w:val="auto"/>
              </w:rPr>
            </w:pPr>
          </w:p>
        </w:tc>
      </w:tr>
      <w:tr>
        <w:trPr>
          <w:trHeight w:val="261"/>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42,276</w:t>
            </w:r>
          </w:p>
        </w:tc>
        <w:tc>
          <w:tcPr>
            <w:tcW w:w="20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990,701</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(372,841</w:t>
            </w:r>
          </w:p>
        </w:tc>
        <w:tc>
          <w:tcPr>
            <w:tcW w:w="200" w:type="dxa"/>
            <w:vAlign w:val="bottom"/>
            <w:tcBorders>
              <w:bottom w:val="single" w:sz="8" w:color="CFF0FC"/>
            </w:tcBorders>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618,144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Issuance of common stock under stock plans, net of</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(14,987)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Arial" w:cs="Arial" w:eastAsia="Arial" w:hAnsi="Arial"/>
                <w:sz w:val="18"/>
                <w:szCs w:val="18"/>
                <w:color w:val="auto"/>
              </w:rPr>
              <w:t>Balances at September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42,639</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1,017,046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(387,828</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Changes in Accumulated Other Comprehensive Loss</w:t>
      </w:r>
    </w:p>
    <w:p>
      <w:pPr>
        <w:spacing w:after="0" w:line="119" w:lineRule="exact"/>
        <w:rPr>
          <w:sz w:val="20"/>
          <w:szCs w:val="20"/>
          <w:color w:val="auto"/>
        </w:rPr>
      </w:pPr>
    </w:p>
    <w:p>
      <w:pPr>
        <w:jc w:val="both"/>
        <w:ind w:right="80" w:firstLine="510"/>
        <w:spacing w:after="0" w:line="272"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nine months ended September 30, 2020.</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Cumulative</w:t>
            </w: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on</w:t>
            </w:r>
          </w:p>
        </w:tc>
        <w:tc>
          <w:tcPr>
            <w:tcW w:w="2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2020</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0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Ending balance at September 30, 2020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Expense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two tables show stock-based compensation expense by award type and where the stock-based compensation expense is recorded in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4"/>
              <w:spacing w:after="0" w:line="154"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8"/>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36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5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RSUs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27,259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90,022</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Effect of stock-based compensation expense on income by line item:</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4"/>
        </w:trPr>
        <w:tc>
          <w:tcPr>
            <w:tcW w:w="4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7"/>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r>
      <w:tr>
        <w:trPr>
          <w:trHeight w:val="154"/>
        </w:trPr>
        <w:tc>
          <w:tcPr>
            <w:tcW w:w="4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110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FF0FC"/>
          </w:tcPr>
          <w:p>
            <w:pPr>
              <w:spacing w:after="0"/>
              <w:rPr>
                <w:sz w:val="19"/>
                <w:szCs w:val="19"/>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25,663</w:t>
            </w:r>
          </w:p>
        </w:tc>
        <w:tc>
          <w:tcPr>
            <w:tcW w:w="100" w:type="dxa"/>
            <w:vAlign w:val="bottom"/>
            <w:shd w:val="clear" w:color="auto" w:fill="CFF0FC"/>
          </w:tcPr>
          <w:p>
            <w:pPr>
              <w:spacing w:after="0"/>
              <w:rPr>
                <w:sz w:val="19"/>
                <w:szCs w:val="19"/>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27,275</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10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23,791</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Capitalized software development costs excluded from stock-based compensation expense is $871 thousand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$2.7 million for the nine months ended September 30, 2020, $640 thousand for the three months ended September 30, 2019, and $1.8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nine months ended September 30,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and Geographic Data</w:t>
      </w:r>
    </w:p>
    <w:p>
      <w:pPr>
        <w:spacing w:after="0" w:line="11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operates as one operating segment. Operating segments are defined as components of an enterprise for which 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4"/>
                <w:szCs w:val="1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77"/>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4"/>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4"/>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145,221</w:t>
            </w:r>
          </w:p>
        </w:tc>
        <w:tc>
          <w:tcPr>
            <w:tcW w:w="26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116,841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410,080</w:t>
            </w:r>
          </w:p>
        </w:tc>
        <w:tc>
          <w:tcPr>
            <w:tcW w:w="20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332,311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171,357</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120,708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2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49,524</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35,655</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228,385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630,961</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488,674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89"/>
              </w:rPr>
              <w:t>Percentage of revenues generated outside of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60" w:type="dxa"/>
            <w:vAlign w:val="bottom"/>
          </w:tcPr>
          <w:p>
            <w:pPr>
              <w:ind w:left="120"/>
              <w:spacing w:after="0"/>
              <w:rPr>
                <w:sz w:val="20"/>
                <w:szCs w:val="20"/>
                <w:color w:val="auto"/>
              </w:rPr>
            </w:pPr>
            <w:r>
              <w:rPr>
                <w:rFonts w:ascii="Arial" w:cs="Arial" w:eastAsia="Arial" w:hAnsi="Arial"/>
                <w:sz w:val="18"/>
                <w:szCs w:val="18"/>
                <w:color w:val="auto"/>
              </w:rPr>
              <w:t>the Americas</w:t>
            </w:r>
          </w:p>
        </w:tc>
        <w:tc>
          <w:tcPr>
            <w:tcW w:w="2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firstLine="510"/>
        <w:spacing w:after="0" w:line="374" w:lineRule="auto"/>
        <w:rPr>
          <w:sz w:val="20"/>
          <w:szCs w:val="20"/>
          <w:color w:val="auto"/>
        </w:rPr>
      </w:pPr>
      <w:r>
        <w:rPr>
          <w:rFonts w:ascii="Arial" w:cs="Arial" w:eastAsia="Arial" w:hAnsi="Arial"/>
          <w:sz w:val="15"/>
          <w:szCs w:val="15"/>
          <w:color w:val="auto"/>
        </w:rPr>
        <w:t>Revenue derived from customers outside the United States (international) was approximately 44% of total revenue in the three months ended September 30, 2020, 42% for the nine months ended September 30, 2020, and 40% of total revenue in the three and nine months ended September 30, 2019.</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As of September 30, 2020</w:t>
            </w:r>
          </w:p>
        </w:tc>
        <w:tc>
          <w:tcPr>
            <w:tcW w:w="100" w:type="dxa"/>
            <w:vAlign w:val="bottom"/>
          </w:tcPr>
          <w:p>
            <w:pPr>
              <w:spacing w:after="0"/>
              <w:rPr>
                <w:sz w:val="14"/>
                <w:szCs w:val="14"/>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As of December 31, 2019</w:t>
            </w:r>
          </w:p>
        </w:tc>
      </w:tr>
      <w:tr>
        <w:trPr>
          <w:trHeight w:val="154"/>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920" w:type="dxa"/>
            <w:vAlign w:val="bottom"/>
            <w:tcBorders>
              <w:top w:val="single" w:sz="8" w:color="auto"/>
            </w:tcBorders>
            <w:gridSpan w:val="4"/>
          </w:tcPr>
          <w:p>
            <w:pPr>
              <w:jc w:val="right"/>
              <w:ind w:right="1534"/>
              <w:spacing w:after="0" w:line="154"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175,821</w:t>
            </w:r>
          </w:p>
        </w:tc>
        <w:tc>
          <w:tcPr>
            <w:tcW w:w="180" w:type="dxa"/>
            <w:vAlign w:val="bottom"/>
            <w:shd w:val="clear" w:color="auto" w:fill="CFF0FC"/>
          </w:tcPr>
          <w:p>
            <w:pPr>
              <w:spacing w:after="0"/>
              <w:rPr>
                <w:sz w:val="19"/>
                <w:szCs w:val="19"/>
                <w:color w:val="auto"/>
              </w:rPr>
            </w:pPr>
          </w:p>
        </w:tc>
      </w:tr>
      <w:tr>
        <w:trPr>
          <w:trHeight w:val="227"/>
        </w:trPr>
        <w:tc>
          <w:tcPr>
            <w:tcW w:w="452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155,881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127,395</w:t>
            </w:r>
          </w:p>
        </w:tc>
        <w:tc>
          <w:tcPr>
            <w:tcW w:w="18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180" w:type="dxa"/>
            <w:vAlign w:val="bottom"/>
            <w:shd w:val="clear" w:color="auto" w:fill="CFF0FC"/>
          </w:tcPr>
          <w:p>
            <w:pPr>
              <w:spacing w:after="0"/>
              <w:rPr>
                <w:sz w:val="19"/>
                <w:szCs w:val="19"/>
                <w:color w:val="auto"/>
              </w:rPr>
            </w:pPr>
          </w:p>
        </w:tc>
      </w:tr>
      <w:tr>
        <w:trPr>
          <w:trHeight w:val="261"/>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374,177</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318,039</w:t>
            </w:r>
          </w:p>
        </w:tc>
        <w:tc>
          <w:tcPr>
            <w:tcW w:w="180" w:type="dxa"/>
            <w:vAlign w:val="bottom"/>
            <w:tcBorders>
              <w:bottom w:val="single" w:sz="8" w:color="CFF0FC"/>
            </w:tcBorders>
          </w:tcPr>
          <w:p>
            <w:pPr>
              <w:spacing w:after="0"/>
              <w:rPr>
                <w:sz w:val="22"/>
                <w:szCs w:val="22"/>
                <w:color w:val="auto"/>
              </w:rPr>
            </w:pPr>
          </w:p>
        </w:tc>
      </w:tr>
      <w:tr>
        <w:trPr>
          <w:trHeight w:val="234"/>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3"/>
              </w:rPr>
              <w:t>Percentage of long-lived assets held outside of the Americas</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80" w:right="379" w:bottom="1440"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2019 filed with the SEC on February 12,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We provide software and support through a cloud-based customer relationship management, or CRM, platform to help businesses to grow better. Growing better means helping our customers grow without compromise, always solving for the customer, and creating a better experience for customers and company alike. Our CRM platform includes marketing, sales, service, and website management products and features tools and integrations that enable businesses to attract, engage, and delight customers throughout the customer lifecycle.</w:t>
      </w:r>
    </w:p>
    <w:p>
      <w:pPr>
        <w:spacing w:after="0" w:line="18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September 30, 2020, we had 3,981 full-time employees and 95,634 Total Customers of varying sizes in more than 120 countries, representing almost every industry.</w:t>
      </w:r>
    </w:p>
    <w:p>
      <w:pPr>
        <w:spacing w:after="0" w:line="170"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color w:val="auto"/>
        </w:rPr>
        <w:t>We derive most of our revenue from subscriptions to our cloud-based CRM platform and related professional services, which consist of customer on-boarding and training services. Subscription revenue accounted for 97% of total revenue for the three months ended September 30, 2020, 96% of total revenue for the nine months ended September 30, 2020, and 96% of total revenue for the three and nine months ended September 30, 2019.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Our customers purchase a subscription to one or more of our products and commit for a specified subscription period, which is typically one year or less in duration.</w:t>
      </w:r>
    </w:p>
    <w:p>
      <w:pPr>
        <w:spacing w:after="0" w:line="192"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5" w:lineRule="exact"/>
        <w:rPr>
          <w:sz w:val="20"/>
          <w:szCs w:val="20"/>
          <w:color w:val="auto"/>
        </w:rPr>
      </w:pPr>
    </w:p>
    <w:p>
      <w:pPr>
        <w:ind w:right="140" w:firstLine="510"/>
        <w:spacing w:after="0" w:line="298" w:lineRule="auto"/>
        <w:rPr>
          <w:sz w:val="20"/>
          <w:szCs w:val="20"/>
          <w:color w:val="auto"/>
        </w:rPr>
      </w:pPr>
      <w:r>
        <w:rPr>
          <w:rFonts w:ascii="Arial" w:cs="Arial" w:eastAsia="Arial" w:hAnsi="Arial"/>
          <w:sz w:val="16"/>
          <w:szCs w:val="16"/>
          <w:color w:val="auto"/>
        </w:rPr>
        <w:t>Many of our customers purchase on-boarding and training services which are designed to help customers enhance their ability to attract, engage and delight their customers using our CRM platform. Professional services and other revenue accounted for 3% of total revenue for the three months ended September 30, 2020, 4% of total revenue for the nine months ended September 30, 2020, and 4% of total revenue for the three and nine months ended September 30, 2019. We expect professional services and other margins to range from a moderate loss to breakeven for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6" w:lineRule="exact"/>
        <w:rPr>
          <w:sz w:val="20"/>
          <w:szCs w:val="20"/>
          <w:color w:val="auto"/>
        </w:rPr>
      </w:pPr>
    </w:p>
    <w:p>
      <w:pPr>
        <w:ind w:right="80" w:firstLine="520"/>
        <w:spacing w:after="0" w:line="253"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pandemic, or pandemic. This pandemic is having widespread, rapidly-evolving, and unpredictable impacts on global societies, economies, financial markets, and business practices. Federal and state governments have implemented measures in an effort to contain the virus, including physical distancing, travel bans and restrictions, closure of non-essential businesses, quarantines, work-from-home directives, shelter-in-place orders, and limitations on public gatherings. These measurements have caused, and are continuing to cause, business slowdowns or shutdowns in affected areas, both regionally and worldwide.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3" w:name="page24"/>
    <w:bookmarkEnd w:id="23"/>
    <w:p>
      <w:pPr>
        <w:ind w:right="20" w:firstLine="565"/>
        <w:spacing w:after="0" w:line="253" w:lineRule="auto"/>
        <w:rPr>
          <w:sz w:val="20"/>
          <w:szCs w:val="20"/>
          <w:color w:val="auto"/>
        </w:rPr>
      </w:pPr>
      <w:r>
        <w:rPr>
          <w:rFonts w:ascii="Arial" w:cs="Arial" w:eastAsia="Arial" w:hAnsi="Arial"/>
          <w:sz w:val="18"/>
          <w:szCs w:val="18"/>
          <w:color w:val="auto"/>
        </w:rPr>
        <w:t>Our focus remains on promoting employee health and safety, serving our customers, and ensuring business continuity. In March 2020, we temporarily closed our global offices, including our corporate headquarters, suspended all company-related travel, and all HubSpot employees globally were required to work from home. We shifted our Solutions Partner events and INBOUND 2020 to virtual-only experiences and have cancelled other customer and industry events. We have begun to slowly re-open our offices on a staggered, region-to-region basis in accordance with local authority guidelines, and are working to ensure that our return to work is thoughtful, prudent, and handled with an abundance of caution with the health of our employees being the top priority.</w:t>
      </w:r>
    </w:p>
    <w:p>
      <w:pPr>
        <w:spacing w:after="0" w:line="192" w:lineRule="exact"/>
        <w:rPr>
          <w:sz w:val="20"/>
          <w:szCs w:val="20"/>
          <w:color w:val="auto"/>
        </w:rPr>
      </w:pPr>
    </w:p>
    <w:p>
      <w:pPr>
        <w:ind w:right="300" w:firstLine="520"/>
        <w:spacing w:after="0" w:line="256" w:lineRule="auto"/>
        <w:rPr>
          <w:sz w:val="20"/>
          <w:szCs w:val="20"/>
          <w:color w:val="auto"/>
        </w:rPr>
      </w:pPr>
      <w:r>
        <w:rPr>
          <w:rFonts w:ascii="Arial" w:cs="Arial" w:eastAsia="Arial" w:hAnsi="Arial"/>
          <w:sz w:val="18"/>
          <w:szCs w:val="18"/>
          <w:color w:val="auto"/>
        </w:rPr>
        <w:t>Given that the economic consequences of the pandemic have been exceptionally challenging for many of our customers and prospects, we also implemented certain changes to our pricing structure in March 2020, including reducing prices on our Starter Growth Suite, offering certain product functionality free of charge for a limited time, temporarily suspending marketing email send limits, and offering a six-month advance on commissions to certain of our Solutions Partners.</w:t>
      </w:r>
    </w:p>
    <w:p>
      <w:pPr>
        <w:spacing w:after="0" w:line="189" w:lineRule="exact"/>
        <w:rPr>
          <w:sz w:val="20"/>
          <w:szCs w:val="20"/>
          <w:color w:val="auto"/>
        </w:rPr>
      </w:pPr>
    </w:p>
    <w:p>
      <w:pPr>
        <w:ind w:firstLine="520"/>
        <w:spacing w:after="0" w:line="268" w:lineRule="auto"/>
        <w:rPr>
          <w:sz w:val="20"/>
          <w:szCs w:val="20"/>
          <w:color w:val="auto"/>
        </w:rPr>
      </w:pPr>
      <w:r>
        <w:rPr>
          <w:rFonts w:ascii="Arial" w:cs="Arial" w:eastAsia="Arial" w:hAnsi="Arial"/>
          <w:sz w:val="17"/>
          <w:szCs w:val="17"/>
          <w:color w:val="auto"/>
        </w:rPr>
        <w:t>While the pandemic has not had a material adverse financial impact on our operations to date, the broader implications of the pandemic on our results of operations and overall financial performance will depend on future developments and conditions. The pandemic and its adverse effects are prevalent in the locations where we, our customers, and partners conduct business. As a result, at the outset of the pandemic, we experienced, and may again experience in the future, curtailed customer demand that could adversely impact our business, results of operations and overall financial performance in future periods. Specifically, we may be impacted by changes in our customers’ ability or willingness to purchase our offerings; changes in the timing of our current or prospective customers’ purchasing decisions; pricing discounts or extended payment terms; reductions in the amount or duration of customers’ subscription contracts; or increased customer attrition rates. While our revenue, customer retention, and earnings are relatively predictable as a result of our subscription-based business model, the effect of the pandemic will not be fully reflected in our results of operations and overall financial performance until future periods.</w:t>
      </w:r>
    </w:p>
    <w:p>
      <w:pPr>
        <w:spacing w:after="0" w:line="180" w:lineRule="exact"/>
        <w:rPr>
          <w:sz w:val="20"/>
          <w:szCs w:val="20"/>
          <w:color w:val="auto"/>
        </w:rPr>
      </w:pPr>
    </w:p>
    <w:p>
      <w:pPr>
        <w:ind w:right="140" w:firstLine="520"/>
        <w:spacing w:after="0" w:line="267" w:lineRule="auto"/>
        <w:rPr>
          <w:sz w:val="20"/>
          <w:szCs w:val="20"/>
          <w:color w:val="auto"/>
        </w:rPr>
      </w:pPr>
      <w:r>
        <w:rPr>
          <w:rFonts w:ascii="Arial" w:cs="Arial" w:eastAsia="Arial" w:hAnsi="Arial"/>
          <w:sz w:val="17"/>
          <w:szCs w:val="17"/>
          <w:color w:val="auto"/>
        </w:rPr>
        <w:t>While the implications of the pandemic remain uncertain, we plan to continue to make investments to support business growth. 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invest in sales and marketing to support customer growth. We also expect to invest in research and development as we continue to introduce new products and applications to extend the functionality of our CRM platform. We also intend to maintain a high level of customer service and support which we consider critical for our continued success. We plan to continue to invest in our data center infrastructure and services capabilities in order to support continued customer growth. We also expect to continue to incur general and administrative expenses to support our business and to maintain the infrastructure required to be a public company. We expect to use our cash flow from operations and the proceeds from our convertible debt and stock offerings to fund these growth strategies and support our business despite the potential impact from the pandemic and do not expect to be profitable in the near term.</w:t>
      </w:r>
    </w:p>
    <w:p>
      <w:pPr>
        <w:spacing w:after="0" w:line="185" w:lineRule="exact"/>
        <w:rPr>
          <w:sz w:val="20"/>
          <w:szCs w:val="20"/>
          <w:color w:val="auto"/>
        </w:rPr>
      </w:pPr>
    </w:p>
    <w:p>
      <w:pPr>
        <w:ind w:right="460" w:firstLine="510"/>
        <w:spacing w:after="0" w:line="272" w:lineRule="auto"/>
        <w:rPr>
          <w:sz w:val="20"/>
          <w:szCs w:val="20"/>
          <w:color w:val="auto"/>
        </w:rPr>
      </w:pPr>
      <w:r>
        <w:rPr>
          <w:rFonts w:ascii="Arial" w:cs="Arial" w:eastAsia="Arial" w:hAnsi="Arial"/>
          <w:sz w:val="18"/>
          <w:szCs w:val="18"/>
          <w:color w:val="auto"/>
        </w:rPr>
        <w:t>See the section titled “Risk Factors” included under Part II, Item 1A below for further discussion of the possible impact of the pandemic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2020 and 2019</w:t>
      </w:r>
    </w:p>
    <w:p>
      <w:pPr>
        <w:spacing w:after="0" w:line="119"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700" w:type="dxa"/>
        <w:tblCellMar>
          <w:top w:w="0" w:type="dxa"/>
          <w:left w:w="0" w:type="dxa"/>
          <w:bottom w:w="0" w:type="dxa"/>
          <w:right w:w="0" w:type="dxa"/>
        </w:tblCellMar>
      </w:tblPr>
      <w:tr>
        <w:trPr>
          <w:trHeight w:val="143"/>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right"/>
              <w:ind w:right="720"/>
              <w:spacing w:after="0" w:line="143"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860" w:type="dxa"/>
            <w:vAlign w:val="bottom"/>
            <w:gridSpan w:val="7"/>
          </w:tcPr>
          <w:p>
            <w:pPr>
              <w:jc w:val="right"/>
              <w:ind w:right="562"/>
              <w:spacing w:after="0" w:line="143" w:lineRule="exact"/>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20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1860" w:type="dxa"/>
            <w:vAlign w:val="bottom"/>
            <w:gridSpan w:val="7"/>
          </w:tcPr>
          <w:p>
            <w:pPr>
              <w:jc w:val="right"/>
              <w:ind w:right="302"/>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4"/>
        </w:trPr>
        <w:tc>
          <w:tcPr>
            <w:tcW w:w="3780" w:type="dxa"/>
            <w:vAlign w:val="bottom"/>
            <w:tcBorders>
              <w:bottom w:val="single" w:sz="8" w:color="CFF0FC"/>
            </w:tcBorders>
            <w:gridSpan w:val="2"/>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3"/>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221,058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167,078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608,702</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467,180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22,259</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228,385</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173,621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630,961</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488,674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25,671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93,316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7,592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26,348</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33,263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119,664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93,983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185,782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140,358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511,297</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394,691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39,847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150,026</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115,480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91,283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324,230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250,267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23,300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80,228</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67,777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201,243</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154,430</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554,484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433,524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(14,072)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(43,187</w:t>
            </w:r>
          </w:p>
        </w:tc>
        <w:tc>
          <w:tcPr>
            <w:tcW w:w="180" w:type="dxa"/>
            <w:vAlign w:val="bottom"/>
            <w:tcBorders>
              <w:right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(38,833)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9"/>
                <w:szCs w:val="19"/>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color w:val="auto"/>
              </w:rPr>
              <w:t>(29,823)</w:t>
            </w:r>
          </w:p>
        </w:tc>
        <w:tc>
          <w:tcPr>
            <w:tcW w:w="2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(16,946)</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(23,825</w:t>
            </w:r>
          </w:p>
        </w:tc>
        <w:tc>
          <w:tcPr>
            <w:tcW w:w="18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(67,012)</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(41,769)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1"/>
        </w:trPr>
        <w:tc>
          <w:tcPr>
            <w:tcW w:w="3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(69,615</w:t>
            </w:r>
          </w:p>
        </w:tc>
        <w:tc>
          <w:tcPr>
            <w:tcW w:w="180" w:type="dxa"/>
            <w:vAlign w:val="bottom"/>
            <w:tcBorders>
              <w:top w:val="single" w:sz="8" w:color="CFF0FC"/>
              <w:bottom w:val="single" w:sz="8" w:color="CFF0FC"/>
              <w:right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(43,444</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4"/>
              </w:rPr>
              <w:t>Ended September 30,</w:t>
            </w:r>
          </w:p>
        </w:tc>
        <w:tc>
          <w:tcPr>
            <w:tcW w:w="100" w:type="dxa"/>
            <w:vAlign w:val="bottom"/>
          </w:tcPr>
          <w:p>
            <w:pPr>
              <w:spacing w:after="0"/>
              <w:rPr>
                <w:sz w:val="14"/>
                <w:szCs w:val="14"/>
                <w:color w:val="auto"/>
              </w:rPr>
            </w:pPr>
          </w:p>
        </w:tc>
        <w:tc>
          <w:tcPr>
            <w:tcW w:w="1860" w:type="dxa"/>
            <w:vAlign w:val="bottom"/>
            <w:gridSpan w:val="7"/>
          </w:tcPr>
          <w:p>
            <w:pPr>
              <w:jc w:val="right"/>
              <w:ind w:right="422"/>
              <w:spacing w:after="0"/>
              <w:rPr>
                <w:sz w:val="20"/>
                <w:szCs w:val="20"/>
                <w:color w:val="auto"/>
              </w:rPr>
            </w:pPr>
            <w:r>
              <w:rPr>
                <w:rFonts w:ascii="Arial" w:cs="Arial" w:eastAsia="Arial" w:hAnsi="Arial"/>
                <w:sz w:val="14"/>
                <w:szCs w:val="14"/>
                <w:b w:val="1"/>
                <w:bCs w:val="1"/>
                <w:color w:val="auto"/>
                <w:w w:val="94"/>
              </w:rPr>
              <w:t>Ended September 30,</w:t>
            </w:r>
          </w:p>
        </w:tc>
        <w:tc>
          <w:tcPr>
            <w:tcW w:w="0" w:type="dxa"/>
            <w:vAlign w:val="bottom"/>
          </w:tcPr>
          <w:p>
            <w:pPr>
              <w:spacing w:after="0"/>
              <w:rPr>
                <w:sz w:val="1"/>
                <w:szCs w:val="1"/>
                <w:color w:val="auto"/>
              </w:rPr>
            </w:pPr>
          </w:p>
        </w:tc>
      </w:tr>
      <w:tr>
        <w:trPr>
          <w:trHeight w:val="154"/>
        </w:trPr>
        <w:tc>
          <w:tcPr>
            <w:tcW w:w="36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80" w:type="dxa"/>
            <w:vAlign w:val="bottom"/>
            <w:gridSpan w:val="2"/>
          </w:tcPr>
          <w:p>
            <w:pPr>
              <w:jc w:val="right"/>
              <w:ind w:right="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vMerge w:val="continue"/>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62"/>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and Nine Months Ended September 30, 2020 Compared to the Three and Nine Months Ended September 30, 2019</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tbl>
      <w:tblPr>
        <w:tblLayout w:type="fixed"/>
        <w:tblInd w:w="580" w:type="dxa"/>
        <w:tblCellMar>
          <w:top w:w="0" w:type="dxa"/>
          <w:left w:w="0" w:type="dxa"/>
          <w:bottom w:w="0" w:type="dxa"/>
          <w:right w:w="0" w:type="dxa"/>
        </w:tblCellMar>
      </w:tblPr>
      <w:tr>
        <w:trPr>
          <w:trHeight w:val="160"/>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2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0"/>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5"/>
              <w:spacing w:after="0" w:line="154" w:lineRule="exact"/>
              <w:rPr>
                <w:sz w:val="20"/>
                <w:szCs w:val="20"/>
                <w:color w:val="auto"/>
              </w:rPr>
            </w:pPr>
            <w:r>
              <w:rPr>
                <w:rFonts w:ascii="Arial" w:cs="Arial" w:eastAsia="Arial" w:hAnsi="Arial"/>
                <w:sz w:val="14"/>
                <w:szCs w:val="14"/>
                <w:b w:val="1"/>
                <w:bCs w:val="1"/>
                <w:color w:val="auto"/>
              </w:rPr>
              <w:t>2019</w:t>
            </w: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5"/>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221,058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167,078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53,980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608,702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467,180</w:t>
            </w:r>
          </w:p>
        </w:tc>
        <w:tc>
          <w:tcPr>
            <w:tcW w:w="16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141,522</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8"/>
        </w:trPr>
        <w:tc>
          <w:tcPr>
            <w:tcW w:w="26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Professional services and 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22,259</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26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228,385</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173,621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630,961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488,674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142,287</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Subscription revenue increased during the three months ended September 30, 2020 compared to the same period in 2019 primarily due to the increase in Total Customers, which grew from 68,803 as of September 30, 2019 to 95,634 as of September 30, 2020. Total Average Subscription Revenue per Customer decreased from $9,992 for the three months ended September 30, 2019 to $9,669 for the three months ended September 30, 2020. The growth in Total Customers was primarily driven by our increased sales representative capacity to meet market demand as well as increased demand for our freemium product offerings and lower priced starter products. The decrease in average subscription revenue per customer was driven primarily by the volume of continued purchases of our lower priced starter products.</w:t>
      </w:r>
    </w:p>
    <w:p>
      <w:pPr>
        <w:spacing w:after="0" w:line="177" w:lineRule="exact"/>
        <w:rPr>
          <w:sz w:val="20"/>
          <w:szCs w:val="20"/>
          <w:color w:val="auto"/>
        </w:rPr>
      </w:pPr>
    </w:p>
    <w:p>
      <w:pPr>
        <w:ind w:right="320" w:firstLine="510"/>
        <w:spacing w:after="0" w:line="336" w:lineRule="auto"/>
        <w:rPr>
          <w:sz w:val="20"/>
          <w:szCs w:val="20"/>
          <w:color w:val="auto"/>
        </w:rPr>
      </w:pPr>
      <w:r>
        <w:rPr>
          <w:rFonts w:ascii="Arial" w:cs="Arial" w:eastAsia="Arial" w:hAnsi="Arial"/>
          <w:sz w:val="16"/>
          <w:szCs w:val="16"/>
          <w:color w:val="auto"/>
        </w:rPr>
        <w:t>The 12% increase in professional services and other revenue resulted primarily from the increase in Total Customers and from the delivery of on-boarding services for the additional subscriptions sold, slightly offset by changes to our pricing structure in March 2020 as a result of the pandemic.</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89"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Subscription revenue increased during the nine months ended September 30, 2020 compared to the same period in 2019 primarily due to the increase in Total Customers, which grew from 68,803 as of September 30, 2019 to 95,634 as of September 30, 2020. Total Average Subscription Revenue per Customer decreased from $9,921 for the nine months ended September 30, 2019 to $9,568 for the nine months ended September 30, 2020. The growth in Total Customers was primarily driven by our increased sales representative capacity to meet market demand as well as increased demand for our freemium product offerings and lower priced starter products. The decrease in average subscription revenue per customer was driven primarily by the volume of continued purchases of our lower priced starter products and downgrades as a result of the pandemic.</w:t>
      </w:r>
    </w:p>
    <w:p>
      <w:pPr>
        <w:spacing w:after="0" w:line="244" w:lineRule="exact"/>
        <w:rPr>
          <w:sz w:val="20"/>
          <w:szCs w:val="20"/>
          <w:color w:val="auto"/>
        </w:rPr>
      </w:pPr>
    </w:p>
    <w:p>
      <w:pPr>
        <w:jc w:val="both"/>
        <w:ind w:right="420" w:firstLine="510"/>
        <w:spacing w:after="0" w:line="307" w:lineRule="auto"/>
        <w:rPr>
          <w:sz w:val="20"/>
          <w:szCs w:val="20"/>
          <w:color w:val="auto"/>
        </w:rPr>
      </w:pPr>
      <w:r>
        <w:rPr>
          <w:rFonts w:ascii="Arial" w:cs="Arial" w:eastAsia="Arial" w:hAnsi="Arial"/>
          <w:sz w:val="16"/>
          <w:szCs w:val="16"/>
          <w:color w:val="auto"/>
        </w:rPr>
        <w:t>The 4% increase in professional services and other revenue resulted primarily from the increase in Total Customers and from the delivery of on-boarding services for the additional subscriptions sold, slightly offset by changes to our pricing structure in March 2020 as a result of the pandemic and fewer classroom trainings being held due to social gathering restrictions and travel bans implemented due to the pandemic.</w:t>
      </w: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980" w:type="dxa"/>
            <w:vAlign w:val="bottom"/>
            <w:gridSpan w:val="3"/>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42,603</w:t>
            </w:r>
          </w:p>
        </w:tc>
        <w:tc>
          <w:tcPr>
            <w:tcW w:w="2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33,263</w:t>
            </w:r>
          </w:p>
        </w:tc>
        <w:tc>
          <w:tcPr>
            <w:tcW w:w="2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160" w:type="dxa"/>
            <w:vAlign w:val="bottom"/>
            <w:vMerge w:val="continue"/>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119,664</w:t>
            </w:r>
          </w:p>
        </w:tc>
        <w:tc>
          <w:tcPr>
            <w:tcW w:w="26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93,983</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25,681</w:t>
            </w:r>
          </w:p>
        </w:tc>
        <w:tc>
          <w:tcPr>
            <w:tcW w:w="160" w:type="dxa"/>
            <w:vAlign w:val="bottom"/>
            <w:vMerge w:val="continue"/>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185,782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140,358</w:t>
            </w:r>
          </w:p>
        </w:tc>
        <w:tc>
          <w:tcPr>
            <w:tcW w:w="2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45,424</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511,297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394,691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116,606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 percentage</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26" w:name="page27"/>
    <w:bookmarkEnd w:id="26"/>
    <w:p>
      <w:pPr>
        <w:jc w:val="both"/>
        <w:ind w:right="280" w:firstLine="510"/>
        <w:spacing w:after="0" w:line="260" w:lineRule="auto"/>
        <w:rPr>
          <w:sz w:val="20"/>
          <w:szCs w:val="20"/>
          <w:color w:val="auto"/>
        </w:rPr>
      </w:pPr>
      <w:r>
        <w:rPr>
          <w:rFonts w:ascii="Arial" w:cs="Arial" w:eastAsia="Arial" w:hAnsi="Arial"/>
          <w:sz w:val="18"/>
          <w:szCs w:val="18"/>
          <w:color w:val="auto"/>
        </w:rPr>
        <w:t>Total cost of revenue for the three and nine months ended September 30, 2020 increased compared to the same period in 2019 primarily due to an increase in subscription and hosting costs, amortization of capitalized software development costs, employee-related costs, allocated overheard expenses, and amortization of acquired technology. Gross margins remained consistent year-over-year.</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$ 33,181</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$ 25,671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7,510</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$ 93,316</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$ 70,550</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22,766</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41" w:lineRule="exact"/>
        <w:rPr>
          <w:sz w:val="20"/>
          <w:szCs w:val="20"/>
          <w:color w:val="auto"/>
        </w:rPr>
      </w:pPr>
    </w:p>
    <w:p>
      <w:pPr>
        <w:ind w:right="460" w:firstLine="510"/>
        <w:spacing w:after="0" w:line="272" w:lineRule="auto"/>
        <w:rPr>
          <w:sz w:val="20"/>
          <w:szCs w:val="20"/>
          <w:color w:val="auto"/>
        </w:rPr>
      </w:pPr>
      <w:r>
        <w:rPr>
          <w:rFonts w:ascii="Arial" w:cs="Arial" w:eastAsia="Arial" w:hAnsi="Arial"/>
          <w:sz w:val="18"/>
          <w:szCs w:val="18"/>
          <w:color w:val="auto"/>
        </w:rPr>
        <w:t>The increase in subscription cost of revenue for the three and nine months ended September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Nine Months</w:t>
            </w:r>
          </w:p>
        </w:tc>
      </w:tr>
      <w:tr>
        <w:trPr>
          <w:trHeight w:val="154"/>
        </w:trPr>
        <w:tc>
          <w:tcPr>
            <w:tcW w:w="5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5"/>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4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15,914</w:t>
            </w:r>
          </w:p>
        </w:tc>
        <w:tc>
          <w:tcPr>
            <w:tcW w:w="80" w:type="dxa"/>
            <w:vAlign w:val="bottom"/>
            <w:shd w:val="clear" w:color="auto" w:fill="CFF0FC"/>
          </w:tcPr>
          <w:p>
            <w:pPr>
              <w:spacing w:after="0"/>
              <w:rPr>
                <w:sz w:val="20"/>
                <w:szCs w:val="20"/>
                <w:color w:val="auto"/>
              </w:rPr>
            </w:pPr>
          </w:p>
        </w:tc>
      </w:tr>
      <w:tr>
        <w:trPr>
          <w:trHeight w:val="240"/>
        </w:trPr>
        <w:tc>
          <w:tcPr>
            <w:tcW w:w="5340" w:type="dxa"/>
            <w:vAlign w:val="bottom"/>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Pr>
          <w:p>
            <w:pPr>
              <w:spacing w:after="0"/>
              <w:rPr>
                <w:sz w:val="20"/>
                <w:szCs w:val="20"/>
                <w:color w:val="auto"/>
              </w:rPr>
            </w:pPr>
          </w:p>
        </w:tc>
      </w:tr>
      <w:tr>
        <w:trPr>
          <w:trHeight w:val="242"/>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FF0FC"/>
          </w:tcPr>
          <w:p>
            <w:pPr>
              <w:spacing w:after="0"/>
              <w:rPr>
                <w:sz w:val="21"/>
                <w:szCs w:val="21"/>
                <w:color w:val="auto"/>
              </w:rPr>
            </w:pPr>
          </w:p>
        </w:tc>
      </w:tr>
      <w:tr>
        <w:trPr>
          <w:trHeight w:val="240"/>
        </w:trPr>
        <w:tc>
          <w:tcPr>
            <w:tcW w:w="534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20"/>
                <w:szCs w:val="20"/>
                <w:color w:val="auto"/>
              </w:rPr>
            </w:pPr>
          </w:p>
        </w:tc>
      </w:tr>
      <w:tr>
        <w:trPr>
          <w:trHeight w:val="24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5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7,510</w:t>
            </w:r>
          </w:p>
        </w:tc>
        <w:tc>
          <w:tcPr>
            <w:tcW w:w="8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22,766</w:t>
            </w:r>
          </w:p>
        </w:tc>
        <w:tc>
          <w:tcPr>
            <w:tcW w:w="8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22" w:lineRule="exact"/>
        <w:rPr>
          <w:sz w:val="20"/>
          <w:szCs w:val="20"/>
          <w:color w:val="auto"/>
        </w:rPr>
      </w:pPr>
    </w:p>
    <w:p>
      <w:pPr>
        <w:ind w:right="80" w:firstLine="579"/>
        <w:spacing w:after="0" w:line="289" w:lineRule="auto"/>
        <w:rPr>
          <w:sz w:val="20"/>
          <w:szCs w:val="20"/>
          <w:color w:val="auto"/>
        </w:rPr>
      </w:pPr>
      <w:r>
        <w:rPr>
          <w:rFonts w:ascii="Arial" w:cs="Arial" w:eastAsia="Arial" w:hAnsi="Arial"/>
          <w:sz w:val="16"/>
          <w:szCs w:val="16"/>
          <w:color w:val="auto"/>
        </w:rPr>
        <w:t>Subscription and hosting costs increased primarily due to growth in our Total Customer base from 68,803 as of September 30, 2019 to 95,634 as of September 30, 2020. Additionally, we saw higher subscription and hosting costs as we focus on the security, reliability and performance of our CRM platform. Amortization of capitalized software development costs increased due to the increased number of developers working on our software platform as we continue to develop new products and increased functionality. Employee-related costs increased as a result of increased headcount as we continue to grow our customer support organization to support our customer growth and improve service levels and offerings.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quarter ended September 30, 2020.</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22"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Subscription and hosting costs increased primarily due to growth in our Total Customer base from 68,803 as of September 30, 2019 to 95,634 as of September 30, 2020. Additionally, we saw higher subscription and hosting costs as we focus on the security, reliability and performance of our CRM platform. Amortization of capitalized software development costs increased due to the increased number of developers working on our software platform as we continue to develop new products and increased functionality. Employee-related costs increased as a result of increased headcount as we continue to grow our customer support organization to support our customer growth and improve service levels and offerings, offset by reduced discretionary spending as a result of the pandemic.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quarter ended September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Nine Months Ended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0"/>
        </w:trPr>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35"/>
        </w:trPr>
        <w:tc>
          <w:tcPr>
            <w:tcW w:w="3320" w:type="dxa"/>
            <w:vAlign w:val="bottom"/>
            <w:gridSpan w:val="2"/>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0"/>
                <w:szCs w:val="20"/>
                <w:color w:val="auto"/>
              </w:rPr>
            </w:pPr>
          </w:p>
        </w:tc>
      </w:tr>
      <w:tr>
        <w:trPr>
          <w:trHeight w:val="207"/>
        </w:trPr>
        <w:tc>
          <w:tcPr>
            <w:tcW w:w="360" w:type="dxa"/>
            <w:vAlign w:val="bottom"/>
          </w:tcPr>
          <w:p>
            <w:pPr>
              <w:spacing w:after="0"/>
              <w:rPr>
                <w:sz w:val="17"/>
                <w:szCs w:val="17"/>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Professional services and other cost of</w:t>
            </w:r>
          </w:p>
        </w:tc>
        <w:tc>
          <w:tcPr>
            <w:tcW w:w="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Pr>
          <w:p>
            <w:pPr>
              <w:spacing w:after="0"/>
              <w:rPr>
                <w:sz w:val="17"/>
                <w:szCs w:val="17"/>
                <w:color w:val="auto"/>
              </w:rPr>
            </w:pPr>
          </w:p>
        </w:tc>
      </w:tr>
      <w:tr>
        <w:trPr>
          <w:trHeight w:val="229"/>
        </w:trPr>
        <w:tc>
          <w:tcPr>
            <w:tcW w:w="360" w:type="dxa"/>
            <w:vAlign w:val="bottom"/>
          </w:tcPr>
          <w:p>
            <w:pPr>
              <w:spacing w:after="0"/>
              <w:rPr>
                <w:sz w:val="19"/>
                <w:szCs w:val="19"/>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9,422</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7,592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   1,830</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24% $</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26,348</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23,433</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2,915</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r>
      <w:tr>
        <w:trPr>
          <w:trHeight w:val="214"/>
        </w:trPr>
        <w:tc>
          <w:tcPr>
            <w:tcW w:w="3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1"/>
              </w:rPr>
              <w:t>Percentage of professional services and</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7"/>
        </w:trPr>
        <w:tc>
          <w:tcPr>
            <w:tcW w:w="3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9"/>
        </w:trPr>
        <w:tc>
          <w:tcPr>
            <w:tcW w:w="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6"/>
        </w:trPr>
        <w:tc>
          <w:tcPr>
            <w:tcW w:w="3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7" w:name="page28"/>
    <w:bookmarkEnd w:id="27"/>
    <w:p>
      <w:pPr>
        <w:ind w:firstLine="510"/>
        <w:spacing w:after="0" w:line="272" w:lineRule="auto"/>
        <w:rPr>
          <w:sz w:val="20"/>
          <w:szCs w:val="20"/>
          <w:color w:val="auto"/>
        </w:rPr>
      </w:pPr>
      <w:r>
        <w:rPr>
          <w:rFonts w:ascii="Arial" w:cs="Arial" w:eastAsia="Arial" w:hAnsi="Arial"/>
          <w:sz w:val="18"/>
          <w:szCs w:val="18"/>
          <w:color w:val="auto"/>
        </w:rPr>
        <w:t>The increase in professional services and other cost of revenue for the three and nine months ended September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tcPr>
          <w:p>
            <w:pPr>
              <w:ind w:left="880"/>
              <w:spacing w:after="0"/>
              <w:rPr>
                <w:sz w:val="20"/>
                <w:szCs w:val="20"/>
                <w:color w:val="auto"/>
              </w:rPr>
            </w:pPr>
            <w:r>
              <w:rPr>
                <w:rFonts w:ascii="Arial" w:cs="Arial" w:eastAsia="Arial" w:hAnsi="Arial"/>
                <w:sz w:val="14"/>
                <w:szCs w:val="14"/>
                <w:b w:val="1"/>
                <w:bCs w:val="1"/>
                <w:color w:val="auto"/>
              </w:rPr>
              <w:t>Change</w:t>
            </w:r>
          </w:p>
        </w:tc>
      </w:tr>
      <w:tr>
        <w:trPr>
          <w:trHeight w:val="213"/>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Three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Nine Months</w:t>
            </w:r>
          </w:p>
        </w:tc>
        <w:tc>
          <w:tcPr>
            <w:tcW w:w="80" w:type="dxa"/>
            <w:vAlign w:val="bottom"/>
          </w:tcPr>
          <w:p>
            <w:pPr>
              <w:spacing w:after="0"/>
              <w:rPr>
                <w:sz w:val="18"/>
                <w:szCs w:val="18"/>
                <w:color w:val="auto"/>
              </w:rPr>
            </w:pPr>
          </w:p>
        </w:tc>
      </w:tr>
      <w:tr>
        <w:trPr>
          <w:trHeight w:val="221"/>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right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80" w:type="dxa"/>
            <w:vAlign w:val="bottom"/>
            <w:shd w:val="clear" w:color="auto" w:fill="CFF0FC"/>
          </w:tcPr>
          <w:p>
            <w:pPr>
              <w:spacing w:after="0"/>
              <w:rPr>
                <w:sz w:val="19"/>
                <w:szCs w:val="19"/>
                <w:color w:val="auto"/>
              </w:rPr>
            </w:pPr>
          </w:p>
        </w:tc>
      </w:tr>
      <w:tr>
        <w:trPr>
          <w:trHeight w:val="234"/>
        </w:trPr>
        <w:tc>
          <w:tcPr>
            <w:tcW w:w="5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1,830</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2,915</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56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89" w:lineRule="exact"/>
        <w:rPr>
          <w:sz w:val="20"/>
          <w:szCs w:val="20"/>
          <w:color w:val="auto"/>
        </w:rPr>
      </w:pPr>
    </w:p>
    <w:p>
      <w:pPr>
        <w:ind w:right="56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vMerge w:val="restart"/>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440" w:type="dxa"/>
            <w:vAlign w:val="bottom"/>
            <w:vMerge w:val="restart"/>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640" w:type="dxa"/>
            <w:vAlign w:val="bottom"/>
            <w:tcBorders>
              <w:top w:val="single" w:sz="8" w:color="auto"/>
              <w:bottom w:val="single" w:sz="8" w:color="auto"/>
            </w:tcBorders>
          </w:tcPr>
          <w:p>
            <w:pPr>
              <w:jc w:val="right"/>
              <w:ind w:right="101"/>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CFF0FC"/>
            </w:tcBorders>
            <w:vMerge w:val="continue"/>
          </w:tcPr>
          <w:p>
            <w:pPr>
              <w:spacing w:after="0"/>
              <w:rPr>
                <w:sz w:val="13"/>
                <w:szCs w:val="13"/>
                <w:color w:val="auto"/>
              </w:rPr>
            </w:pPr>
          </w:p>
        </w:tc>
        <w:tc>
          <w:tcPr>
            <w:tcW w:w="700" w:type="dxa"/>
            <w:vAlign w:val="bottom"/>
            <w:tcBorders>
              <w:top w:val="single" w:sz="8" w:color="auto"/>
              <w:bottom w:val="single" w:sz="8" w:color="auto"/>
            </w:tcBorders>
          </w:tcPr>
          <w:p>
            <w:pPr>
              <w:jc w:val="right"/>
              <w:ind w:right="14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$ 54,456</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$ 39,847</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$ 14,609</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$ 150,026</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$115,480</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$ 34,546</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0"/>
        </w:trPr>
        <w:tc>
          <w:tcPr>
            <w:tcW w:w="28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The increase in research and development expense for the three and nine months ended September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8"/>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28,671</w:t>
            </w:r>
          </w:p>
        </w:tc>
        <w:tc>
          <w:tcPr>
            <w:tcW w:w="80" w:type="dxa"/>
            <w:vAlign w:val="bottom"/>
            <w:shd w:val="clear" w:color="auto" w:fill="CFF0FC"/>
          </w:tcPr>
          <w:p>
            <w:pPr>
              <w:spacing w:after="0"/>
              <w:rPr>
                <w:sz w:val="19"/>
                <w:szCs w:val="19"/>
                <w:color w:val="auto"/>
              </w:rPr>
            </w:pPr>
          </w:p>
        </w:tc>
      </w:tr>
      <w:tr>
        <w:trPr>
          <w:trHeight w:val="228"/>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80" w:type="dxa"/>
            <w:vAlign w:val="bottom"/>
            <w:tcBorders>
              <w:bottom w:val="single" w:sz="8" w:color="CFF0FC"/>
            </w:tcBorders>
          </w:tcPr>
          <w:p>
            <w:pPr>
              <w:spacing w:after="0"/>
              <w:rPr>
                <w:sz w:val="19"/>
                <w:szCs w:val="19"/>
                <w:color w:val="auto"/>
              </w:rPr>
            </w:pPr>
          </w:p>
        </w:tc>
      </w:tr>
      <w:tr>
        <w:trPr>
          <w:trHeight w:val="234"/>
        </w:trPr>
        <w:tc>
          <w:tcPr>
            <w:tcW w:w="5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14,609</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right="200" w:firstLine="510"/>
        <w:spacing w:after="0" w:line="260"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CRM platform. Allocated overhead expense increased due to expanding our leased space and infrastructure as we continue to grow our business and expand headcount.</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89" w:lineRule="exact"/>
        <w:rPr>
          <w:sz w:val="20"/>
          <w:szCs w:val="20"/>
          <w:color w:val="auto"/>
        </w:rPr>
      </w:pPr>
    </w:p>
    <w:p>
      <w:pPr>
        <w:jc w:val="both"/>
        <w:ind w:right="18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engineering organization to develop new products, increase functionality and to maintain our existing CRM platform, slightly offset by reduced discretionary spending as a result of the pandemic. Allocated overhead expense increased due to expanding our leased space and infrastructure as we continue to grow our business and expand headcount.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28" w:name="page29"/>
    <w:bookmarkEnd w:id="28"/>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vMerge w:val="restart"/>
          </w:tcPr>
          <w:p>
            <w:pPr>
              <w:spacing w:after="0"/>
              <w:rPr>
                <w:sz w:val="14"/>
                <w:szCs w:val="14"/>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vMerge w:val="restart"/>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680" w:type="dxa"/>
            <w:vAlign w:val="bottom"/>
            <w:tcBorders>
              <w:top w:val="single" w:sz="8" w:color="auto"/>
              <w:bottom w:val="single" w:sz="8" w:color="auto"/>
            </w:tcBorders>
          </w:tcPr>
          <w:p>
            <w:pPr>
              <w:jc w:val="right"/>
              <w:ind w:right="12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720" w:type="dxa"/>
            <w:vAlign w:val="bottom"/>
            <w:tcBorders>
              <w:top w:val="single" w:sz="8" w:color="auto"/>
              <w:bottom w:val="single" w:sz="8" w:color="auto"/>
            </w:tcBorders>
          </w:tcPr>
          <w:p>
            <w:pPr>
              <w:jc w:val="right"/>
              <w:ind w:right="14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$119,299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$ 91,283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$ 28,016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$ 324,230</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$ 250,267</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$ 73,963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28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60" w:firstLine="510"/>
        <w:spacing w:after="0" w:line="272" w:lineRule="auto"/>
        <w:rPr>
          <w:sz w:val="20"/>
          <w:szCs w:val="20"/>
          <w:color w:val="auto"/>
        </w:rPr>
      </w:pPr>
      <w:r>
        <w:rPr>
          <w:rFonts w:ascii="Arial" w:cs="Arial" w:eastAsia="Arial" w:hAnsi="Arial"/>
          <w:sz w:val="18"/>
          <w:szCs w:val="18"/>
          <w:color w:val="auto"/>
        </w:rPr>
        <w:t>The increase in sales and marketing expense for the three and nine months ended September 30, 2020, compared to the same period in 2019 was primarily due to the following:</w:t>
      </w:r>
    </w:p>
    <w:p>
      <w:pPr>
        <w:spacing w:after="0" w:line="3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6"/>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47,718</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10,656</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80" w:type="dxa"/>
            <w:vAlign w:val="bottom"/>
            <w:shd w:val="clear" w:color="auto" w:fill="CFF0FC"/>
          </w:tcPr>
          <w:p>
            <w:pPr>
              <w:spacing w:after="0"/>
              <w:rPr>
                <w:sz w:val="19"/>
                <w:szCs w:val="19"/>
                <w:color w:val="auto"/>
              </w:rPr>
            </w:pPr>
          </w:p>
        </w:tc>
      </w:tr>
      <w:tr>
        <w:trPr>
          <w:trHeight w:val="228"/>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80" w:type="dxa"/>
            <w:vAlign w:val="bottom"/>
            <w:tcBorders>
              <w:bottom w:val="single" w:sz="8" w:color="CFF0FC"/>
            </w:tcBorders>
          </w:tcPr>
          <w:p>
            <w:pPr>
              <w:spacing w:after="0"/>
              <w:rPr>
                <w:sz w:val="19"/>
                <w:szCs w:val="19"/>
                <w:color w:val="auto"/>
              </w:rPr>
            </w:pPr>
          </w:p>
        </w:tc>
      </w:tr>
      <w:tr>
        <w:trPr>
          <w:trHeight w:val="221"/>
        </w:trPr>
        <w:tc>
          <w:tcPr>
            <w:tcW w:w="5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160" w:firstLine="510"/>
        <w:spacing w:after="0" w:line="298"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Solutions Partner commissions increased as a result of increased revenue generated through our partners. Allocated overhead expenses increased due to expanding our leased space and infrastructure as we continue to grow our business and expand headcount. Marketing programs increased due to the timing and size of certain marketing efforts as we continue to make investments in attracting new customers.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8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Employee-related costs increased as a result of increased headcount as we continue to expand our selling and marketing organizations to grow our customer base, offset by reduced discretionary spending as a result of the pandemic. Solutions Partner commissions increased as a result of increased revenue generated through our partners. Allocated overhead expenses increased due to expanding our leased space and infrastructure as we continue to grow our business and expand headcount. Marketing programs increased due to the timing and size of certain marketing efforts as we continue to make investments in attracting new customers.</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1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12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$ 27,488</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$ 23,300</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4,188</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$ 80,228</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$ 67,777</w:t>
            </w: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$ 12,451</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firstLine="510"/>
        <w:spacing w:after="0" w:line="272" w:lineRule="auto"/>
        <w:rPr>
          <w:sz w:val="20"/>
          <w:szCs w:val="20"/>
          <w:color w:val="auto"/>
        </w:rPr>
      </w:pPr>
      <w:r>
        <w:rPr>
          <w:rFonts w:ascii="Arial" w:cs="Arial" w:eastAsia="Arial" w:hAnsi="Arial"/>
          <w:sz w:val="18"/>
          <w:szCs w:val="18"/>
          <w:color w:val="auto"/>
        </w:rPr>
        <w:t>The increase in general and administrative expense for the three and nine months ended September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4,719</w:t>
            </w:r>
          </w:p>
        </w:tc>
        <w:tc>
          <w:tcPr>
            <w:tcW w:w="80" w:type="dxa"/>
            <w:vAlign w:val="bottom"/>
          </w:tcPr>
          <w:p>
            <w:pPr>
              <w:spacing w:after="0"/>
              <w:rPr>
                <w:sz w:val="19"/>
                <w:szCs w:val="19"/>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Customer credit card fees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FF0FC"/>
          </w:tcPr>
          <w:p>
            <w:pPr>
              <w:spacing w:after="0"/>
              <w:rPr>
                <w:sz w:val="19"/>
                <w:szCs w:val="19"/>
                <w:color w:val="auto"/>
              </w:rPr>
            </w:pPr>
          </w:p>
        </w:tc>
      </w:tr>
      <w:tr>
        <w:trPr>
          <w:trHeight w:val="234"/>
        </w:trPr>
        <w:tc>
          <w:tcPr>
            <w:tcW w:w="5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12,451</w:t>
            </w:r>
          </w:p>
        </w:tc>
        <w:tc>
          <w:tcPr>
            <w:tcW w:w="8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9" w:name="page30"/>
    <w:bookmarkEnd w:id="29"/>
    <w:p>
      <w:pPr>
        <w:jc w:val="both"/>
        <w:ind w:right="14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89"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Employee-related costs increased as a result of increased headcount as we continue to grow our business and require additional personnel to support our expanded operations, offset by reduced discretionary spending as a result of the pandemic.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440" w:type="dxa"/>
            <w:vAlign w:val="bottom"/>
            <w:gridSpan w:val="2"/>
          </w:tcPr>
          <w:p>
            <w:pPr>
              <w:jc w:val="right"/>
              <w:ind w:right="651"/>
              <w:spacing w:after="0"/>
              <w:rPr>
                <w:sz w:val="20"/>
                <w:szCs w:val="20"/>
                <w:color w:val="auto"/>
              </w:rPr>
            </w:pPr>
            <w:r>
              <w:rPr>
                <w:rFonts w:ascii="Arial" w:cs="Arial" w:eastAsia="Arial" w:hAnsi="Arial"/>
                <w:sz w:val="14"/>
                <w:szCs w:val="14"/>
                <w:b w:val="1"/>
                <w:bCs w:val="1"/>
                <w:color w:val="auto"/>
              </w:rPr>
              <w:t>% Change</w:t>
            </w:r>
          </w:p>
        </w:tc>
      </w:tr>
      <w:tr>
        <w:trPr>
          <w:trHeight w:val="221"/>
        </w:trPr>
        <w:tc>
          <w:tcPr>
            <w:tcW w:w="26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rPr>
              <w:t>958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5,185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(4,227)</w:t>
            </w: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14,783</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(7,633)</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80" w:type="dxa"/>
            <w:vAlign w:val="bottom"/>
            <w:tcBorders>
              <w:top w:val="single" w:sz="8" w:color="CFF0FC"/>
            </w:tcBorders>
            <w:shd w:val="clear" w:color="auto" w:fill="CFF0FC"/>
          </w:tcPr>
          <w:p>
            <w:pPr>
              <w:jc w:val="right"/>
              <w:ind w:right="391"/>
              <w:spacing w:after="0"/>
              <w:rPr>
                <w:sz w:val="20"/>
                <w:szCs w:val="20"/>
                <w:color w:val="auto"/>
              </w:rPr>
            </w:pPr>
            <w:r>
              <w:rPr>
                <w:rFonts w:ascii="Arial" w:cs="Arial" w:eastAsia="Arial" w:hAnsi="Arial"/>
                <w:sz w:val="18"/>
                <w:szCs w:val="18"/>
                <w:color w:val="auto"/>
              </w:rPr>
              <w:t>%</w:t>
            </w:r>
          </w:p>
        </w:tc>
      </w:tr>
      <w:tr>
        <w:trPr>
          <w:trHeight w:val="227"/>
        </w:trPr>
        <w:tc>
          <w:tcPr>
            <w:tcW w:w="26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(7,062)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(5,760)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(1,302)</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(29,823)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(16,946)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(12,877)</w:t>
            </w:r>
          </w:p>
        </w:tc>
        <w:tc>
          <w:tcPr>
            <w:tcW w:w="144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76%</w:t>
            </w:r>
          </w:p>
        </w:tc>
      </w:tr>
      <w:tr>
        <w:trPr>
          <w:trHeight w:val="227"/>
        </w:trPr>
        <w:tc>
          <w:tcPr>
            <w:tcW w:w="26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(379)</w:t>
            </w:r>
          </w:p>
        </w:tc>
        <w:tc>
          <w:tcPr>
            <w:tcW w:w="1440" w:type="dxa"/>
            <w:vAlign w:val="bottom"/>
            <w:gridSpan w:val="2"/>
            <w:shd w:val="clear" w:color="auto" w:fill="CFF0FC"/>
          </w:tcPr>
          <w:p>
            <w:pPr>
              <w:jc w:val="right"/>
              <w:ind w:right="451"/>
              <w:spacing w:after="0"/>
              <w:rPr>
                <w:sz w:val="20"/>
                <w:szCs w:val="20"/>
                <w:color w:val="auto"/>
              </w:rPr>
            </w:pPr>
            <w:r>
              <w:rPr>
                <w:rFonts w:ascii="Arial" w:cs="Arial" w:eastAsia="Arial" w:hAnsi="Arial"/>
                <w:sz w:val="18"/>
                <w:szCs w:val="18"/>
                <w:color w:val="auto"/>
              </w:rPr>
              <w:t>49%</w:t>
            </w:r>
          </w:p>
        </w:tc>
      </w:tr>
      <w:tr>
        <w:trPr>
          <w:trHeight w:val="227"/>
        </w:trPr>
        <w:tc>
          <w:tcPr>
            <w:tcW w:w="26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5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20"/>
              <w:spacing w:after="0"/>
              <w:rPr>
                <w:sz w:val="20"/>
                <w:szCs w:val="20"/>
                <w:color w:val="auto"/>
              </w:rPr>
            </w:pPr>
            <w:r>
              <w:rPr>
                <w:rFonts w:ascii="Arial" w:cs="Arial" w:eastAsia="Arial" w:hAnsi="Arial"/>
                <w:sz w:val="18"/>
                <w:szCs w:val="18"/>
                <w:color w:val="auto"/>
              </w:rPr>
              <w:t>not meaningful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15" w:lineRule="exact"/>
        <w:rPr>
          <w:sz w:val="20"/>
          <w:szCs w:val="20"/>
          <w:color w:val="auto"/>
        </w:rPr>
      </w:pPr>
    </w:p>
    <w:p>
      <w:pPr>
        <w:jc w:val="both"/>
        <w:ind w:right="120" w:firstLine="544"/>
        <w:spacing w:after="0" w:line="272"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three and nine months ended September 30, 2020 is due to a decrease in yields on our investment balances.</w:t>
      </w:r>
    </w:p>
    <w:p>
      <w:pPr>
        <w:spacing w:after="0" w:line="174" w:lineRule="exact"/>
        <w:rPr>
          <w:sz w:val="20"/>
          <w:szCs w:val="20"/>
          <w:color w:val="auto"/>
        </w:rPr>
      </w:pPr>
    </w:p>
    <w:p>
      <w:pPr>
        <w:jc w:val="both"/>
        <w:ind w:right="120" w:firstLine="544"/>
        <w:spacing w:after="0" w:line="260"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increase during the nine months ended September 30, 2020 was primarily due to the $10.5 million loss on the early extinguishment of our 2022 Notes.</w:t>
      </w:r>
    </w:p>
    <w:p>
      <w:pPr>
        <w:spacing w:after="0" w:line="185" w:lineRule="exact"/>
        <w:rPr>
          <w:sz w:val="20"/>
          <w:szCs w:val="20"/>
          <w:color w:val="auto"/>
        </w:rPr>
      </w:pPr>
    </w:p>
    <w:p>
      <w:pPr>
        <w:ind w:right="200" w:firstLine="544"/>
        <w:spacing w:after="0" w:line="302" w:lineRule="auto"/>
        <w:rPr>
          <w:sz w:val="20"/>
          <w:szCs w:val="20"/>
          <w:color w:val="auto"/>
        </w:rPr>
      </w:pPr>
      <w:r>
        <w:rPr>
          <w:rFonts w:ascii="Arial" w:cs="Arial" w:eastAsia="Arial" w:hAnsi="Arial"/>
          <w:sz w:val="17"/>
          <w:szCs w:val="17"/>
          <w:color w:val="auto"/>
        </w:rPr>
        <w:t>Other expense primarily consists of the impact of foreign currency transaction gains and losses associated with monetary assets and liabilities. The (decrease) increase during the three and nine months ended September 30, 2020 was primarily due to exchange rate fluctuations.</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7"/>
              </w:rPr>
              <w:t>Nine Months Ended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20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3"/>
          </w:tcPr>
          <w:p>
            <w:pPr>
              <w:jc w:val="right"/>
              <w:ind w:right="327"/>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(926)</w:t>
            </w:r>
          </w:p>
        </w:tc>
        <w:tc>
          <w:tcPr>
            <w:tcW w:w="2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right w:val="single" w:sz="8" w:color="CFF0FC"/>
            </w:tcBorders>
            <w:vMerge w:val="continue"/>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(675)</w:t>
            </w:r>
          </w:p>
        </w:tc>
        <w:tc>
          <w:tcPr>
            <w:tcW w:w="160" w:type="dxa"/>
            <w:vAlign w:val="bottom"/>
            <w:vMerge w:val="continue"/>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(2,603)</w:t>
            </w:r>
          </w:p>
        </w:tc>
        <w:tc>
          <w:tcPr>
            <w:tcW w:w="260" w:type="dxa"/>
            <w:vAlign w:val="bottom"/>
            <w:tcBorders>
              <w:right w:val="single" w:sz="8" w:color="CFF0FC"/>
            </w:tcBorders>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(1,675)</w:t>
            </w:r>
          </w:p>
        </w:tc>
        <w:tc>
          <w:tcPr>
            <w:tcW w:w="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80" w:type="dxa"/>
            <w:vAlign w:val="bottom"/>
            <w:vMerge w:val="continue"/>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Effective tax rate</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0" w:name="page31"/>
    <w:bookmarkEnd w:id="30"/>
    <w:p>
      <w:pPr>
        <w:ind w:left="760"/>
        <w:spacing w:after="0"/>
        <w:rPr>
          <w:sz w:val="20"/>
          <w:szCs w:val="20"/>
          <w:color w:val="auto"/>
        </w:rPr>
      </w:pPr>
      <w:r>
        <w:rPr>
          <w:rFonts w:ascii="Arial" w:cs="Arial" w:eastAsia="Arial" w:hAnsi="Arial"/>
          <w:sz w:val="18"/>
          <w:szCs w:val="18"/>
          <w:color w:val="auto"/>
        </w:rPr>
        <w:t>Income tax expense consists of current and deferred taxes for U.S. and foreign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680" w:firstLine="510"/>
        <w:spacing w:after="0" w:line="272"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74" w:lineRule="exact"/>
        <w:rPr>
          <w:sz w:val="20"/>
          <w:szCs w:val="20"/>
          <w:color w:val="auto"/>
        </w:rPr>
      </w:pPr>
    </w:p>
    <w:p>
      <w:pPr>
        <w:jc w:val="both"/>
        <w:ind w:right="260" w:firstLine="510"/>
        <w:spacing w:after="0" w:line="260"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nine months ended September 30, 2020 and 2019.</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4"/>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left="577"/>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124,895</w:t>
            </w:r>
          </w:p>
        </w:tc>
        <w:tc>
          <w:tcPr>
            <w:tcW w:w="48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225,770</w:t>
            </w:r>
          </w:p>
        </w:tc>
        <w:tc>
          <w:tcPr>
            <w:tcW w:w="80" w:type="dxa"/>
            <w:vAlign w:val="bottom"/>
            <w:shd w:val="clear" w:color="auto" w:fill="CFF0FC"/>
          </w:tcPr>
          <w:p>
            <w:pPr>
              <w:spacing w:after="0"/>
              <w:rPr>
                <w:sz w:val="19"/>
                <w:szCs w:val="19"/>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986,442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800,321</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4"/>
              </w:rPr>
              <w:t>Net cash and cash equivalents provided by operating activities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27,988</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71,082</w:t>
            </w:r>
          </w:p>
        </w:tc>
        <w:tc>
          <w:tcPr>
            <w:tcW w:w="80" w:type="dxa"/>
            <w:vAlign w:val="bottom"/>
            <w:shd w:val="clear" w:color="auto" w:fill="CFF0FC"/>
          </w:tcPr>
          <w:p>
            <w:pPr>
              <w:spacing w:after="0"/>
              <w:rPr>
                <w:sz w:val="19"/>
                <w:szCs w:val="19"/>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(398,637)</w:t>
            </w:r>
          </w:p>
        </w:tc>
        <w:tc>
          <w:tcPr>
            <w:tcW w:w="4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(309,269)</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5"/>
              </w:rPr>
              <w:t>Net cash and cash equivalents provided by financing activities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217,697</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356,538</w:t>
            </w:r>
          </w:p>
        </w:tc>
        <w:tc>
          <w:tcPr>
            <w:tcW w:w="80" w:type="dxa"/>
            <w:vAlign w:val="bottom"/>
            <w:shd w:val="clear" w:color="auto" w:fill="CFF0FC"/>
          </w:tcPr>
          <w:p>
            <w:pPr>
              <w:spacing w:after="0"/>
              <w:rPr>
                <w:sz w:val="19"/>
                <w:szCs w:val="19"/>
                <w:color w:val="auto"/>
              </w:rPr>
            </w:pPr>
          </w:p>
        </w:tc>
      </w:tr>
    </w:tbl>
    <w:p>
      <w:pPr>
        <w:spacing w:after="0" w:line="267" w:lineRule="exact"/>
        <w:rPr>
          <w:sz w:val="20"/>
          <w:szCs w:val="20"/>
          <w:color w:val="auto"/>
        </w:rPr>
      </w:pPr>
    </w:p>
    <w:p>
      <w:pPr>
        <w:ind w:right="120" w:firstLine="510"/>
        <w:spacing w:after="0" w:line="298" w:lineRule="auto"/>
        <w:rPr>
          <w:sz w:val="20"/>
          <w:szCs w:val="20"/>
          <w:color w:val="auto"/>
        </w:rPr>
      </w:pPr>
      <w:r>
        <w:rPr>
          <w:rFonts w:ascii="Arial" w:cs="Arial" w:eastAsia="Arial" w:hAnsi="Arial"/>
          <w:sz w:val="16"/>
          <w:szCs w:val="16"/>
          <w:color w:val="auto"/>
        </w:rPr>
        <w:t>Our cash and cash equivalents at September 30, 2020 were held for working capital purposes. At September 30, 2020, $62.3 million of our cash and cash equivalents was held in accounts outside the United States. We do not assert indefinite reinvestment of our foreign earnings because these earnings have been subject to United States federal income tax. While we have concluded that any incremental tax incurred upon ultimate distribution of these earnings to be immaterial, our current plans do not demonstrate a need to repatriate undistributed earnings to fund our U.S. operations.</w:t>
      </w:r>
    </w:p>
    <w:p>
      <w:pPr>
        <w:spacing w:after="0" w:line="239"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15" w:lineRule="exact"/>
        <w:rPr>
          <w:sz w:val="20"/>
          <w:szCs w:val="20"/>
          <w:color w:val="auto"/>
        </w:rPr>
      </w:pPr>
    </w:p>
    <w:p>
      <w:pPr>
        <w:ind w:right="380" w:firstLine="510"/>
        <w:spacing w:after="0" w:line="272"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4" w:lineRule="exact"/>
        <w:rPr>
          <w:sz w:val="20"/>
          <w:szCs w:val="20"/>
          <w:color w:val="auto"/>
        </w:rPr>
      </w:pPr>
    </w:p>
    <w:p>
      <w:pPr>
        <w:ind w:right="80" w:firstLine="544"/>
        <w:spacing w:after="0" w:line="268" w:lineRule="auto"/>
        <w:rPr>
          <w:sz w:val="20"/>
          <w:szCs w:val="20"/>
          <w:color w:val="auto"/>
        </w:rPr>
      </w:pPr>
      <w:r>
        <w:rPr>
          <w:rFonts w:ascii="Arial" w:cs="Arial" w:eastAsia="Arial" w:hAnsi="Arial"/>
          <w:sz w:val="17"/>
          <w:szCs w:val="17"/>
          <w:color w:val="auto"/>
        </w:rPr>
        <w:t>Net cash and cash equivalents provided by operating activities during the nine months ended September 30, 2020, primarily reflected our net loss of $69.6 million, the portion of the repayment of the 2022 Notes attributable to the debt discount of $48.7 million, benefit for deferred income taxes of $0.7 million and accretion of bond discounts of $3.7 million, offset by non-cash expenses that included $27.1 million of depreciation and amortization, $90.0 million in stock-based compensation, $10.5 million of loss on early extinguishment of 2022 Notes and $18.2 million of amortization of debt discount and issuance costs. Working capital sources of cash and cash equivalents included a $21.5 million increase in deferred revenue primarily resulting from the growth in the number of customers invoiced during the period, a $22.6 million increase in right-of-use assets, a $3.1 million increase in accounts payable related to timing of bill payments and an $13.8 million increase in accrued expenses and other liabilities. These sources of cash and cash equivalents were offset by a $22.6 million increase in prepaid expenses and other assets, a $21.6 million decrease in operating lease liabilities, and a $11.4 million increase in deferred commissions.</w:t>
      </w:r>
    </w:p>
    <w:p>
      <w:pPr>
        <w:spacing w:after="0" w:line="180" w:lineRule="exact"/>
        <w:rPr>
          <w:sz w:val="20"/>
          <w:szCs w:val="20"/>
          <w:color w:val="auto"/>
        </w:rPr>
      </w:pPr>
    </w:p>
    <w:p>
      <w:pPr>
        <w:ind w:firstLine="544"/>
        <w:spacing w:after="0" w:line="291" w:lineRule="auto"/>
        <w:rPr>
          <w:sz w:val="20"/>
          <w:szCs w:val="20"/>
          <w:color w:val="auto"/>
        </w:rPr>
      </w:pPr>
      <w:r>
        <w:rPr>
          <w:rFonts w:ascii="Arial" w:cs="Arial" w:eastAsia="Arial" w:hAnsi="Arial"/>
          <w:sz w:val="16"/>
          <w:szCs w:val="16"/>
          <w:color w:val="auto"/>
        </w:rPr>
        <w:t>Net cash and cash equivalents provided by operating activities during the nine months ended September 30, 2019 primarily reflected our net loss of $43.4 million and accretion of bond discounts of $10.9 million offset by non-cash expenses that included $21.2 million of depreciation and amortization, $73.7 million in stock-based compensation and $16.2 million of amortization of debt discount and issuance costs. Working capital sources of cash and cash equivalents included a $20.9 million increase in deferred revenue primarily resulting from the growth in the number of customers invoiced during the period, a $14.3 million increase in right-of-use assets, a $6.2 million increase in accounts payable related to timing of bill payments, and a $1.0 million decrease in accrued expenses and other liabilities. These sources of cash and cash equivalents were offset by a $1.3 million increase in accounts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1" w:name="page32"/>
    <w:bookmarkEnd w:id="31"/>
    <w:p>
      <w:pPr>
        <w:ind w:right="320"/>
        <w:spacing w:after="0" w:line="272" w:lineRule="auto"/>
        <w:rPr>
          <w:sz w:val="20"/>
          <w:szCs w:val="20"/>
          <w:color w:val="auto"/>
        </w:rPr>
      </w:pPr>
      <w:r>
        <w:rPr>
          <w:rFonts w:ascii="Arial" w:cs="Arial" w:eastAsia="Arial" w:hAnsi="Arial"/>
          <w:sz w:val="18"/>
          <w:szCs w:val="18"/>
          <w:color w:val="auto"/>
        </w:rPr>
        <w:t>receivable, a $6.2 million increase in prepaid expenses and other assets, a $5.6 million increase in deferred commissions, and a $14.8 million decrease in lease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15" w:lineRule="exact"/>
        <w:rPr>
          <w:sz w:val="20"/>
          <w:szCs w:val="20"/>
          <w:color w:val="auto"/>
        </w:rPr>
      </w:pPr>
    </w:p>
    <w:p>
      <w:pPr>
        <w:ind w:right="140" w:firstLine="544"/>
        <w:spacing w:after="0" w:line="260" w:lineRule="auto"/>
        <w:rPr>
          <w:sz w:val="20"/>
          <w:szCs w:val="20"/>
          <w:color w:val="auto"/>
        </w:rPr>
      </w:pPr>
      <w:r>
        <w:rPr>
          <w:rFonts w:ascii="Arial" w:cs="Arial" w:eastAsia="Arial" w:hAnsi="Arial"/>
          <w:sz w:val="18"/>
          <w:szCs w:val="18"/>
          <w:color w:val="auto"/>
        </w:rPr>
        <w:t>Our investing activities have consisted primarily of purchases, maturities and sale of investments, property and equipment purchases, and capitalization of software development costs. Capitalized software development costs are related to new products or improvements to our existing software platform that expands the functionality for our customers.</w:t>
      </w:r>
    </w:p>
    <w:p>
      <w:pPr>
        <w:spacing w:after="0" w:line="185" w:lineRule="exact"/>
        <w:rPr>
          <w:sz w:val="20"/>
          <w:szCs w:val="20"/>
          <w:color w:val="auto"/>
        </w:rPr>
      </w:pPr>
    </w:p>
    <w:p>
      <w:pPr>
        <w:ind w:right="280" w:firstLine="544"/>
        <w:spacing w:after="0" w:line="256" w:lineRule="auto"/>
        <w:rPr>
          <w:sz w:val="20"/>
          <w:szCs w:val="20"/>
          <w:color w:val="auto"/>
        </w:rPr>
      </w:pPr>
      <w:r>
        <w:rPr>
          <w:rFonts w:ascii="Arial" w:cs="Arial" w:eastAsia="Arial" w:hAnsi="Arial"/>
          <w:sz w:val="18"/>
          <w:szCs w:val="18"/>
          <w:color w:val="auto"/>
        </w:rPr>
        <w:t>Net cash and cash equivalents used in investing activities during the nine months ended September 30, 2020 consisted primarily of $1.4 billion in purchases of investments, $27.8 million of purchased property and equipment, $2.0 million of purchases of strategic investments, and $15.6 million of capitalized software development costs. These uses of cash were offset by $1.0 billion received related to the maturity of investments and $10.9 million received for sale of investments.</w:t>
      </w:r>
    </w:p>
    <w:p>
      <w:pPr>
        <w:spacing w:after="0" w:line="189" w:lineRule="exact"/>
        <w:rPr>
          <w:sz w:val="20"/>
          <w:szCs w:val="20"/>
          <w:color w:val="auto"/>
        </w:rPr>
      </w:pPr>
    </w:p>
    <w:p>
      <w:pPr>
        <w:ind w:right="20" w:firstLine="580"/>
        <w:spacing w:after="0" w:line="282" w:lineRule="auto"/>
        <w:rPr>
          <w:sz w:val="20"/>
          <w:szCs w:val="20"/>
          <w:color w:val="auto"/>
        </w:rPr>
      </w:pPr>
      <w:r>
        <w:rPr>
          <w:rFonts w:ascii="Arial" w:cs="Arial" w:eastAsia="Arial" w:hAnsi="Arial"/>
          <w:sz w:val="17"/>
          <w:szCs w:val="17"/>
          <w:color w:val="auto"/>
        </w:rPr>
        <w:t>Net cash and cash equivalents used in investing activities during the nine months ended September 30, 2019 consisted primarily of $968.0 million in purchases of investments, $21.2 million of purchased property and equipment, $9.1 million of capitalized software development costs, and $0.6 million of purchases of strategic investments. These uses of cash were offset by $689.6 million received related to the maturity of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15" w:lineRule="exact"/>
        <w:rPr>
          <w:sz w:val="20"/>
          <w:szCs w:val="20"/>
          <w:color w:val="auto"/>
        </w:rPr>
      </w:pPr>
    </w:p>
    <w:p>
      <w:pPr>
        <w:ind w:right="120" w:firstLine="510"/>
        <w:spacing w:after="0" w:line="260"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2025 Notes offering, the various components of our 2022 Notes repayment, the issuance of our common stock under our stock plans, payments of employee taxes related to the net share settlement of stock-based awards, and repayments of our finance lease obligations.</w:t>
      </w:r>
    </w:p>
    <w:p>
      <w:pPr>
        <w:spacing w:after="0" w:line="185" w:lineRule="exact"/>
        <w:rPr>
          <w:sz w:val="20"/>
          <w:szCs w:val="20"/>
          <w:color w:val="auto"/>
        </w:rPr>
      </w:pPr>
    </w:p>
    <w:p>
      <w:pPr>
        <w:ind w:right="20" w:firstLine="544"/>
        <w:spacing w:after="0" w:line="293" w:lineRule="auto"/>
        <w:rPr>
          <w:sz w:val="20"/>
          <w:szCs w:val="20"/>
          <w:color w:val="auto"/>
        </w:rPr>
      </w:pPr>
      <w:r>
        <w:rPr>
          <w:rFonts w:ascii="Arial" w:cs="Arial" w:eastAsia="Arial" w:hAnsi="Arial"/>
          <w:sz w:val="16"/>
          <w:szCs w:val="16"/>
          <w:color w:val="auto"/>
        </w:rPr>
        <w:t>For the nine months ended September 30, 2020 cash provided by financing activities consisted of $450.1 million of net proceeds from the issuance of the 2025 Notes, $362.5 million of proceeds from the settlement of the Convertible Note Hedges related to the 2022 Notes, and $22.3 million of proceeds related to issuance of common stock under stock plans. This source of cash was offset by $234.4 million used for repayment of the 2022 Notes attributable to the principal, $327.5 million for payment to settle the Warrants related to the 2022 Notes, $50.6 million for payment of the Capped Call Options related to the 2025 Notes, and $4.6 million used for payment of employee taxes related to the net share settlement of stock-based awards.</w:t>
      </w:r>
    </w:p>
    <w:p>
      <w:pPr>
        <w:spacing w:after="0" w:line="164"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For the nine months ended September 30, 2019, cash provided by financing activities consisted primarily of $342.6 million of net proceeds related to common stock offering and $18.9 million of proceeds related to the issuance of common stock under stock plans. This source of cash was offset by $4.8 million used for payment of employee taxes related to the net share settlement of stock-based awards and $0.2 million used for repayments of capital lease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620" w:firstLine="510"/>
        <w:spacing w:after="0" w:line="336"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nine months ended September 30, 2020 as compared to the critical accounting policies and estimates disclosed in our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firstLine="510"/>
        <w:spacing w:after="0" w:line="260" w:lineRule="auto"/>
        <w:rPr>
          <w:sz w:val="20"/>
          <w:szCs w:val="20"/>
          <w:color w:val="auto"/>
        </w:rPr>
      </w:pPr>
      <w:r>
        <w:rPr>
          <w:rFonts w:ascii="Arial" w:cs="Arial" w:eastAsia="Arial" w:hAnsi="Arial"/>
          <w:sz w:val="18"/>
          <w:szCs w:val="18"/>
          <w:color w:val="auto"/>
        </w:rPr>
        <w:t>As of September 30, 2020, there were no material changes in our contractual obligations and commitments from those disclosed in the Annual Report on Form 10-K filed with the SEC on February 12, 2020, other than those in the notes to the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460" w:firstLine="510"/>
        <w:spacing w:after="0" w:line="260" w:lineRule="auto"/>
        <w:rPr>
          <w:sz w:val="20"/>
          <w:szCs w:val="20"/>
          <w:color w:val="auto"/>
        </w:rPr>
      </w:pPr>
      <w:r>
        <w:rPr>
          <w:rFonts w:ascii="Arial" w:cs="Arial" w:eastAsia="Arial" w:hAnsi="Arial"/>
          <w:sz w:val="18"/>
          <w:szCs w:val="18"/>
          <w:color w:val="auto"/>
        </w:rPr>
        <w:t>During the three months ended September 30, 2020 we had no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right="360" w:firstLine="544"/>
        <w:spacing w:after="0" w:line="282"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9" w:lineRule="exact"/>
        <w:rPr>
          <w:sz w:val="20"/>
          <w:szCs w:val="20"/>
          <w:color w:val="auto"/>
        </w:rPr>
      </w:pPr>
    </w:p>
    <w:p>
      <w:pPr>
        <w:ind w:right="40" w:firstLine="544"/>
        <w:spacing w:after="0" w:line="293"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firstLine="544"/>
        <w:spacing w:after="0" w:line="273"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ind w:right="120" w:firstLine="544"/>
        <w:spacing w:after="0" w:line="260"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5"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In May 2017, we issued $400 million aggregate principal amount of convertible senior notes due 2022, of which $272.1 million was repurchased in June 2020. Also in June 2020, we issued $460 million aggregate principal amount of convertible senior notes due 2025.</w:t>
      </w:r>
    </w:p>
    <w:p>
      <w:pPr>
        <w:spacing w:after="0" w:line="67" w:lineRule="exact"/>
        <w:rPr>
          <w:sz w:val="20"/>
          <w:szCs w:val="20"/>
          <w:color w:val="auto"/>
        </w:rPr>
      </w:pPr>
    </w:p>
    <w:p>
      <w:pPr>
        <w:ind w:right="260" w:firstLine="510"/>
        <w:spacing w:after="0" w:line="271" w:lineRule="auto"/>
        <w:rPr>
          <w:sz w:val="20"/>
          <w:szCs w:val="20"/>
          <w:color w:val="auto"/>
        </w:rPr>
      </w:pPr>
      <w:r>
        <w:rPr>
          <w:rFonts w:ascii="Arial" w:cs="Arial" w:eastAsia="Arial" w:hAnsi="Arial"/>
          <w:sz w:val="17"/>
          <w:szCs w:val="17"/>
          <w:color w:val="auto"/>
        </w:rPr>
        <w:t>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 of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17" w:lineRule="exact"/>
        <w:rPr>
          <w:sz w:val="20"/>
          <w:szCs w:val="20"/>
          <w:color w:val="auto"/>
        </w:rPr>
      </w:pPr>
    </w:p>
    <w:p>
      <w:pPr>
        <w:jc w:val="both"/>
        <w:ind w:right="60" w:firstLine="510"/>
        <w:spacing w:after="0" w:line="260"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September 30, 2020 and the estimated impact on the fair value of the Notes. The selected scenarios are not predictions of future events, but rather are intended to illustrate the effect such event may have on the fair value of the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2022 Notes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Hypothetical percentage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Estimated change</w:t>
            </w: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increase (decrease) in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gridSpan w:val="2"/>
          </w:tcPr>
          <w:p>
            <w:pPr>
              <w:ind w:left="580"/>
              <w:spacing w:after="0"/>
              <w:rPr>
                <w:sz w:val="20"/>
                <w:szCs w:val="20"/>
                <w:color w:val="auto"/>
              </w:rPr>
            </w:pPr>
            <w:r>
              <w:rPr>
                <w:rFonts w:ascii="Arial" w:cs="Arial" w:eastAsia="Arial" w:hAnsi="Arial"/>
                <w:sz w:val="16"/>
                <w:szCs w:val="16"/>
                <w:b w:val="1"/>
                <w:bCs w:val="1"/>
                <w:color w:val="auto"/>
              </w:rPr>
              <w:t>Hypothetical change in HubSpot stock price</w:t>
            </w:r>
          </w:p>
        </w:tc>
        <w:tc>
          <w:tcPr>
            <w:tcW w:w="100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 fair value</w:t>
            </w: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fair value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431,080</w:t>
            </w:r>
          </w:p>
        </w:tc>
        <w:tc>
          <w:tcPr>
            <w:tcW w:w="2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38,012</w:t>
            </w:r>
          </w:p>
        </w:tc>
        <w:tc>
          <w:tcPr>
            <w:tcW w:w="180" w:type="dxa"/>
            <w:vAlign w:val="bottom"/>
            <w:vMerge w:val="continue"/>
            <w:shd w:val="clear" w:color="auto" w:fill="CCEEFF"/>
          </w:tcPr>
          <w:p>
            <w:pPr>
              <w:spacing w:after="0"/>
              <w:rPr>
                <w:sz w:val="19"/>
                <w:szCs w:val="19"/>
                <w:color w:val="auto"/>
              </w:rPr>
            </w:pP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 change</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393,068</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(40,523)</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jc w:val="right"/>
              <w:ind w:right="1072"/>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b w:val="1"/>
          <w:bCs w:val="1"/>
          <w:color w:val="auto"/>
        </w:rPr>
        <w:t>2025 Notes</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201"/>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Hypothetical percentage</w:t>
            </w:r>
          </w:p>
        </w:tc>
      </w:tr>
      <w:tr>
        <w:trPr>
          <w:trHeight w:val="201"/>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Estimated change</w:t>
            </w: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increase (decrease) in</w:t>
            </w:r>
          </w:p>
        </w:tc>
      </w:tr>
      <w:tr>
        <w:trPr>
          <w:trHeight w:val="212"/>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1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in fair value</w:t>
            </w:r>
          </w:p>
        </w:tc>
        <w:tc>
          <w:tcPr>
            <w:tcW w:w="1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fair value</w:t>
            </w:r>
          </w:p>
        </w:tc>
        <w:tc>
          <w:tcPr>
            <w:tcW w:w="240" w:type="dxa"/>
            <w:vAlign w:val="bottom"/>
            <w:tcBorders>
              <w:bottom w:val="single" w:sz="8" w:color="CCEEFF"/>
            </w:tcBorders>
          </w:tcPr>
          <w:p>
            <w:pPr>
              <w:spacing w:after="0"/>
              <w:rPr>
                <w:sz w:val="18"/>
                <w:szCs w:val="18"/>
                <w:color w:val="auto"/>
              </w:rPr>
            </w:pPr>
          </w:p>
        </w:tc>
      </w:tr>
      <w:tr>
        <w:trPr>
          <w:trHeight w:val="224"/>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48,604</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27"/>
        </w:trPr>
        <w:tc>
          <w:tcPr>
            <w:tcW w:w="3840" w:type="dxa"/>
            <w:vAlign w:val="bottom"/>
          </w:tcPr>
          <w:p>
            <w:pPr>
              <w:spacing w:after="0"/>
              <w:rPr>
                <w:sz w:val="20"/>
                <w:szCs w:val="20"/>
                <w:color w:val="auto"/>
              </w:rPr>
            </w:pPr>
            <w:r>
              <w:rPr>
                <w:rFonts w:ascii="Arial" w:cs="Arial" w:eastAsia="Arial" w:hAnsi="Arial"/>
                <w:sz w:val="18"/>
                <w:szCs w:val="18"/>
                <w:color w:val="auto"/>
              </w:rPr>
              <w:t>No change</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582,921</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552,787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(30,135)</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9"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5" w:name="page36"/>
    <w:bookmarkEnd w:id="3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3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67"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or pandemic. The pandemic, which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87" w:lineRule="exact"/>
        <w:rPr>
          <w:sz w:val="20"/>
          <w:szCs w:val="20"/>
          <w:color w:val="auto"/>
        </w:rPr>
      </w:pPr>
    </w:p>
    <w:p>
      <w:pPr>
        <w:ind w:right="80" w:firstLine="510"/>
        <w:spacing w:after="0" w:line="284" w:lineRule="auto"/>
        <w:rPr>
          <w:sz w:val="20"/>
          <w:szCs w:val="20"/>
          <w:color w:val="auto"/>
        </w:rPr>
      </w:pPr>
      <w:r>
        <w:rPr>
          <w:rFonts w:ascii="Arial" w:cs="Arial" w:eastAsia="Arial" w:hAnsi="Arial"/>
          <w:sz w:val="16"/>
          <w:szCs w:val="16"/>
          <w:color w:val="auto"/>
        </w:rPr>
        <w:t>Our operations have also been negatively affected by a range of external factors related to the pandemic that are not within our control. For example, many cities, counties, states, and even countries have imposed or may impose a wide range of restrictions on the physical movement of our employees, partners and customers to limit the spread of the pandemic, including physical distancing, travel bans and restrictions, closure of non-essential business, quarantines, work-from-home directives, shelter-in-place orders, and limitations on public gatherings. These measures have caused, and are continuing to cause, business slowdowns or shutdowns in affected areas, both regionally and worldwide. In March 2020, we temporarily closed our global offices, including our corporate headquarters, suspended all company-related travel, and all HubSpot employees globally were required to work from home for several months during the height of the pandemic. We shifted our Solutions Partner events and INBOUND 2020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Given that the economic consequences of the pandemic have been exceptionally challenging for many of our customers and prospects, we have also implemented certain changes to our pricing structure, including reducing prices on our Starter Growth Suite, offering certain product functionality free of charge for a limited time, temporarily suspending marketing email send limits, and offering a six-month advance on commissions to certain of our Solutions Partners.</w:t>
      </w:r>
    </w:p>
    <w:p>
      <w:pPr>
        <w:spacing w:after="0" w:line="6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Moreover, the conditions caused by the pandemic can affect the rate of spending on software products and have adversely affected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has a substantial impact on the ability of our customers to purchase our offerings, our results of operations and overall financial performance may be harmed.</w:t>
      </w:r>
    </w:p>
    <w:p>
      <w:pPr>
        <w:spacing w:after="0" w:line="68"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duration and extent of the impact from the pandemic depends on future developments that cannot be accurately predicted at this time, such as the severity and transmission rate of the virus,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82" w:lineRule="exact"/>
        <w:rPr>
          <w:sz w:val="20"/>
          <w:szCs w:val="20"/>
          <w:color w:val="auto"/>
        </w:rPr>
      </w:pPr>
    </w:p>
    <w:p>
      <w:pPr>
        <w:ind w:right="240" w:firstLine="510"/>
        <w:spacing w:after="0" w:line="298"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5"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We generated net losses of $69.6 million and $43.4 million for the nine months ended September 30, 2020 and 2019, respectively. As of September 30, 2020, we had an accumulated deficit of $467.7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277"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6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w:t>
      </w:r>
    </w:p>
    <w:p>
      <w:pPr>
        <w:ind w:right="140"/>
        <w:spacing w:after="0" w:line="250" w:lineRule="auto"/>
        <w:rPr>
          <w:sz w:val="20"/>
          <w:szCs w:val="20"/>
          <w:color w:val="auto"/>
        </w:rPr>
      </w:pPr>
      <w:r>
        <w:rPr>
          <w:rFonts w:ascii="Arial" w:cs="Arial" w:eastAsia="Arial" w:hAnsi="Arial"/>
          <w:sz w:val="18"/>
          <w:szCs w:val="18"/>
          <w:color w:val="auto"/>
        </w:rPr>
        <w:t>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5"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8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8" w:lineRule="exact"/>
        <w:rPr>
          <w:sz w:val="20"/>
          <w:szCs w:val="20"/>
          <w:color w:val="auto"/>
        </w:rPr>
      </w:pPr>
    </w:p>
    <w:p>
      <w:pPr>
        <w:ind w:right="120" w:firstLine="510"/>
        <w:spacing w:after="0" w:line="260" w:lineRule="auto"/>
        <w:rPr>
          <w:sz w:val="20"/>
          <w:szCs w:val="20"/>
          <w:color w:val="auto"/>
        </w:rPr>
      </w:pPr>
      <w:r>
        <w:rPr>
          <w:rFonts w:ascii="Arial" w:cs="Arial" w:eastAsia="Arial" w:hAnsi="Arial"/>
          <w:sz w:val="18"/>
          <w:szCs w:val="18"/>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color w:val="auto"/>
        </w:rPr>
        <w:t>Our competitors include:</w:t>
      </w:r>
    </w:p>
    <w:p>
      <w:pPr>
        <w:spacing w:after="0" w:line="115"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2"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84" w:lineRule="exact"/>
        <w:rPr>
          <w:sz w:val="20"/>
          <w:szCs w:val="20"/>
          <w:color w:val="auto"/>
        </w:rPr>
      </w:pPr>
    </w:p>
    <w:p>
      <w:pPr>
        <w:ind w:right="160" w:firstLine="374"/>
        <w:spacing w:after="0" w:line="25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99" w:lineRule="exact"/>
        <w:rPr>
          <w:sz w:val="20"/>
          <w:szCs w:val="20"/>
          <w:color w:val="auto"/>
        </w:rPr>
      </w:pPr>
    </w:p>
    <w:p>
      <w:pPr>
        <w:ind w:right="280"/>
        <w:spacing w:after="0" w:line="373"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ind w:right="200" w:firstLine="510"/>
        <w:spacing w:after="0" w:line="289" w:lineRule="auto"/>
        <w:rPr>
          <w:sz w:val="20"/>
          <w:szCs w:val="20"/>
          <w:color w:val="auto"/>
        </w:rPr>
      </w:pPr>
      <w:r>
        <w:rPr>
          <w:rFonts w:ascii="Arial" w:cs="Arial" w:eastAsia="Arial" w:hAnsi="Arial"/>
          <w:sz w:val="16"/>
          <w:szCs w:val="16"/>
          <w:color w:val="auto"/>
        </w:rPr>
        <w:t>Our head count and operations have grown substantially. For example, we had 3,981 full-time employees as of September 30, 2020, as compared with 3,387 as of December 31, 2019 and we have opened 8 international offices since 2013. We also plan to open additional international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6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9"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To increase Total Customers and achieve broader market acceptance of our CRM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8" w:name="page39"/>
    <w:bookmarkEnd w:id="38"/>
    <w:p>
      <w:pPr>
        <w:ind w:right="20"/>
        <w:spacing w:after="0" w:line="256" w:lineRule="auto"/>
        <w:rPr>
          <w:sz w:val="20"/>
          <w:szCs w:val="20"/>
          <w:color w:val="auto"/>
        </w:rPr>
      </w:pPr>
      <w:r>
        <w:rPr>
          <w:rFonts w:ascii="Arial" w:cs="Arial" w:eastAsia="Arial" w:hAnsi="Arial"/>
          <w:sz w:val="18"/>
          <w:szCs w:val="18"/>
          <w:color w:val="auto"/>
        </w:rPr>
        <w:t>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5" w:lineRule="exact"/>
        <w:rPr>
          <w:sz w:val="20"/>
          <w:szCs w:val="20"/>
          <w:color w:val="auto"/>
        </w:rPr>
      </w:pPr>
    </w:p>
    <w:p>
      <w:pPr>
        <w:ind w:right="280" w:firstLine="510"/>
        <w:spacing w:after="0" w:line="298" w:lineRule="auto"/>
        <w:rPr>
          <w:sz w:val="20"/>
          <w:szCs w:val="20"/>
          <w:color w:val="auto"/>
        </w:rPr>
      </w:pPr>
      <w:r>
        <w:rPr>
          <w:rFonts w:ascii="Arial" w:cs="Arial" w:eastAsia="Arial" w:hAnsi="Arial"/>
          <w:sz w:val="16"/>
          <w:szCs w:val="16"/>
          <w:color w:val="212529"/>
        </w:rPr>
        <w:t xml:space="preserve">We rely on our Solutions Partners to provide certain services to our customers, as well as pursue sales of our </w:t>
      </w:r>
      <w:r>
        <w:rPr>
          <w:rFonts w:ascii="Arial" w:cs="Arial" w:eastAsia="Arial" w:hAnsi="Arial"/>
          <w:sz w:val="16"/>
          <w:szCs w:val="16"/>
          <w:color w:val="000000"/>
        </w:rPr>
        <w:t>CRM platform</w:t>
      </w:r>
      <w:r>
        <w:rPr>
          <w:rFonts w:ascii="Arial" w:cs="Arial" w:eastAsia="Arial" w:hAnsi="Arial"/>
          <w:sz w:val="16"/>
          <w:szCs w:val="16"/>
          <w:color w:val="212529"/>
        </w:rPr>
        <w:t xml:space="preserve">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6"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39" w:name="page40"/>
    <w:bookmarkEnd w:id="39"/>
    <w:p>
      <w:pPr>
        <w:ind w:right="240"/>
        <w:spacing w:after="0" w:line="27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67"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5"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right="120"/>
        <w:spacing w:after="0" w:line="272"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7"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380"/>
        <w:spacing w:after="0" w:line="336"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21"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line="252" w:lineRule="auto"/>
        <w:rPr>
          <w:sz w:val="20"/>
          <w:szCs w:val="20"/>
          <w:color w:val="auto"/>
        </w:rPr>
      </w:pPr>
      <w:r>
        <w:rPr>
          <w:rFonts w:ascii="Arial" w:cs="Arial" w:eastAsia="Arial" w:hAnsi="Arial"/>
          <w:sz w:val="18"/>
          <w:szCs w:val="18"/>
          <w:color w:val="auto"/>
        </w:rPr>
        <w:t>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5" w:lineRule="exact"/>
        <w:rPr>
          <w:sz w:val="20"/>
          <w:szCs w:val="20"/>
          <w:color w:val="auto"/>
        </w:rPr>
      </w:pPr>
    </w:p>
    <w:p>
      <w:pPr>
        <w:ind w:right="60" w:firstLine="510"/>
        <w:spacing w:after="0" w:line="282"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7"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8 international offices since 2013.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82"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4" w:lineRule="exact"/>
        <w:rPr>
          <w:rFonts w:ascii="Arial" w:cs="Arial" w:eastAsia="Arial" w:hAnsi="Arial"/>
          <w:sz w:val="18"/>
          <w:szCs w:val="18"/>
          <w:color w:val="auto"/>
        </w:rPr>
      </w:pPr>
    </w:p>
    <w:p>
      <w:pPr>
        <w:ind w:left="1020" w:right="84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7" w:lineRule="exact"/>
        <w:rPr>
          <w:rFonts w:ascii="Arial" w:cs="Arial" w:eastAsia="Arial" w:hAnsi="Arial"/>
          <w:sz w:val="18"/>
          <w:szCs w:val="18"/>
          <w:color w:val="auto"/>
        </w:rPr>
      </w:pPr>
    </w:p>
    <w:p>
      <w:pPr>
        <w:ind w:left="1020" w:right="68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7"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7" w:lineRule="exact"/>
        <w:rPr>
          <w:rFonts w:ascii="Arial" w:cs="Arial" w:eastAsia="Arial" w:hAnsi="Arial"/>
          <w:sz w:val="18"/>
          <w:szCs w:val="18"/>
          <w:color w:val="auto"/>
        </w:rPr>
      </w:pPr>
    </w:p>
    <w:p>
      <w:pPr>
        <w:ind w:left="1020" w:right="54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7"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4" w:lineRule="exact"/>
        <w:rPr>
          <w:rFonts w:ascii="Arial" w:cs="Arial" w:eastAsia="Arial" w:hAnsi="Arial"/>
          <w:sz w:val="18"/>
          <w:szCs w:val="18"/>
          <w:color w:val="auto"/>
        </w:rPr>
      </w:pPr>
    </w:p>
    <w:p>
      <w:pPr>
        <w:ind w:left="1020" w:right="200" w:hanging="503"/>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2" w:name="page43"/>
    <w:bookmarkEnd w:id="42"/>
    <w:p>
      <w:pPr>
        <w:ind w:right="120"/>
        <w:spacing w:after="0" w:line="302"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44"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9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302"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67"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For example, in March 2019, we had a product outage due to the failure of one of the infrastructure systems that supports multiple parts of our platform.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In addition, third-party apps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5"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CRM platform or services to cover the changes. As a result, our operating results may be significantly worse than forecasted.</w:t>
      </w:r>
    </w:p>
    <w:p>
      <w:pPr>
        <w:spacing w:after="0" w:line="292"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6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or fail to renew existing relationships pursuant to which we currently provide such integration, we may not be able to offer the functionality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that our customers need, which would negatively impact our ability to generate new revenue or maintain existing revenue and adversely impact our business.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3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28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or CCPA, that will, among other things, require covered companies to provide new disclosures to California consumers and afford such consumers new abilities to opt-out of certain sales of personal information. The CCPA recently was amended, and it is possible that it will be amended again before it goes into effect. We cannot yet predict the impact of the CCPA on our business or operations, but it may require us to modify our data processing practices and policies and to incur substantial costs and expenses in an effort to comply.</w:t>
      </w:r>
    </w:p>
    <w:p>
      <w:pPr>
        <w:spacing w:after="0" w:line="184"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4" w:name="page45"/>
    <w:bookmarkEnd w:id="44"/>
    <w:p>
      <w:pPr>
        <w:ind w:right="180"/>
        <w:spacing w:after="0" w:line="272" w:lineRule="auto"/>
        <w:rPr>
          <w:sz w:val="20"/>
          <w:szCs w:val="20"/>
          <w:color w:val="auto"/>
        </w:rPr>
      </w:pPr>
      <w:r>
        <w:rPr>
          <w:rFonts w:ascii="Arial" w:cs="Arial" w:eastAsia="Arial" w:hAnsi="Arial"/>
          <w:sz w:val="18"/>
          <w:szCs w:val="18"/>
          <w:color w:val="auto"/>
        </w:rPr>
        <w:t>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7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Within the European Union, legislators have adopted the General Data Protection Regulation, or GDPR, and which became effective in May 2018 which may impose additional obligations and risk upon our business and which may increase substantially the penalties to which we could be subject in the event of any non-compliance. In addition, Brexit could also lead to further legislative and regulatory changes, depending on the final terms of Brexit and the agreements or arrangements negotiated with the European Union. It remains unclear how the United Kingdom data protection laws or regulations will develop in the medium to longer term and how data transfers to and from the United Kingdom will be regulated.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8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 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w:t>
      </w:r>
    </w:p>
    <w:p>
      <w:pPr>
        <w:spacing w:after="0" w:line="19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9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78"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5" w:name="page46"/>
    <w:bookmarkEnd w:id="45"/>
    <w:p>
      <w:pPr>
        <w:ind w:right="40" w:firstLine="510"/>
        <w:spacing w:after="0" w:line="291"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69"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2"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7"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6" w:name="page47"/>
    <w:bookmarkEnd w:id="46"/>
    <w:p>
      <w:pPr>
        <w:ind w:right="320"/>
        <w:spacing w:after="0" w:line="272" w:lineRule="auto"/>
        <w:rPr>
          <w:sz w:val="20"/>
          <w:szCs w:val="20"/>
          <w:color w:val="auto"/>
        </w:rPr>
      </w:pPr>
      <w:r>
        <w:rPr>
          <w:rFonts w:ascii="Arial" w:cs="Arial" w:eastAsia="Arial" w:hAnsi="Arial"/>
          <w:sz w:val="18"/>
          <w:szCs w:val="18"/>
          <w:color w:val="auto"/>
        </w:rPr>
        <w:t>States. To the extent we expand our international activities, our exposure to unauthorized copying and use of our technology and proprietary information may increase.</w:t>
      </w:r>
    </w:p>
    <w:p>
      <w:pPr>
        <w:spacing w:after="0" w:line="174"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5"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132"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5" w:lineRule="exact"/>
        <w:rPr>
          <w:sz w:val="20"/>
          <w:szCs w:val="20"/>
          <w:color w:val="auto"/>
        </w:rPr>
      </w:pPr>
    </w:p>
    <w:p>
      <w:pPr>
        <w:ind w:left="740" w:hanging="371"/>
        <w:spacing w:after="0" w:line="26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76" w:lineRule="exact"/>
        <w:rPr>
          <w:rFonts w:ascii="Arial" w:cs="Arial" w:eastAsia="Arial" w:hAnsi="Arial"/>
          <w:sz w:val="17"/>
          <w:szCs w:val="17"/>
          <w:color w:val="auto"/>
        </w:rPr>
      </w:pPr>
    </w:p>
    <w:p>
      <w:pPr>
        <w:jc w:val="both"/>
        <w:ind w:left="740" w:right="100" w:hanging="371"/>
        <w:spacing w:after="0" w:line="26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7" w:name="page48"/>
    <w:bookmarkEnd w:id="47"/>
    <w:p>
      <w:pPr>
        <w:ind w:left="740" w:right="60"/>
        <w:spacing w:after="0" w:line="256" w:lineRule="auto"/>
        <w:rPr>
          <w:sz w:val="20"/>
          <w:szCs w:val="20"/>
          <w:color w:val="auto"/>
        </w:rPr>
      </w:pPr>
      <w:r>
        <w:rPr>
          <w:rFonts w:ascii="Arial" w:cs="Arial" w:eastAsia="Arial" w:hAnsi="Arial"/>
          <w:sz w:val="18"/>
          <w:szCs w:val="18"/>
          <w:color w:val="auto"/>
        </w:rPr>
        <w:t>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2" w:lineRule="exact"/>
        <w:rPr>
          <w:sz w:val="20"/>
          <w:szCs w:val="20"/>
          <w:color w:val="auto"/>
        </w:rPr>
      </w:pPr>
    </w:p>
    <w:p>
      <w:pPr>
        <w:ind w:left="740" w:right="20" w:hanging="371"/>
        <w:spacing w:after="0" w:line="26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0" w:lineRule="exact"/>
        <w:rPr>
          <w:sz w:val="20"/>
          <w:szCs w:val="20"/>
          <w:color w:val="auto"/>
        </w:rPr>
      </w:pPr>
    </w:p>
    <w:p>
      <w:pPr>
        <w:ind w:firstLine="374"/>
        <w:spacing w:after="0" w:line="252"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7"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30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6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of tax treaties are not available to us or our subsidiaries, any of which could have a material impact on us and the results of our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6"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would not expire unused as a result of these limitations because they can be carried forward indefinitely.</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6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9" w:lineRule="exact"/>
        <w:rPr>
          <w:sz w:val="20"/>
          <w:szCs w:val="20"/>
          <w:color w:val="auto"/>
        </w:rPr>
      </w:pPr>
    </w:p>
    <w:p>
      <w:pPr>
        <w:ind w:right="300"/>
        <w:spacing w:after="0" w:line="373"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ind w:right="100" w:firstLine="510"/>
        <w:spacing w:after="0" w:line="268"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9" w:name="page50"/>
    <w:bookmarkEnd w:id="49"/>
    <w:p>
      <w:pPr>
        <w:ind w:firstLine="510"/>
        <w:spacing w:after="0" w:line="273"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7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0"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99"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19"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7" w:lineRule="exact"/>
        <w:rPr>
          <w:sz w:val="20"/>
          <w:szCs w:val="20"/>
          <w:color w:val="auto"/>
        </w:rPr>
      </w:pPr>
    </w:p>
    <w:p>
      <w:pPr>
        <w:ind w:right="280" w:firstLine="510"/>
        <w:spacing w:after="0" w:line="256"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82"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pricing our CRM platform subscriptions effectively so that we are able to attract and retain customers without compromising our profitability;</w:t>
      </w:r>
    </w:p>
    <w:p>
      <w:pPr>
        <w:spacing w:after="0" w:line="137" w:lineRule="exact"/>
        <w:rPr>
          <w:rFonts w:ascii="Arial" w:cs="Arial" w:eastAsia="Arial" w:hAnsi="Arial"/>
          <w:sz w:val="16"/>
          <w:szCs w:val="16"/>
          <w:color w:val="auto"/>
        </w:rPr>
      </w:pPr>
    </w:p>
    <w:p>
      <w:pPr>
        <w:ind w:left="1020" w:right="20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new customers for our marketing, sales and customer service software, increasing our existing customers’ use of our platform and providing our customers with excellent customer support;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0" w:name="page51"/>
    <w:bookmarkEnd w:id="50"/>
    <w:p>
      <w:pPr>
        <w:ind w:left="1020" w:right="38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37" w:lineRule="exact"/>
        <w:rPr>
          <w:rFonts w:ascii="Arial" w:cs="Arial" w:eastAsia="Arial" w:hAnsi="Arial"/>
          <w:sz w:val="16"/>
          <w:szCs w:val="16"/>
          <w:color w:val="auto"/>
        </w:rPr>
      </w:pPr>
    </w:p>
    <w:p>
      <w:pPr>
        <w:ind w:left="1020" w:right="62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67" w:lineRule="exact"/>
        <w:rPr>
          <w:rFonts w:ascii="Arial" w:cs="Arial" w:eastAsia="Arial" w:hAnsi="Arial"/>
          <w:sz w:val="18"/>
          <w:szCs w:val="18"/>
          <w:color w:val="auto"/>
        </w:rPr>
      </w:pPr>
    </w:p>
    <w:p>
      <w:pPr>
        <w:ind w:left="1020" w:right="38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2" w:lineRule="exact"/>
        <w:rPr>
          <w:sz w:val="20"/>
          <w:szCs w:val="20"/>
          <w:color w:val="auto"/>
        </w:rPr>
      </w:pPr>
    </w:p>
    <w:p>
      <w:pPr>
        <w:ind w:right="80" w:firstLine="374"/>
        <w:spacing w:after="0" w:line="282"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6"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7" w:lineRule="exact"/>
        <w:rPr>
          <w:sz w:val="20"/>
          <w:szCs w:val="20"/>
          <w:color w:val="auto"/>
        </w:rPr>
      </w:pPr>
    </w:p>
    <w:p>
      <w:pPr>
        <w:ind w:right="60" w:firstLine="374"/>
        <w:spacing w:after="0" w:line="282"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6"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77"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7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We incurred indebtedness in the aggregate principal amount of $400.0 million in connection with the issuance of our 0.25% convertible senior notes due June 1, 2022, or the 2022 Notes. In June 2020, the Company exchanged approximately $272.1 million in aggregate principal amount of the 2022 Notes in privately-negotiated transactions for an aggregate of approximately $283.0 million in cash and 1.6 million shares of common stock. Following the partial repurchase of the 2022 Notes, $127.8 million of the 2022 Notes remained outstanding. In June 2020, concurrent with the partial repurchase of the 2022 Notes, we incurred indebtedness in the aggregate principal amount of $460.0 million in connection with the issuance of our 0.375% convertible senior notes due June 1, 2025, or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1" w:name="page52"/>
    <w:bookmarkEnd w:id="51"/>
    <w:p>
      <w:pPr>
        <w:ind w:right="140"/>
        <w:spacing w:after="0" w:line="256" w:lineRule="auto"/>
        <w:rPr>
          <w:sz w:val="20"/>
          <w:szCs w:val="20"/>
          <w:color w:val="auto"/>
        </w:rPr>
      </w:pPr>
      <w:r>
        <w:rPr>
          <w:rFonts w:ascii="Arial" w:cs="Arial" w:eastAsia="Arial" w:hAnsi="Arial"/>
          <w:sz w:val="18"/>
          <w:szCs w:val="18"/>
          <w:color w:val="auto"/>
        </w:rPr>
        <w:t>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9"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82" w:lineRule="exact"/>
        <w:rPr>
          <w:sz w:val="20"/>
          <w:szCs w:val="20"/>
          <w:color w:val="auto"/>
        </w:rPr>
      </w:pPr>
    </w:p>
    <w:p>
      <w:pPr>
        <w:ind w:right="1100" w:firstLine="510"/>
        <w:spacing w:after="0" w:line="27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7" w:lineRule="exact"/>
        <w:rPr>
          <w:sz w:val="20"/>
          <w:szCs w:val="20"/>
          <w:color w:val="auto"/>
        </w:rPr>
      </w:pPr>
    </w:p>
    <w:p>
      <w:pPr>
        <w:ind w:left="1020" w:right="480" w:hanging="503"/>
        <w:spacing w:after="0" w:line="27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2" w:lineRule="exact"/>
        <w:rPr>
          <w:sz w:val="20"/>
          <w:szCs w:val="20"/>
          <w:color w:val="auto"/>
        </w:rPr>
      </w:pPr>
    </w:p>
    <w:p>
      <w:pPr>
        <w:ind w:right="680" w:firstLine="510"/>
        <w:spacing w:after="0" w:line="302"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5" w:lineRule="exact"/>
        <w:rPr>
          <w:sz w:val="20"/>
          <w:szCs w:val="20"/>
          <w:color w:val="auto"/>
        </w:rPr>
      </w:pPr>
    </w:p>
    <w:p>
      <w:pPr>
        <w:ind w:right="320" w:firstLine="510"/>
        <w:spacing w:after="0" w:line="272"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Because the last reported sale price of our common stock for at least 20 trading days during the period of 30 consecutive trading days ending on the last trading day of the calendar quarter ended September 30, 2020 was equal to or greater than 130% of the applicable conversion price on each applicable trading day, the 2022 Notes are convertible at the option of the holders thereof during the calendar quarter ending September 30, 2020. As of October 31, 2020, the Company has received conversion notices for approximately $2.1 million of the principal balance of the 2022 Notes, which will be settled in cash during the quarter ended December 31, 2020. Whether the 2022 Notes that remain outstanding will be convertible following the calendar quarter ending September 30, 2020 will depend on the continued satisfaction of this condition or another conversion condition in the future. The 2025 Notes will be eligible for conditional conversion in any calendar quarter after the calendar quarter ending September 30, 2020.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The Notes are currently classified as long-term debt.</w:t>
      </w:r>
    </w:p>
    <w:p>
      <w:pPr>
        <w:spacing w:after="0" w:line="283"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 xml:space="preserve">Under Financial Accounting Standards Board (FASB) Accounting Standards Codification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2" w:name="page53"/>
    <w:bookmarkEnd w:id="52"/>
    <w:p>
      <w:pPr>
        <w:ind w:right="80"/>
        <w:spacing w:after="0" w:line="273" w:lineRule="auto"/>
        <w:rPr>
          <w:sz w:val="20"/>
          <w:szCs w:val="20"/>
          <w:color w:val="auto"/>
        </w:rPr>
      </w:pPr>
      <w:r>
        <w:rPr>
          <w:rFonts w:ascii="Arial" w:cs="Arial" w:eastAsia="Arial" w:hAnsi="Arial"/>
          <w:sz w:val="17"/>
          <w:szCs w:val="17"/>
          <w:color w:val="auto"/>
        </w:rPr>
        <w:t>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7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9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 August 2020, the FASB issued guidance simplifying ASC 470-20 by reducing the number of accounting models for convertible debt instruments and convertible preferred stock. Under the new guidance, we are no longer required to separately account for the liability and equity components of convertible debt instruments. This will have the impact of reducing non-cash interest expense, and thereby increasing net income (or decreasing net losses). Additionally, the new guidance eliminates the treasury stock method for calculating diluted earnings per share for convertible instruments and requires use of the “if-converted” method, which would decrease (increase) our diluted net income (loss) per share. The new standard is effective beginning in January 2022, with early adoption permitted. We are currently evaluating the impact of the new guidance on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5"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$320.89, through September 30, 2020. The market price of our common stock may fluctuate significantly in response to numerous factors, many of which are beyond our control, including:</w:t>
      </w:r>
    </w:p>
    <w:p>
      <w:pPr>
        <w:spacing w:after="0" w:line="82" w:lineRule="exact"/>
        <w:rPr>
          <w:sz w:val="20"/>
          <w:szCs w:val="20"/>
          <w:color w:val="auto"/>
        </w:rPr>
      </w:pPr>
    </w:p>
    <w:p>
      <w:pPr>
        <w:ind w:left="1020" w:right="44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4" w:lineRule="exact"/>
        <w:rPr>
          <w:rFonts w:ascii="Arial" w:cs="Arial" w:eastAsia="Arial" w:hAnsi="Arial"/>
          <w:sz w:val="18"/>
          <w:szCs w:val="18"/>
          <w:color w:val="auto"/>
        </w:rPr>
      </w:pPr>
    </w:p>
    <w:p>
      <w:pPr>
        <w:ind w:left="1020" w:right="40" w:hanging="503"/>
        <w:spacing w:after="0" w:line="30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44" w:lineRule="exact"/>
        <w:rPr>
          <w:rFonts w:ascii="Arial" w:cs="Arial" w:eastAsia="Arial" w:hAnsi="Arial"/>
          <w:sz w:val="17"/>
          <w:szCs w:val="17"/>
          <w:color w:val="auto"/>
        </w:rPr>
      </w:pPr>
    </w:p>
    <w:p>
      <w:pPr>
        <w:ind w:left="1020" w:right="6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7" w:lineRule="exact"/>
        <w:rPr>
          <w:rFonts w:ascii="Arial" w:cs="Arial" w:eastAsia="Arial" w:hAnsi="Arial"/>
          <w:sz w:val="18"/>
          <w:szCs w:val="18"/>
          <w:color w:val="auto"/>
        </w:rPr>
      </w:pPr>
    </w:p>
    <w:p>
      <w:pPr>
        <w:ind w:left="1020" w:right="62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4" w:lineRule="exact"/>
        <w:rPr>
          <w:rFonts w:ascii="Arial" w:cs="Arial" w:eastAsia="Arial" w:hAnsi="Arial"/>
          <w:sz w:val="18"/>
          <w:szCs w:val="18"/>
          <w:color w:val="auto"/>
        </w:rPr>
      </w:pPr>
    </w:p>
    <w:p>
      <w:pPr>
        <w:ind w:left="1020" w:right="3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2" w:lineRule="exact"/>
        <w:rPr>
          <w:sz w:val="20"/>
          <w:szCs w:val="20"/>
          <w:color w:val="auto"/>
        </w:rPr>
      </w:pPr>
    </w:p>
    <w:p>
      <w:pPr>
        <w:jc w:val="both"/>
        <w:ind w:right="200" w:firstLine="374"/>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5" w:lineRule="exact"/>
        <w:rPr>
          <w:sz w:val="20"/>
          <w:szCs w:val="20"/>
          <w:color w:val="auto"/>
        </w:rPr>
      </w:pPr>
    </w:p>
    <w:p>
      <w:pPr>
        <w:ind w:right="380" w:firstLine="374"/>
        <w:spacing w:after="0" w:line="260"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right="100"/>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8" w:lineRule="exact"/>
        <w:rPr>
          <w:sz w:val="20"/>
          <w:szCs w:val="20"/>
          <w:color w:val="auto"/>
        </w:rPr>
      </w:pPr>
    </w:p>
    <w:p>
      <w:pPr>
        <w:ind w:left="1020" w:right="80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4" w:lineRule="exact"/>
        <w:rPr>
          <w:rFonts w:ascii="Arial" w:cs="Arial" w:eastAsia="Arial" w:hAnsi="Arial"/>
          <w:sz w:val="18"/>
          <w:szCs w:val="18"/>
          <w:color w:val="auto"/>
        </w:rPr>
      </w:pPr>
    </w:p>
    <w:p>
      <w:pPr>
        <w:ind w:left="1020" w:right="56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55" w:name="page56"/>
    <w:bookmarkEnd w:id="55"/>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3" w:lineRule="exact"/>
        <w:rPr>
          <w:sz w:val="20"/>
          <w:szCs w:val="20"/>
          <w:color w:val="auto"/>
        </w:rPr>
      </w:pPr>
    </w:p>
    <w:p>
      <w:pPr>
        <w:ind w:firstLine="510"/>
        <w:spacing w:after="0" w:line="336"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8"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60"/>
          </w:cols>
          <w:pgMar w:left="320" w:top="447" w:right="519" w:bottom="1440" w:gutter="0" w:footer="0" w:header="0"/>
        </w:sectPr>
      </w:pPr>
    </w:p>
    <w:bookmarkStart w:id="56" w:name="page57"/>
    <w:bookmarkEnd w:id="56"/>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926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9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3.1(1)</w:t>
            </w:r>
          </w:p>
        </w:tc>
        <w:tc>
          <w:tcPr>
            <w:tcW w:w="9920" w:type="dxa"/>
            <w:vAlign w:val="bottom"/>
            <w:gridSpan w:val="4"/>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992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Third Amended and Restated Bylaws of the Registrant</w:t>
              </w:r>
            </w:hyperlink>
          </w:p>
        </w:tc>
        <w:tc>
          <w:tcPr>
            <w:tcW w:w="0" w:type="dxa"/>
            <w:vAlign w:val="bottom"/>
          </w:tcPr>
          <w:p>
            <w:pPr>
              <w:spacing w:after="0"/>
              <w:rPr>
                <w:sz w:val="1"/>
                <w:szCs w:val="1"/>
                <w:color w:val="auto"/>
              </w:rPr>
            </w:pPr>
          </w:p>
        </w:tc>
      </w:tr>
      <w:tr>
        <w:trPr>
          <w:trHeight w:val="349"/>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4.1(2)</w:t>
            </w:r>
          </w:p>
        </w:tc>
        <w:tc>
          <w:tcPr>
            <w:tcW w:w="9920" w:type="dxa"/>
            <w:vAlign w:val="bottom"/>
            <w:gridSpan w:val="4"/>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Common Stock certificate of the Registrant</w:t>
              </w:r>
            </w:hyperlink>
          </w:p>
        </w:tc>
        <w:tc>
          <w:tcPr>
            <w:tcW w:w="0" w:type="dxa"/>
            <w:vAlign w:val="bottom"/>
          </w:tcPr>
          <w:p>
            <w:pPr>
              <w:spacing w:after="0"/>
              <w:rPr>
                <w:sz w:val="1"/>
                <w:szCs w:val="1"/>
                <w:color w:val="auto"/>
              </w:rPr>
            </w:pPr>
          </w:p>
        </w:tc>
      </w:tr>
      <w:tr>
        <w:trPr>
          <w:trHeight w:val="417"/>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31.1**</w:t>
            </w:r>
          </w:p>
        </w:tc>
        <w:tc>
          <w:tcPr>
            <w:tcW w:w="9920" w:type="dxa"/>
            <w:vAlign w:val="bottom"/>
            <w:gridSpan w:val="4"/>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Certification of Principal Executive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amended</w:t>
              </w:r>
            </w:hyperlink>
          </w:p>
        </w:tc>
        <w:tc>
          <w:tcPr>
            <w:tcW w:w="8820" w:type="dxa"/>
            <w:vAlign w:val="bottom"/>
            <w:tcBorders>
              <w:top w:val="single" w:sz="8" w:color="0000EE"/>
            </w:tcBorders>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31.2**</w:t>
            </w:r>
          </w:p>
        </w:tc>
        <w:tc>
          <w:tcPr>
            <w:tcW w:w="9920" w:type="dxa"/>
            <w:vAlign w:val="bottom"/>
            <w:gridSpan w:val="4"/>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amended</w:t>
              </w:r>
            </w:hyperlink>
          </w:p>
        </w:tc>
        <w:tc>
          <w:tcPr>
            <w:tcW w:w="8780" w:type="dxa"/>
            <w:vAlign w:val="bottom"/>
            <w:tcBorders>
              <w:top w:val="single" w:sz="8" w:color="0000EE"/>
            </w:tcBorders>
          </w:tcPr>
          <w:p>
            <w:pPr>
              <w:spacing w:after="0"/>
              <w:rPr>
                <w:sz w:val="16"/>
                <w:szCs w:val="16"/>
                <w:color w:val="auto"/>
              </w:rPr>
            </w:pPr>
          </w:p>
        </w:tc>
        <w:tc>
          <w:tcPr>
            <w:tcW w:w="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32.1*</w:t>
            </w:r>
          </w:p>
        </w:tc>
        <w:tc>
          <w:tcPr>
            <w:tcW w:w="9920" w:type="dxa"/>
            <w:vAlign w:val="bottom"/>
            <w:gridSpan w:val="4"/>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Certification of Principal Executive Officer and Principal Financial Officer pursuant to Section 906 of the Sarbanes-Oxley Act</w:t>
              </w:r>
            </w:hyperlink>
          </w:p>
        </w:tc>
        <w:tc>
          <w:tcPr>
            <w:tcW w:w="0" w:type="dxa"/>
            <w:vAlign w:val="bottom"/>
          </w:tcPr>
          <w:p>
            <w:pPr>
              <w:spacing w:after="0"/>
              <w:rPr>
                <w:sz w:val="1"/>
                <w:szCs w:val="1"/>
                <w:color w:val="auto"/>
              </w:rPr>
            </w:pPr>
          </w:p>
        </w:tc>
      </w:tr>
      <w:tr>
        <w:trPr>
          <w:trHeight w:val="322"/>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101.INS**</w:t>
            </w:r>
          </w:p>
        </w:tc>
        <w:tc>
          <w:tcPr>
            <w:tcW w:w="9920" w:type="dxa"/>
            <w:vAlign w:val="bottom"/>
            <w:gridSpan w:val="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7"/>
        </w:trPr>
        <w:tc>
          <w:tcPr>
            <w:tcW w:w="1060" w:type="dxa"/>
            <w:vAlign w:val="bottom"/>
          </w:tcPr>
          <w:p>
            <w:pPr>
              <w:spacing w:after="0"/>
              <w:rPr>
                <w:sz w:val="19"/>
                <w:szCs w:val="19"/>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4"/>
              </w:rPr>
              <w:t>101.SCH**</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7"/>
              </w:rPr>
              <w:t>101.CAL**</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6"/>
              </w:rPr>
              <w:t>101.DEF**</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8"/>
              </w:rPr>
              <w:t>101.LAB**</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w w:val="95"/>
              </w:rPr>
              <w:t>101.PRE**</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5"/>
        </w:trPr>
        <w:tc>
          <w:tcPr>
            <w:tcW w:w="1060" w:type="dxa"/>
            <w:vAlign w:val="bottom"/>
          </w:tcPr>
          <w:p>
            <w:pPr>
              <w:jc w:val="right"/>
              <w:ind w:right="133"/>
              <w:spacing w:after="0"/>
              <w:rPr>
                <w:sz w:val="20"/>
                <w:szCs w:val="20"/>
                <w:color w:val="auto"/>
              </w:rPr>
            </w:pPr>
            <w:r>
              <w:rPr>
                <w:rFonts w:ascii="Arial" w:cs="Arial" w:eastAsia="Arial" w:hAnsi="Arial"/>
                <w:sz w:val="18"/>
                <w:szCs w:val="18"/>
                <w:color w:val="auto"/>
              </w:rPr>
              <w:t>104**</w:t>
            </w:r>
          </w:p>
        </w:tc>
        <w:tc>
          <w:tcPr>
            <w:tcW w:w="992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hanging="468"/>
        <w:spacing w:after="0"/>
        <w:tabs>
          <w:tab w:leader="none" w:pos="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9" w:lineRule="exact"/>
        <w:rPr>
          <w:rFonts w:ascii="Arial" w:cs="Arial" w:eastAsia="Arial" w:hAnsi="Arial"/>
          <w:sz w:val="18"/>
          <w:szCs w:val="18"/>
          <w:color w:val="auto"/>
        </w:rPr>
      </w:pPr>
    </w:p>
    <w:p>
      <w:pPr>
        <w:ind w:left="520" w:right="60" w:hanging="513"/>
        <w:spacing w:after="0" w:line="256"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3.1 to Registrant’s Form 10-K filed with the Securities and Exchange Commission on February 24, 2016 and incorporated herein by reference.</w:t>
      </w:r>
    </w:p>
    <w:p>
      <w:pPr>
        <w:ind w:left="520" w:right="60" w:hanging="513"/>
        <w:spacing w:after="0" w:line="272"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4.1 to Amendment No. 1 to Registrant’s Registration Statement on Form S-1 filed with the Securities and Exchange Commission on September 26, 2014, and incorporated herein by reference.</w:t>
      </w:r>
    </w:p>
    <w:p>
      <w:pPr>
        <w:spacing w:after="0" w:line="174" w:lineRule="exact"/>
        <w:rPr>
          <w:sz w:val="20"/>
          <w:szCs w:val="20"/>
          <w:color w:val="auto"/>
        </w:rPr>
      </w:pPr>
    </w:p>
    <w:p>
      <w:pPr>
        <w:ind w:left="520" w:hanging="513"/>
        <w:spacing w:after="0" w:line="298"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57" w:name="page58"/>
    <w:bookmarkEnd w:id="57"/>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4"/>
        </w:trPr>
        <w:tc>
          <w:tcPr>
            <w:tcW w:w="9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27"/>
        </w:trPr>
        <w:tc>
          <w:tcPr>
            <w:tcW w:w="9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ectPr>
          <w:pgSz w:w="11900" w:h="16838" w:orient="portrait"/>
          <w:cols w:equalWidth="0" w:num="1">
            <w:col w:w="10720"/>
          </w:cols>
          <w:pgMar w:left="320" w:top="336" w:right="859" w:bottom="1440" w:gutter="0" w:footer="0" w:header="0"/>
        </w:sectPr>
      </w:pPr>
    </w:p>
    <w:bookmarkStart w:id="58" w:name="page59"/>
    <w:bookmarkEnd w:id="58"/>
    <w:p>
      <w:pPr>
        <w:ind w:left="10520"/>
        <w:spacing w:after="0"/>
        <w:rPr>
          <w:sz w:val="20"/>
          <w:szCs w:val="20"/>
          <w:color w:val="auto"/>
        </w:rPr>
      </w:pPr>
      <w:r>
        <w:rPr>
          <w:rFonts w:ascii="Arial" w:cs="Arial" w:eastAsia="Arial" w:hAnsi="Arial"/>
          <w:sz w:val="15"/>
          <w:szCs w:val="15"/>
          <w:color w:val="auto"/>
        </w:rPr>
        <w:t>Exhibit 3.2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HUBSPOT,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Stockholders</w:t>
      </w:r>
    </w:p>
    <w:p>
      <w:pPr>
        <w:spacing w:after="0" w:line="214" w:lineRule="exact"/>
        <w:rPr>
          <w:sz w:val="20"/>
          <w:szCs w:val="20"/>
          <w:color w:val="auto"/>
        </w:rPr>
      </w:pPr>
    </w:p>
    <w:p>
      <w:pPr>
        <w:ind w:right="80" w:firstLine="864"/>
        <w:spacing w:after="0" w:line="245"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Annual Meeting</w:t>
      </w:r>
      <w:r>
        <w:rPr>
          <w:rFonts w:ascii="Arial" w:cs="Arial" w:eastAsia="Arial" w:hAnsi="Arial"/>
          <w:sz w:val="21"/>
          <w:szCs w:val="21"/>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8"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(a)Annual Meetings of Stockholders.</w:t>
      </w:r>
    </w:p>
    <w:p>
      <w:pPr>
        <w:spacing w:after="0" w:line="214" w:lineRule="exact"/>
        <w:rPr>
          <w:sz w:val="20"/>
          <w:szCs w:val="20"/>
          <w:color w:val="auto"/>
        </w:rPr>
      </w:pPr>
    </w:p>
    <w:p>
      <w:pPr>
        <w:ind w:left="880" w:right="60" w:firstLine="788"/>
        <w:spacing w:after="0" w:line="255" w:lineRule="auto"/>
        <w:tabs>
          <w:tab w:leader="none" w:pos="2571"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77" w:lineRule="exact"/>
        <w:rPr>
          <w:rFonts w:ascii="Arial" w:cs="Arial" w:eastAsia="Arial" w:hAnsi="Arial"/>
          <w:sz w:val="20"/>
          <w:szCs w:val="20"/>
          <w:color w:val="auto"/>
        </w:rPr>
      </w:pPr>
    </w:p>
    <w:p>
      <w:pPr>
        <w:ind w:left="880" w:firstLine="788"/>
        <w:spacing w:after="0" w:line="255" w:lineRule="auto"/>
        <w:tabs>
          <w:tab w:leader="none" w:pos="2571" w:val="left"/>
        </w:tabs>
        <w:numPr>
          <w:ilvl w:val="0"/>
          <w:numId w:val="17"/>
        </w:numPr>
        <w:rPr>
          <w:rFonts w:ascii="Arial" w:cs="Arial" w:eastAsia="Arial" w:hAnsi="Arial"/>
          <w:sz w:val="21"/>
          <w:szCs w:val="21"/>
          <w:color w:val="auto"/>
        </w:rPr>
      </w:pPr>
      <w:r>
        <w:rPr>
          <w:rFonts w:ascii="Arial" w:cs="Arial" w:eastAsia="Arial" w:hAnsi="Arial"/>
          <w:sz w:val="21"/>
          <w:szCs w:val="21"/>
          <w:color w:val="auto"/>
        </w:rPr>
        <w:t>For nominations or other business to be properly brought before an Annual Meeting by a stockholder pursuant to clause (ii) of Article I, Section 2(a)(1) of this By-law, the stockholder must (i) have given Timely Notice (as defined below)</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ind w:left="880"/>
        <w:spacing w:after="0" w:line="268" w:lineRule="auto"/>
        <w:rPr>
          <w:sz w:val="20"/>
          <w:szCs w:val="20"/>
          <w:color w:val="auto"/>
        </w:rPr>
      </w:pPr>
      <w:r>
        <w:rPr>
          <w:rFonts w:ascii="Arial" w:cs="Arial" w:eastAsia="Arial" w:hAnsi="Arial"/>
          <w:sz w:val="19"/>
          <w:szCs w:val="19"/>
          <w:color w:val="auto"/>
        </w:rPr>
        <w:t xml:space="preserve">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69" w:lineRule="exact"/>
        <w:rPr>
          <w:sz w:val="20"/>
          <w:szCs w:val="20"/>
          <w:color w:val="auto"/>
        </w:rPr>
      </w:pPr>
    </w:p>
    <w:p>
      <w:pPr>
        <w:ind w:left="1740" w:right="40" w:firstLine="726"/>
        <w:spacing w:after="0" w:line="272" w:lineRule="auto"/>
        <w:tabs>
          <w:tab w:leader="none" w:pos="3662"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and (ii) a written statement of such person that such person, if elected, intends to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of Directors, in accordance with the Corporation’s Corporate Governance Guidelines;</w:t>
      </w:r>
    </w:p>
    <w:p>
      <w:pPr>
        <w:spacing w:after="0" w:line="157" w:lineRule="exact"/>
        <w:rPr>
          <w:rFonts w:ascii="Arial" w:cs="Arial" w:eastAsia="Arial" w:hAnsi="Arial"/>
          <w:sz w:val="19"/>
          <w:szCs w:val="19"/>
          <w:color w:val="auto"/>
        </w:rPr>
      </w:pPr>
    </w:p>
    <w:p>
      <w:pPr>
        <w:jc w:val="both"/>
        <w:ind w:left="1740" w:right="400" w:firstLine="726"/>
        <w:spacing w:after="0" w:line="250" w:lineRule="auto"/>
        <w:tabs>
          <w:tab w:leader="none" w:pos="365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73" w:lineRule="exact"/>
        <w:rPr>
          <w:rFonts w:ascii="Arial" w:cs="Arial" w:eastAsia="Arial" w:hAnsi="Arial"/>
          <w:sz w:val="21"/>
          <w:szCs w:val="21"/>
          <w:color w:val="auto"/>
        </w:rPr>
      </w:pPr>
    </w:p>
    <w:p>
      <w:pPr>
        <w:ind w:left="1740" w:firstLine="726"/>
        <w:spacing w:after="0" w:line="266" w:lineRule="auto"/>
        <w:tabs>
          <w:tab w:leader="none" w:pos="365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left="1740"/>
        <w:spacing w:after="0" w:line="267" w:lineRule="auto"/>
        <w:rPr>
          <w:sz w:val="20"/>
          <w:szCs w:val="20"/>
          <w:color w:val="auto"/>
        </w:rPr>
      </w:pPr>
      <w:r>
        <w:rPr>
          <w:rFonts w:ascii="Arial" w:cs="Arial" w:eastAsia="Arial" w:hAnsi="Arial"/>
          <w:sz w:val="19"/>
          <w:szCs w:val="19"/>
          <w:color w:val="auto"/>
        </w:rPr>
        <w:t>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0" w:lineRule="exact"/>
        <w:rPr>
          <w:sz w:val="20"/>
          <w:szCs w:val="20"/>
          <w:color w:val="auto"/>
        </w:rPr>
      </w:pPr>
    </w:p>
    <w:p>
      <w:pPr>
        <w:ind w:left="1740" w:right="180" w:firstLine="726"/>
        <w:spacing w:after="0" w:line="243" w:lineRule="auto"/>
        <w:tabs>
          <w:tab w:leader="none" w:pos="3662" w:val="left"/>
        </w:tabs>
        <w:numPr>
          <w:ilvl w:val="0"/>
          <w:numId w:val="19"/>
        </w:numPr>
        <w:rPr>
          <w:rFonts w:ascii="Arial" w:cs="Arial" w:eastAsia="Arial" w:hAnsi="Arial"/>
          <w:sz w:val="21"/>
          <w:szCs w:val="21"/>
          <w:color w:val="auto"/>
        </w:rPr>
      </w:pPr>
      <w:r>
        <w:rPr>
          <w:rFonts w:ascii="Arial" w:cs="Arial" w:eastAsia="Arial" w:hAnsi="Arial"/>
          <w:sz w:val="21"/>
          <w:szCs w:val="21"/>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3</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1" w:name="page62"/>
    <w:bookmarkEnd w:id="61"/>
    <w:p>
      <w:pPr>
        <w:ind w:left="1740" w:right="140" w:firstLine="726"/>
        <w:spacing w:after="0" w:line="259" w:lineRule="auto"/>
        <w:tabs>
          <w:tab w:leader="none" w:pos="363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6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For purposes of this Article I of these By-laws, the term “Proposing Person” shall mean the following persons:</w:t>
      </w:r>
    </w:p>
    <w:p>
      <w:pPr>
        <w:spacing w:after="0" w:line="41" w:lineRule="exact"/>
        <w:rPr>
          <w:sz w:val="20"/>
          <w:szCs w:val="20"/>
          <w:color w:val="auto"/>
        </w:rPr>
      </w:pPr>
    </w:p>
    <w:p>
      <w:pPr>
        <w:ind w:left="880" w:hanging="9"/>
        <w:spacing w:after="0" w:line="268" w:lineRule="auto"/>
        <w:tabs>
          <w:tab w:leader="none" w:pos="11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58" w:lineRule="exact"/>
        <w:rPr>
          <w:rFonts w:ascii="Arial" w:cs="Arial" w:eastAsia="Arial" w:hAnsi="Arial"/>
          <w:sz w:val="19"/>
          <w:szCs w:val="19"/>
          <w:color w:val="auto"/>
        </w:rPr>
      </w:pPr>
    </w:p>
    <w:p>
      <w:pPr>
        <w:ind w:left="880" w:right="40" w:firstLine="788"/>
        <w:spacing w:after="0" w:line="272" w:lineRule="auto"/>
        <w:tabs>
          <w:tab w:leader="none" w:pos="2571" w:val="left"/>
        </w:tabs>
        <w:numPr>
          <w:ilvl w:val="1"/>
          <w:numId w:val="21"/>
        </w:numPr>
        <w:rPr>
          <w:rFonts w:ascii="Arial" w:cs="Arial" w:eastAsia="Arial" w:hAnsi="Arial"/>
          <w:sz w:val="19"/>
          <w:szCs w:val="19"/>
          <w:color w:val="auto"/>
        </w:rPr>
      </w:pPr>
      <w:r>
        <w:rPr>
          <w:rFonts w:ascii="Arial" w:cs="Arial" w:eastAsia="Arial" w:hAnsi="Arial"/>
          <w:sz w:val="19"/>
          <w:szCs w:val="19"/>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ind w:left="880" w:right="20" w:firstLine="788"/>
        <w:spacing w:after="0" w:line="273" w:lineRule="auto"/>
        <w:tabs>
          <w:tab w:leader="none" w:pos="2571"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General</w:t>
      </w:r>
      <w:r>
        <w:rPr>
          <w:rFonts w:ascii="Arial" w:cs="Arial" w:eastAsia="Arial" w:hAnsi="Arial"/>
          <w:sz w:val="21"/>
          <w:szCs w:val="21"/>
          <w:color w:val="auto"/>
        </w:rPr>
        <w:t>.</w:t>
      </w:r>
    </w:p>
    <w:p>
      <w:pPr>
        <w:spacing w:after="0" w:line="214" w:lineRule="exact"/>
        <w:rPr>
          <w:sz w:val="20"/>
          <w:szCs w:val="20"/>
          <w:color w:val="auto"/>
        </w:rPr>
      </w:pPr>
    </w:p>
    <w:p>
      <w:pPr>
        <w:ind w:left="880" w:firstLine="788"/>
        <w:spacing w:after="0" w:line="255" w:lineRule="auto"/>
        <w:tabs>
          <w:tab w:leader="none" w:pos="2571" w:val="left"/>
        </w:tabs>
        <w:numPr>
          <w:ilvl w:val="0"/>
          <w:numId w:val="23"/>
        </w:numPr>
        <w:rPr>
          <w:rFonts w:ascii="Arial" w:cs="Arial" w:eastAsia="Arial" w:hAnsi="Arial"/>
          <w:sz w:val="20"/>
          <w:szCs w:val="20"/>
          <w:color w:val="auto"/>
        </w:rPr>
      </w:pPr>
      <w:r>
        <w:rPr>
          <w:rFonts w:ascii="Arial" w:cs="Arial" w:eastAsia="Arial" w:hAnsi="Arial"/>
          <w:sz w:val="20"/>
          <w:szCs w:val="20"/>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77" w:lineRule="exact"/>
        <w:rPr>
          <w:rFonts w:ascii="Arial" w:cs="Arial" w:eastAsia="Arial" w:hAnsi="Arial"/>
          <w:sz w:val="20"/>
          <w:szCs w:val="20"/>
          <w:color w:val="auto"/>
        </w:rPr>
      </w:pPr>
    </w:p>
    <w:p>
      <w:pPr>
        <w:ind w:left="880" w:right="60" w:firstLine="788"/>
        <w:spacing w:after="0" w:line="250" w:lineRule="auto"/>
        <w:tabs>
          <w:tab w:leader="none" w:pos="2571" w:val="left"/>
        </w:tabs>
        <w:numPr>
          <w:ilvl w:val="0"/>
          <w:numId w:val="23"/>
        </w:numPr>
        <w:rPr>
          <w:rFonts w:ascii="Arial" w:cs="Arial" w:eastAsia="Arial" w:hAnsi="Arial"/>
          <w:sz w:val="21"/>
          <w:szCs w:val="21"/>
          <w:color w:val="auto"/>
        </w:rPr>
      </w:pPr>
      <w:r>
        <w:rPr>
          <w:rFonts w:ascii="Arial" w:cs="Arial" w:eastAsia="Arial" w:hAnsi="Arial"/>
          <w:sz w:val="21"/>
          <w:szCs w:val="21"/>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3" w:lineRule="exact"/>
        <w:rPr>
          <w:rFonts w:ascii="Arial" w:cs="Arial" w:eastAsia="Arial" w:hAnsi="Arial"/>
          <w:sz w:val="21"/>
          <w:szCs w:val="21"/>
          <w:color w:val="auto"/>
        </w:rPr>
      </w:pPr>
    </w:p>
    <w:p>
      <w:pPr>
        <w:ind w:left="880" w:right="40" w:firstLine="788"/>
        <w:spacing w:after="0" w:line="259" w:lineRule="auto"/>
        <w:tabs>
          <w:tab w:leader="none" w:pos="2571" w:val="left"/>
        </w:tabs>
        <w:numPr>
          <w:ilvl w:val="0"/>
          <w:numId w:val="23"/>
        </w:numPr>
        <w:rPr>
          <w:rFonts w:ascii="Arial" w:cs="Arial" w:eastAsia="Arial" w:hAnsi="Arial"/>
          <w:sz w:val="20"/>
          <w:szCs w:val="20"/>
          <w:color w:val="auto"/>
        </w:rPr>
      </w:pPr>
      <w:r>
        <w:rPr>
          <w:rFonts w:ascii="Arial" w:cs="Arial" w:eastAsia="Arial" w:hAnsi="Arial"/>
          <w:sz w:val="20"/>
          <w:szCs w:val="20"/>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ind w:left="880" w:right="160"/>
        <w:spacing w:after="0" w:line="271" w:lineRule="auto"/>
        <w:rPr>
          <w:sz w:val="20"/>
          <w:szCs w:val="20"/>
          <w:color w:val="auto"/>
        </w:rPr>
      </w:pPr>
      <w:r>
        <w:rPr>
          <w:rFonts w:ascii="Arial" w:cs="Arial" w:eastAsia="Arial" w:hAnsi="Arial"/>
          <w:sz w:val="21"/>
          <w:szCs w:val="21"/>
          <w:color w:val="auto"/>
        </w:rPr>
        <w:t>electronic transmission, or a reliable reproduction of the written instrument or electronic transmission, to the presiding officer at the meeting of stockholders.</w:t>
      </w:r>
    </w:p>
    <w:p>
      <w:pPr>
        <w:spacing w:after="0" w:line="152" w:lineRule="exact"/>
        <w:rPr>
          <w:sz w:val="20"/>
          <w:szCs w:val="20"/>
          <w:color w:val="auto"/>
        </w:rPr>
      </w:pPr>
    </w:p>
    <w:p>
      <w:pPr>
        <w:ind w:left="880" w:right="160" w:firstLine="788"/>
        <w:spacing w:after="0" w:line="250" w:lineRule="auto"/>
        <w:tabs>
          <w:tab w:leader="none" w:pos="2571" w:val="left"/>
        </w:tabs>
        <w:numPr>
          <w:ilvl w:val="0"/>
          <w:numId w:val="24"/>
        </w:numPr>
        <w:rPr>
          <w:rFonts w:ascii="Arial" w:cs="Arial" w:eastAsia="Arial" w:hAnsi="Arial"/>
          <w:sz w:val="21"/>
          <w:szCs w:val="21"/>
          <w:color w:val="auto"/>
        </w:rPr>
      </w:pPr>
      <w:r>
        <w:rPr>
          <w:rFonts w:ascii="Arial" w:cs="Arial" w:eastAsia="Arial" w:hAnsi="Arial"/>
          <w:sz w:val="21"/>
          <w:szCs w:val="21"/>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3" w:lineRule="exact"/>
        <w:rPr>
          <w:rFonts w:ascii="Arial" w:cs="Arial" w:eastAsia="Arial" w:hAnsi="Arial"/>
          <w:sz w:val="21"/>
          <w:szCs w:val="21"/>
          <w:color w:val="auto"/>
        </w:rPr>
      </w:pPr>
    </w:p>
    <w:p>
      <w:pPr>
        <w:ind w:left="880" w:right="220" w:firstLine="788"/>
        <w:spacing w:after="0" w:line="245" w:lineRule="auto"/>
        <w:tabs>
          <w:tab w:leader="none" w:pos="2571"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78" w:lineRule="exact"/>
        <w:rPr>
          <w:sz w:val="20"/>
          <w:szCs w:val="20"/>
          <w:color w:val="auto"/>
        </w:rPr>
      </w:pPr>
    </w:p>
    <w:p>
      <w:pPr>
        <w:ind w:firstLine="864"/>
        <w:spacing w:after="0" w:line="25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Special Meetings</w:t>
      </w:r>
      <w:r>
        <w:rPr>
          <w:rFonts w:ascii="Arial" w:cs="Arial" w:eastAsia="Arial" w:hAnsi="Arial"/>
          <w:sz w:val="20"/>
          <w:szCs w:val="20"/>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7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Notice of Meetings; Adjournments</w:t>
      </w:r>
      <w:r>
        <w:rPr>
          <w:rFonts w:ascii="Arial" w:cs="Arial" w:eastAsia="Arial" w:hAnsi="Arial"/>
          <w:sz w:val="19"/>
          <w:szCs w:val="19"/>
          <w:color w:val="auto"/>
        </w:rPr>
        <w:t>.</w:t>
      </w:r>
    </w:p>
    <w:p>
      <w:pPr>
        <w:spacing w:after="0" w:line="214" w:lineRule="exact"/>
        <w:rPr>
          <w:sz w:val="20"/>
          <w:szCs w:val="20"/>
          <w:color w:val="auto"/>
        </w:rPr>
      </w:pPr>
    </w:p>
    <w:p>
      <w:pPr>
        <w:ind w:right="160" w:firstLine="864"/>
        <w:spacing w:after="0" w:line="259" w:lineRule="auto"/>
        <w:rPr>
          <w:sz w:val="20"/>
          <w:szCs w:val="20"/>
          <w:color w:val="auto"/>
        </w:rPr>
      </w:pPr>
      <w:r>
        <w:rPr>
          <w:rFonts w:ascii="Arial" w:cs="Arial" w:eastAsia="Arial" w:hAnsi="Arial"/>
          <w:sz w:val="20"/>
          <w:szCs w:val="20"/>
          <w:color w:val="auto"/>
        </w:rPr>
        <w:t>(a)A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6</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64" w:name="page65"/>
    <w:bookmarkEnd w:id="64"/>
    <w:p>
      <w:pPr>
        <w:ind w:right="140" w:firstLine="871"/>
        <w:spacing w:after="0" w:line="325" w:lineRule="auto"/>
        <w:tabs>
          <w:tab w:leader="none" w:pos="1757"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05" w:lineRule="exact"/>
        <w:rPr>
          <w:rFonts w:ascii="Arial" w:cs="Arial" w:eastAsia="Arial" w:hAnsi="Arial"/>
          <w:sz w:val="19"/>
          <w:szCs w:val="19"/>
          <w:color w:val="auto"/>
        </w:rPr>
      </w:pPr>
    </w:p>
    <w:p>
      <w:pPr>
        <w:ind w:firstLine="871"/>
        <w:spacing w:after="0" w:line="266" w:lineRule="auto"/>
        <w:tabs>
          <w:tab w:leader="none" w:pos="1745"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60" w:lineRule="exact"/>
        <w:rPr>
          <w:rFonts w:ascii="Arial" w:cs="Arial" w:eastAsia="Arial" w:hAnsi="Arial"/>
          <w:sz w:val="20"/>
          <w:szCs w:val="20"/>
          <w:color w:val="auto"/>
        </w:rPr>
      </w:pPr>
    </w:p>
    <w:p>
      <w:pPr>
        <w:ind w:right="300" w:firstLine="871"/>
        <w:spacing w:after="0" w:line="280" w:lineRule="auto"/>
        <w:tabs>
          <w:tab w:leader="none" w:pos="175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46" w:lineRule="exact"/>
        <w:rPr>
          <w:rFonts w:ascii="Arial" w:cs="Arial" w:eastAsia="Arial" w:hAnsi="Arial"/>
          <w:sz w:val="19"/>
          <w:szCs w:val="19"/>
          <w:color w:val="auto"/>
        </w:rPr>
      </w:pPr>
    </w:p>
    <w:p>
      <w:pPr>
        <w:ind w:right="80" w:firstLine="871"/>
        <w:spacing w:after="0" w:line="270" w:lineRule="auto"/>
        <w:tabs>
          <w:tab w:leader="none" w:pos="1745" w:val="left"/>
        </w:tabs>
        <w:numPr>
          <w:ilvl w:val="0"/>
          <w:numId w:val="25"/>
        </w:numPr>
        <w:rPr>
          <w:rFonts w:ascii="Arial" w:cs="Arial" w:eastAsia="Arial" w:hAnsi="Arial"/>
          <w:sz w:val="19"/>
          <w:szCs w:val="19"/>
          <w:color w:val="auto"/>
        </w:rPr>
      </w:pPr>
      <w:r>
        <w:rPr>
          <w:rFonts w:ascii="Arial" w:cs="Arial" w:eastAsia="Arial" w:hAnsi="Arial"/>
          <w:sz w:val="19"/>
          <w:szCs w:val="19"/>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56" w:lineRule="exact"/>
        <w:rPr>
          <w:sz w:val="20"/>
          <w:szCs w:val="20"/>
          <w:color w:val="auto"/>
        </w:rPr>
      </w:pPr>
    </w:p>
    <w:p>
      <w:pPr>
        <w:ind w:right="40" w:firstLine="864"/>
        <w:spacing w:after="0" w:line="27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Quorum</w:t>
      </w:r>
      <w:r>
        <w:rPr>
          <w:rFonts w:ascii="Arial" w:cs="Arial" w:eastAsia="Arial" w:hAnsi="Arial"/>
          <w:sz w:val="19"/>
          <w:szCs w:val="19"/>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7</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adjournment, notwithstanding the withdrawal of enough stockholders to leave less than a quorum.</w:t>
      </w:r>
    </w:p>
    <w:p>
      <w:pPr>
        <w:spacing w:after="0" w:line="214" w:lineRule="exact"/>
        <w:rPr>
          <w:sz w:val="20"/>
          <w:szCs w:val="20"/>
          <w:color w:val="auto"/>
        </w:rPr>
      </w:pPr>
    </w:p>
    <w:p>
      <w:pPr>
        <w:ind w:right="40" w:firstLine="864"/>
        <w:spacing w:after="0" w:line="25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Voting and Proxies</w:t>
      </w:r>
      <w:r>
        <w:rPr>
          <w:rFonts w:ascii="Arial" w:cs="Arial" w:eastAsia="Arial" w:hAnsi="Arial"/>
          <w:sz w:val="20"/>
          <w:szCs w:val="20"/>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w:t>
      </w:r>
    </w:p>
    <w:p>
      <w:pPr>
        <w:ind w:right="40"/>
        <w:spacing w:after="0" w:line="270" w:lineRule="auto"/>
        <w:rPr>
          <w:sz w:val="20"/>
          <w:szCs w:val="20"/>
          <w:color w:val="auto"/>
        </w:rPr>
      </w:pPr>
      <w:r>
        <w:rPr>
          <w:rFonts w:ascii="Arial" w:cs="Arial" w:eastAsia="Arial" w:hAnsi="Arial"/>
          <w:sz w:val="19"/>
          <w:szCs w:val="19"/>
          <w:color w:val="auto"/>
        </w:rPr>
        <w:t>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56" w:lineRule="exact"/>
        <w:rPr>
          <w:sz w:val="20"/>
          <w:szCs w:val="20"/>
          <w:color w:val="auto"/>
        </w:rPr>
      </w:pPr>
    </w:p>
    <w:p>
      <w:pPr>
        <w:ind w:right="20" w:firstLine="864"/>
        <w:spacing w:after="0" w:line="255"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Action at Meeting</w:t>
      </w:r>
      <w:r>
        <w:rPr>
          <w:rFonts w:ascii="Arial" w:cs="Arial" w:eastAsia="Arial" w:hAnsi="Arial"/>
          <w:sz w:val="20"/>
          <w:szCs w:val="20"/>
          <w:color w:val="auto"/>
        </w:rPr>
        <w:t>. When a quorum is present at any meeting of stockholders, any matter before any such meeting shall be decided by a majority of the votes properly cast for and against such matter, except where a larger vote is required by law, by the Certificate or by these By-laws. When a quorum is present in any meeting, a nominee for director shall be elected to the Board of Directors if the number of votes cast for such nominee’s election exceed the number of votes cast against such nominee’s election; provided, however, that in a contested election, a nominee shall be elected by a plurality of the votes cast by the stockholders entitled to vote at the election on such election of directors. An election shall be considered contested if, as of the last date on which nominees for director may be submitted in accordance with these By-laws, the nominees for election to the Board of Directors exceeds the number of positions on the Board of Directors to be filled by election at that meeting. If an incumbent director is not re-elected, the director shall tender his or her resignation to the Board of Directors.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ninety (90) days from the date of the certification of the election results. A director who tenders his or her resignation may not participate in any meeting of the Board of Directors or any committee thereof until the Board of Directors has determined not to accept his or her resignation.</w:t>
      </w:r>
    </w:p>
    <w:p>
      <w:pPr>
        <w:spacing w:after="0" w:line="169" w:lineRule="exact"/>
        <w:rPr>
          <w:sz w:val="20"/>
          <w:szCs w:val="20"/>
          <w:color w:val="auto"/>
        </w:rPr>
      </w:pPr>
    </w:p>
    <w:p>
      <w:pPr>
        <w:ind w:firstLine="864"/>
        <w:spacing w:after="0" w:line="250"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Stockholder Lists</w:t>
      </w:r>
      <w:r>
        <w:rPr>
          <w:rFonts w:ascii="Arial" w:cs="Arial" w:eastAsia="Arial" w:hAnsi="Arial"/>
          <w:sz w:val="21"/>
          <w:szCs w:val="21"/>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6" w:name="page67"/>
    <w:bookmarkEnd w:id="66"/>
    <w:p>
      <w:pPr>
        <w:spacing w:after="0" w:line="255" w:lineRule="auto"/>
        <w:rPr>
          <w:sz w:val="20"/>
          <w:szCs w:val="20"/>
          <w:color w:val="auto"/>
        </w:rPr>
      </w:pPr>
      <w:r>
        <w:rPr>
          <w:rFonts w:ascii="Arial" w:cs="Arial" w:eastAsia="Arial" w:hAnsi="Arial"/>
          <w:sz w:val="21"/>
          <w:szCs w:val="21"/>
          <w:color w:val="auto"/>
        </w:rPr>
        <w:t>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69" w:lineRule="exact"/>
        <w:rPr>
          <w:sz w:val="20"/>
          <w:szCs w:val="20"/>
          <w:color w:val="auto"/>
        </w:rPr>
      </w:pPr>
    </w:p>
    <w:p>
      <w:pPr>
        <w:ind w:right="60" w:firstLine="864"/>
        <w:spacing w:after="0" w:line="243"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Presiding Officer</w:t>
      </w:r>
      <w:r>
        <w:rPr>
          <w:rFonts w:ascii="Arial" w:cs="Arial" w:eastAsia="Arial" w:hAnsi="Arial"/>
          <w:sz w:val="21"/>
          <w:szCs w:val="21"/>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82"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1"/>
          <w:szCs w:val="21"/>
          <w:color w:val="auto"/>
        </w:rPr>
        <w:t>SECTION 10.</w:t>
      </w:r>
      <w:r>
        <w:rPr>
          <w:sz w:val="20"/>
          <w:szCs w:val="20"/>
          <w:color w:val="auto"/>
        </w:rPr>
        <w:tab/>
      </w:r>
      <w:r>
        <w:rPr>
          <w:rFonts w:ascii="Arial" w:cs="Arial" w:eastAsia="Arial" w:hAnsi="Arial"/>
          <w:sz w:val="19"/>
          <w:szCs w:val="19"/>
          <w:u w:val="single" w:color="auto"/>
          <w:color w:val="auto"/>
        </w:rPr>
        <w:t>Inspectors of Elections</w:t>
      </w:r>
      <w:r>
        <w:rPr>
          <w:rFonts w:ascii="Arial" w:cs="Arial" w:eastAsia="Arial" w:hAnsi="Arial"/>
          <w:sz w:val="19"/>
          <w:szCs w:val="19"/>
          <w:color w:val="auto"/>
        </w:rPr>
        <w:t>. The Corporation shall, in advance of any meeting of stockholders, appoint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one or more inspectors to act at the meeting and make a written report thereof. The Corporation may designate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persons as alternate inspectors to replace any inspector who fails to act. If no inspector or alternate is able to act at a meeting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stockholders, the presiding officer shall appoint one or more inspectors to act at the meeting. Any inspector may, but need not, be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an officer, employee or agent of the Corporation. Each inspector, before entering upon the discharge of his or her duties, shall take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and sign an oath faithfully to execute the duties of inspector with strict impartiality and according to the best of his or her</w:t>
      </w:r>
    </w:p>
    <w:p>
      <w:pPr>
        <w:spacing w:after="0"/>
        <w:rPr>
          <w:sz w:val="20"/>
          <w:szCs w:val="20"/>
          <w:color w:val="auto"/>
        </w:rPr>
      </w:pPr>
      <w:r>
        <w:rPr>
          <w:rFonts w:ascii="Arial" w:cs="Arial" w:eastAsia="Arial" w:hAnsi="Arial"/>
          <w:sz w:val="19"/>
          <w:szCs w:val="19"/>
          <w:color w:val="auto"/>
        </w:rPr>
        <w:t>ability. The inspectors shall perform such duties as are required by the DGCL, including the counting of all votes and ballots. The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inspectors may appoint or retain other persons or entities to assist the inspectors in the performance of the duties of the</w:t>
      </w:r>
    </w:p>
    <w:p>
      <w:pPr>
        <w:spacing w:after="0"/>
        <w:rPr>
          <w:sz w:val="20"/>
          <w:szCs w:val="20"/>
          <w:color w:val="auto"/>
        </w:rPr>
      </w:pPr>
      <w:r>
        <w:rPr>
          <w:rFonts w:ascii="Arial" w:cs="Arial" w:eastAsia="Arial" w:hAnsi="Arial"/>
          <w:sz w:val="19"/>
          <w:szCs w:val="19"/>
          <w:color w:val="auto"/>
        </w:rPr>
        <w:t>inspectors. The presiding officer may review all determinations made by the inspectors, and in so doing the presiding officer shall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be entitled to exercise his or her sole judgment and discretion and he or she shall not be bound by any determinations made by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inspectors. All determinations by the inspectors and, if applicable, the presiding officer, shall be subject to further review by any</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court of competent jurisdiction.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ARTICLE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Directors</w:t>
      </w:r>
    </w:p>
    <w:p>
      <w:pPr>
        <w:spacing w:after="0" w:line="214" w:lineRule="exact"/>
        <w:rPr>
          <w:sz w:val="20"/>
          <w:szCs w:val="20"/>
          <w:color w:val="auto"/>
        </w:rPr>
      </w:pPr>
    </w:p>
    <w:p>
      <w:pPr>
        <w:ind w:right="160" w:firstLine="864"/>
        <w:spacing w:after="0" w:line="271"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Powers</w:t>
      </w:r>
      <w:r>
        <w:rPr>
          <w:rFonts w:ascii="Arial" w:cs="Arial" w:eastAsia="Arial" w:hAnsi="Arial"/>
          <w:sz w:val="21"/>
          <w:szCs w:val="21"/>
          <w:color w:val="auto"/>
        </w:rPr>
        <w:t>. The business and affairs of the Corporation shall be managed by or under the direction of the Board of Directors except as otherwise provided by the Certificate or required by law.</w:t>
      </w:r>
    </w:p>
    <w:p>
      <w:pPr>
        <w:spacing w:after="0" w:line="152" w:lineRule="exact"/>
        <w:rPr>
          <w:sz w:val="20"/>
          <w:szCs w:val="20"/>
          <w:color w:val="auto"/>
        </w:rPr>
      </w:pPr>
    </w:p>
    <w:p>
      <w:pPr>
        <w:ind w:right="140" w:firstLine="864"/>
        <w:spacing w:after="0" w:line="255"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Number and Terms</w:t>
      </w:r>
      <w:r>
        <w:rPr>
          <w:rFonts w:ascii="Arial" w:cs="Arial" w:eastAsia="Arial" w:hAnsi="Arial"/>
          <w:sz w:val="21"/>
          <w:szCs w:val="21"/>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7" w:name="page68"/>
    <w:bookmarkEnd w:id="67"/>
    <w:p>
      <w:pPr>
        <w:ind w:left="880"/>
        <w:spacing w:after="0"/>
        <w:tabs>
          <w:tab w:leader="none" w:pos="262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u w:val="single" w:color="auto"/>
          <w:color w:val="auto"/>
        </w:rPr>
        <w:t>Qualification</w:t>
      </w:r>
      <w:r>
        <w:rPr>
          <w:rFonts w:ascii="Arial" w:cs="Arial" w:eastAsia="Arial" w:hAnsi="Arial"/>
          <w:sz w:val="19"/>
          <w:szCs w:val="19"/>
          <w:color w:val="auto"/>
        </w:rPr>
        <w:t>. No director need be a stockholder of the Corporation.</w:t>
      </w:r>
    </w:p>
    <w:p>
      <w:pPr>
        <w:spacing w:after="0" w:line="214" w:lineRule="exact"/>
        <w:rPr>
          <w:sz w:val="20"/>
          <w:szCs w:val="20"/>
          <w:color w:val="auto"/>
        </w:rPr>
      </w:pPr>
    </w:p>
    <w:p>
      <w:pPr>
        <w:ind w:right="700" w:firstLine="864"/>
        <w:spacing w:after="0" w:line="271"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Vacancies</w:t>
      </w:r>
      <w:r>
        <w:rPr>
          <w:rFonts w:ascii="Arial" w:cs="Arial" w:eastAsia="Arial" w:hAnsi="Arial"/>
          <w:sz w:val="21"/>
          <w:szCs w:val="21"/>
          <w:color w:val="auto"/>
        </w:rPr>
        <w:t>. Vacancies in the Board of Directors shall be filled in the manner provided in the Certificate.</w:t>
      </w:r>
    </w:p>
    <w:p>
      <w:pPr>
        <w:spacing w:after="0" w:line="152"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Removal</w:t>
      </w:r>
      <w:r>
        <w:rPr>
          <w:rFonts w:ascii="Arial" w:cs="Arial" w:eastAsia="Arial" w:hAnsi="Arial"/>
          <w:sz w:val="19"/>
          <w:szCs w:val="19"/>
          <w:color w:val="auto"/>
        </w:rPr>
        <w:t>. Directors may be removed from office only in the manner provided in the Certificate.</w:t>
      </w:r>
    </w:p>
    <w:p>
      <w:pPr>
        <w:spacing w:after="0" w:line="214" w:lineRule="exact"/>
        <w:rPr>
          <w:sz w:val="20"/>
          <w:szCs w:val="20"/>
          <w:color w:val="auto"/>
        </w:rPr>
      </w:pPr>
    </w:p>
    <w:p>
      <w:pPr>
        <w:ind w:right="440" w:firstLine="864"/>
        <w:spacing w:after="0" w:line="25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Resignation</w:t>
      </w:r>
      <w:r>
        <w:rPr>
          <w:rFonts w:ascii="Arial" w:cs="Arial" w:eastAsia="Arial" w:hAnsi="Arial"/>
          <w:sz w:val="21"/>
          <w:szCs w:val="21"/>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69" w:lineRule="exact"/>
        <w:rPr>
          <w:sz w:val="20"/>
          <w:szCs w:val="20"/>
          <w:color w:val="auto"/>
        </w:rPr>
      </w:pPr>
    </w:p>
    <w:p>
      <w:pPr>
        <w:ind w:firstLine="864"/>
        <w:spacing w:after="0" w:line="247"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Regular Meetings</w:t>
      </w:r>
      <w:r>
        <w:rPr>
          <w:rFonts w:ascii="Arial" w:cs="Arial" w:eastAsia="Arial" w:hAnsi="Arial"/>
          <w:sz w:val="21"/>
          <w:szCs w:val="21"/>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8" w:lineRule="exact"/>
        <w:rPr>
          <w:sz w:val="20"/>
          <w:szCs w:val="20"/>
          <w:color w:val="auto"/>
        </w:rPr>
      </w:pPr>
    </w:p>
    <w:p>
      <w:pPr>
        <w:ind w:firstLine="864"/>
        <w:spacing w:after="0" w:line="255"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69" w:lineRule="exact"/>
        <w:rPr>
          <w:sz w:val="20"/>
          <w:szCs w:val="20"/>
          <w:color w:val="auto"/>
        </w:rPr>
      </w:pPr>
    </w:p>
    <w:p>
      <w:pPr>
        <w:ind w:right="40" w:firstLine="864"/>
        <w:spacing w:after="0" w:line="269"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61" w:lineRule="exact"/>
        <w:rPr>
          <w:sz w:val="20"/>
          <w:szCs w:val="20"/>
          <w:color w:val="auto"/>
        </w:rPr>
      </w:pPr>
    </w:p>
    <w:p>
      <w:pPr>
        <w:ind w:right="380" w:firstLine="864"/>
        <w:spacing w:after="0" w:line="271"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Quorum</w:t>
      </w:r>
      <w:r>
        <w:rPr>
          <w:rFonts w:ascii="Arial" w:cs="Arial" w:eastAsia="Arial" w:hAnsi="Arial"/>
          <w:sz w:val="21"/>
          <w:szCs w:val="21"/>
          <w:color w:val="auto"/>
        </w:rPr>
        <w:t>. At any meeting of the Board of Directors, a majority of the total number of directors shall constitute a quorum for the transaction of business, but if less than a</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68" w:name="page69"/>
    <w:bookmarkEnd w:id="68"/>
    <w:p>
      <w:pPr>
        <w:ind w:right="100"/>
        <w:spacing w:after="0" w:line="250" w:lineRule="auto"/>
        <w:rPr>
          <w:sz w:val="20"/>
          <w:szCs w:val="20"/>
          <w:color w:val="auto"/>
        </w:rPr>
      </w:pPr>
      <w:r>
        <w:rPr>
          <w:rFonts w:ascii="Arial" w:cs="Arial" w:eastAsia="Arial" w:hAnsi="Arial"/>
          <w:sz w:val="21"/>
          <w:szCs w:val="21"/>
          <w:color w:val="auto"/>
        </w:rPr>
        <w:t>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73" w:lineRule="exact"/>
        <w:rPr>
          <w:sz w:val="20"/>
          <w:szCs w:val="20"/>
          <w:color w:val="auto"/>
        </w:rPr>
      </w:pPr>
    </w:p>
    <w:p>
      <w:pPr>
        <w:jc w:val="both"/>
        <w:ind w:right="240" w:firstLine="864"/>
        <w:spacing w:after="0" w:line="255"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Action at Meeting</w:t>
      </w:r>
      <w:r>
        <w:rPr>
          <w:rFonts w:ascii="Arial" w:cs="Arial" w:eastAsia="Arial" w:hAnsi="Arial"/>
          <w:sz w:val="21"/>
          <w:szCs w:val="21"/>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9" w:lineRule="exact"/>
        <w:rPr>
          <w:sz w:val="20"/>
          <w:szCs w:val="20"/>
          <w:color w:val="auto"/>
        </w:rPr>
      </w:pPr>
    </w:p>
    <w:p>
      <w:pPr>
        <w:ind w:right="200" w:firstLine="864"/>
        <w:spacing w:after="0" w:line="246"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Action by Consent</w:t>
      </w:r>
      <w:r>
        <w:rPr>
          <w:rFonts w:ascii="Arial" w:cs="Arial" w:eastAsia="Arial" w:hAnsi="Arial"/>
          <w:sz w:val="21"/>
          <w:szCs w:val="21"/>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77" w:lineRule="exact"/>
        <w:rPr>
          <w:sz w:val="20"/>
          <w:szCs w:val="20"/>
          <w:color w:val="auto"/>
        </w:rPr>
      </w:pPr>
    </w:p>
    <w:p>
      <w:pPr>
        <w:ind w:right="140" w:firstLine="864"/>
        <w:spacing w:after="0" w:line="250"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Manner of Participation</w:t>
      </w:r>
      <w:r>
        <w:rPr>
          <w:rFonts w:ascii="Arial" w:cs="Arial" w:eastAsia="Arial" w:hAnsi="Arial"/>
          <w:sz w:val="21"/>
          <w:szCs w:val="21"/>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3" w:lineRule="exact"/>
        <w:rPr>
          <w:sz w:val="20"/>
          <w:szCs w:val="20"/>
          <w:color w:val="auto"/>
        </w:rPr>
      </w:pPr>
    </w:p>
    <w:p>
      <w:pPr>
        <w:ind w:firstLine="864"/>
        <w:spacing w:after="0" w:line="246"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Presiding Director</w:t>
      </w:r>
      <w:r>
        <w:rPr>
          <w:rFonts w:ascii="Arial" w:cs="Arial" w:eastAsia="Arial" w:hAnsi="Arial"/>
          <w:sz w:val="21"/>
          <w:szCs w:val="21"/>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77" w:lineRule="exact"/>
        <w:rPr>
          <w:sz w:val="20"/>
          <w:szCs w:val="20"/>
          <w:color w:val="auto"/>
        </w:rPr>
      </w:pPr>
    </w:p>
    <w:p>
      <w:pPr>
        <w:ind w:right="100" w:firstLine="864"/>
        <w:spacing w:after="0" w:line="257"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Committees</w:t>
      </w:r>
      <w:r>
        <w:rPr>
          <w:rFonts w:ascii="Arial" w:cs="Arial" w:eastAsia="Arial" w:hAnsi="Arial"/>
          <w:sz w:val="20"/>
          <w:szCs w:val="20"/>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69" w:name="page70"/>
    <w:bookmarkEnd w:id="69"/>
    <w:p>
      <w:pPr>
        <w:ind w:right="60" w:firstLine="864"/>
        <w:spacing w:after="0" w:line="250"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Compensation of Directors</w:t>
      </w:r>
      <w:r>
        <w:rPr>
          <w:rFonts w:ascii="Arial" w:cs="Arial" w:eastAsia="Arial" w:hAnsi="Arial"/>
          <w:sz w:val="21"/>
          <w:szCs w:val="21"/>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ARTICLE III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Officers</w:t>
      </w:r>
    </w:p>
    <w:p>
      <w:pPr>
        <w:spacing w:after="0" w:line="214" w:lineRule="exact"/>
        <w:rPr>
          <w:sz w:val="20"/>
          <w:szCs w:val="20"/>
          <w:color w:val="auto"/>
        </w:rPr>
      </w:pPr>
    </w:p>
    <w:p>
      <w:pPr>
        <w:ind w:right="80" w:firstLine="864"/>
        <w:spacing w:after="0" w:line="250"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Enumeration</w:t>
      </w:r>
      <w:r>
        <w:rPr>
          <w:rFonts w:ascii="Arial" w:cs="Arial" w:eastAsia="Arial" w:hAnsi="Arial"/>
          <w:sz w:val="21"/>
          <w:szCs w:val="21"/>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73" w:lineRule="exact"/>
        <w:rPr>
          <w:sz w:val="20"/>
          <w:szCs w:val="20"/>
          <w:color w:val="auto"/>
        </w:rPr>
      </w:pPr>
    </w:p>
    <w:p>
      <w:pPr>
        <w:ind w:right="220" w:firstLine="864"/>
        <w:spacing w:after="0" w:line="255"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Election</w:t>
      </w:r>
      <w:r>
        <w:rPr>
          <w:rFonts w:ascii="Arial" w:cs="Arial" w:eastAsia="Arial" w:hAnsi="Arial"/>
          <w:sz w:val="21"/>
          <w:szCs w:val="21"/>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69" w:lineRule="exact"/>
        <w:rPr>
          <w:sz w:val="20"/>
          <w:szCs w:val="20"/>
          <w:color w:val="auto"/>
        </w:rPr>
      </w:pPr>
    </w:p>
    <w:p>
      <w:pPr>
        <w:ind w:right="220" w:firstLine="864"/>
        <w:spacing w:after="0" w:line="271"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Qualification</w:t>
      </w:r>
      <w:r>
        <w:rPr>
          <w:rFonts w:ascii="Arial" w:cs="Arial" w:eastAsia="Arial" w:hAnsi="Arial"/>
          <w:sz w:val="21"/>
          <w:szCs w:val="21"/>
          <w:color w:val="auto"/>
        </w:rPr>
        <w:t>. No officer need be a stockholder or a director. Any person may occupy more than one office of the Corporation at any time.</w:t>
      </w:r>
    </w:p>
    <w:p>
      <w:pPr>
        <w:spacing w:after="0" w:line="152" w:lineRule="exact"/>
        <w:rPr>
          <w:sz w:val="20"/>
          <w:szCs w:val="20"/>
          <w:color w:val="auto"/>
        </w:rPr>
      </w:pPr>
    </w:p>
    <w:p>
      <w:pPr>
        <w:ind w:firstLine="864"/>
        <w:spacing w:after="0" w:line="255"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Tenure</w:t>
      </w:r>
      <w:r>
        <w:rPr>
          <w:rFonts w:ascii="Arial" w:cs="Arial" w:eastAsia="Arial" w:hAnsi="Arial"/>
          <w:sz w:val="21"/>
          <w:szCs w:val="21"/>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69" w:lineRule="exact"/>
        <w:rPr>
          <w:sz w:val="20"/>
          <w:szCs w:val="20"/>
          <w:color w:val="auto"/>
        </w:rPr>
      </w:pPr>
    </w:p>
    <w:p>
      <w:pPr>
        <w:ind w:right="60" w:firstLine="864"/>
        <w:spacing w:after="0" w:line="25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Resignation</w:t>
      </w:r>
      <w:r>
        <w:rPr>
          <w:rFonts w:ascii="Arial" w:cs="Arial" w:eastAsia="Arial" w:hAnsi="Arial"/>
          <w:sz w:val="21"/>
          <w:szCs w:val="21"/>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69" w:lineRule="exact"/>
        <w:rPr>
          <w:sz w:val="20"/>
          <w:szCs w:val="20"/>
          <w:color w:val="auto"/>
        </w:rPr>
      </w:pPr>
    </w:p>
    <w:p>
      <w:pPr>
        <w:ind w:right="340" w:firstLine="864"/>
        <w:spacing w:after="0" w:line="271"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Removal</w:t>
      </w:r>
      <w:r>
        <w:rPr>
          <w:rFonts w:ascii="Arial" w:cs="Arial" w:eastAsia="Arial" w:hAnsi="Arial"/>
          <w:sz w:val="21"/>
          <w:szCs w:val="21"/>
          <w:color w:val="auto"/>
        </w:rPr>
        <w:t>. Except as otherwise provided by law, the Board of Directors may remove any officer with or without cause by the affirmative vote of a majority of the directors then in office.</w:t>
      </w:r>
    </w:p>
    <w:p>
      <w:pPr>
        <w:spacing w:after="0" w:line="152" w:lineRule="exact"/>
        <w:rPr>
          <w:sz w:val="20"/>
          <w:szCs w:val="20"/>
          <w:color w:val="auto"/>
        </w:rPr>
      </w:pPr>
    </w:p>
    <w:p>
      <w:pPr>
        <w:ind w:right="760" w:firstLine="864"/>
        <w:spacing w:after="0" w:line="271"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Absence or Disability</w:t>
      </w:r>
      <w:r>
        <w:rPr>
          <w:rFonts w:ascii="Arial" w:cs="Arial" w:eastAsia="Arial" w:hAnsi="Arial"/>
          <w:sz w:val="21"/>
          <w:szCs w:val="21"/>
          <w:color w:val="auto"/>
        </w:rPr>
        <w:t>. In the event of the absence or disability of any officer, the Board of Directors may designate another officer to act temporarily in place of such absent or disabled officer.</w:t>
      </w:r>
    </w:p>
    <w:p>
      <w:pPr>
        <w:spacing w:after="0" w:line="152" w:lineRule="exact"/>
        <w:rPr>
          <w:sz w:val="20"/>
          <w:szCs w:val="20"/>
          <w:color w:val="auto"/>
        </w:rPr>
      </w:pPr>
    </w:p>
    <w:p>
      <w:pPr>
        <w:ind w:right="340" w:firstLine="864"/>
        <w:spacing w:after="0" w:line="271"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Vacancies</w:t>
      </w:r>
      <w:r>
        <w:rPr>
          <w:rFonts w:ascii="Arial" w:cs="Arial" w:eastAsia="Arial" w:hAnsi="Arial"/>
          <w:sz w:val="21"/>
          <w:szCs w:val="21"/>
          <w:color w:val="auto"/>
        </w:rPr>
        <w:t>. Any vacancy in any office may be filled for the unexpired portion of the term by the Board of Directors.</w:t>
      </w:r>
    </w:p>
    <w:p>
      <w:pPr>
        <w:spacing w:after="0" w:line="152" w:lineRule="exact"/>
        <w:rPr>
          <w:sz w:val="20"/>
          <w:szCs w:val="20"/>
          <w:color w:val="auto"/>
        </w:rPr>
      </w:pPr>
    </w:p>
    <w:p>
      <w:pPr>
        <w:ind w:right="60" w:firstLine="864"/>
        <w:spacing w:after="0" w:line="271"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President</w:t>
      </w:r>
      <w:r>
        <w:rPr>
          <w:rFonts w:ascii="Arial" w:cs="Arial" w:eastAsia="Arial" w:hAnsi="Arial"/>
          <w:sz w:val="21"/>
          <w:szCs w:val="21"/>
          <w:color w:val="auto"/>
        </w:rPr>
        <w:t>. The President shall, subject to the direction of the Board of Directors, have such powers and shall perform such duties as the Board of Directors may from time to time designate.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70" w:name="page71"/>
    <w:bookmarkEnd w:id="70"/>
    <w:p>
      <w:pPr>
        <w:jc w:val="both"/>
        <w:ind w:right="80" w:firstLine="864"/>
        <w:spacing w:after="0" w:line="271"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Chairman of the Board</w:t>
      </w:r>
      <w:r>
        <w:rPr>
          <w:rFonts w:ascii="Arial" w:cs="Arial" w:eastAsia="Arial" w:hAnsi="Arial"/>
          <w:sz w:val="21"/>
          <w:szCs w:val="21"/>
          <w:color w:val="auto"/>
        </w:rPr>
        <w:t>. The Chairman of the Board, if one is elected, shall have such powers and shall perform such duties as the Board of Directors may from time to time designate.</w:t>
      </w:r>
    </w:p>
    <w:p>
      <w:pPr>
        <w:spacing w:after="0" w:line="152" w:lineRule="exact"/>
        <w:rPr>
          <w:sz w:val="20"/>
          <w:szCs w:val="20"/>
          <w:color w:val="auto"/>
        </w:rPr>
      </w:pPr>
    </w:p>
    <w:p>
      <w:pPr>
        <w:ind w:right="280" w:firstLine="864"/>
        <w:spacing w:after="0" w:line="271"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Chief Executive Officer, if one is elected, shall have such powers and shall perform such duties as the Board of Directors may from time to time designate.</w:t>
      </w:r>
    </w:p>
    <w:p>
      <w:pPr>
        <w:spacing w:after="0" w:line="152" w:lineRule="exact"/>
        <w:rPr>
          <w:sz w:val="20"/>
          <w:szCs w:val="20"/>
          <w:color w:val="auto"/>
        </w:rPr>
      </w:pPr>
    </w:p>
    <w:p>
      <w:pPr>
        <w:jc w:val="both"/>
        <w:ind w:right="100" w:firstLine="864"/>
        <w:spacing w:after="0" w:line="25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Vice Presidents and Assistant Vice Presidents</w:t>
      </w:r>
      <w:r>
        <w:rPr>
          <w:rFonts w:ascii="Arial" w:cs="Arial" w:eastAsia="Arial" w:hAnsi="Arial"/>
          <w:sz w:val="21"/>
          <w:szCs w:val="21"/>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69" w:lineRule="exact"/>
        <w:rPr>
          <w:sz w:val="20"/>
          <w:szCs w:val="20"/>
          <w:color w:val="auto"/>
        </w:rPr>
      </w:pPr>
    </w:p>
    <w:p>
      <w:pPr>
        <w:ind w:right="180" w:firstLine="864"/>
        <w:spacing w:after="0" w:line="27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Treasurer and Assistant Treasurers</w:t>
      </w:r>
      <w:r>
        <w:rPr>
          <w:rFonts w:ascii="Arial" w:cs="Arial" w:eastAsia="Arial" w:hAnsi="Arial"/>
          <w:sz w:val="19"/>
          <w:szCs w:val="19"/>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49" w:lineRule="exact"/>
        <w:rPr>
          <w:sz w:val="20"/>
          <w:szCs w:val="20"/>
          <w:color w:val="auto"/>
        </w:rPr>
      </w:pPr>
    </w:p>
    <w:p>
      <w:pPr>
        <w:ind w:firstLine="864"/>
        <w:spacing w:after="0" w:line="256"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Secretary and Assistant Secretaries</w:t>
      </w:r>
      <w:r>
        <w:rPr>
          <w:rFonts w:ascii="Arial" w:cs="Arial" w:eastAsia="Arial" w:hAnsi="Arial"/>
          <w:sz w:val="20"/>
          <w:szCs w:val="20"/>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74" w:lineRule="exact"/>
        <w:rPr>
          <w:sz w:val="20"/>
          <w:szCs w:val="20"/>
          <w:color w:val="auto"/>
        </w:rPr>
      </w:pPr>
    </w:p>
    <w:p>
      <w:pPr>
        <w:ind w:right="380" w:firstLine="864"/>
        <w:spacing w:after="0" w:line="250"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Other Powers and Duties</w:t>
      </w:r>
      <w:r>
        <w:rPr>
          <w:rFonts w:ascii="Arial" w:cs="Arial" w:eastAsia="Arial" w:hAnsi="Arial"/>
          <w:sz w:val="21"/>
          <w:szCs w:val="21"/>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13</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71" w:name="page72"/>
    <w:bookmarkEnd w:id="71"/>
    <w:p>
      <w:pPr>
        <w:ind w:left="5040"/>
        <w:spacing w:after="0"/>
        <w:rPr>
          <w:sz w:val="20"/>
          <w:szCs w:val="20"/>
          <w:color w:val="auto"/>
        </w:rPr>
      </w:pPr>
      <w:r>
        <w:rPr>
          <w:rFonts w:ascii="Arial" w:cs="Arial" w:eastAsia="Arial" w:hAnsi="Arial"/>
          <w:sz w:val="21"/>
          <w:szCs w:val="21"/>
          <w:u w:val="single" w:color="auto"/>
          <w:color w:val="auto"/>
        </w:rPr>
        <w:t>ARTICLE IV</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Capital Stock</w:t>
      </w:r>
    </w:p>
    <w:p>
      <w:pPr>
        <w:spacing w:after="0" w:line="214" w:lineRule="exact"/>
        <w:rPr>
          <w:sz w:val="20"/>
          <w:szCs w:val="20"/>
          <w:color w:val="auto"/>
        </w:rPr>
      </w:pPr>
    </w:p>
    <w:p>
      <w:pPr>
        <w:ind w:right="20" w:firstLine="864"/>
        <w:spacing w:after="0" w:line="26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Certificates of Stock</w:t>
      </w:r>
      <w:r>
        <w:rPr>
          <w:rFonts w:ascii="Arial" w:cs="Arial" w:eastAsia="Arial" w:hAnsi="Arial"/>
          <w:sz w:val="19"/>
          <w:szCs w:val="19"/>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67" w:lineRule="exact"/>
        <w:rPr>
          <w:sz w:val="20"/>
          <w:szCs w:val="20"/>
          <w:color w:val="auto"/>
        </w:rPr>
      </w:pPr>
    </w:p>
    <w:p>
      <w:pPr>
        <w:ind w:firstLine="864"/>
        <w:spacing w:after="0" w:line="259"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Transfers</w:t>
      </w:r>
      <w:r>
        <w:rPr>
          <w:rFonts w:ascii="Arial" w:cs="Arial" w:eastAsia="Arial" w:hAnsi="Arial"/>
          <w:sz w:val="20"/>
          <w:szCs w:val="20"/>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66" w:lineRule="exact"/>
        <w:rPr>
          <w:sz w:val="20"/>
          <w:szCs w:val="20"/>
          <w:color w:val="auto"/>
        </w:rPr>
      </w:pPr>
    </w:p>
    <w:p>
      <w:pPr>
        <w:ind w:right="60" w:firstLine="864"/>
        <w:spacing w:after="0" w:line="24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Record Holders</w:t>
      </w:r>
      <w:r>
        <w:rPr>
          <w:rFonts w:ascii="Arial" w:cs="Arial" w:eastAsia="Arial" w:hAnsi="Arial"/>
          <w:sz w:val="21"/>
          <w:szCs w:val="21"/>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78" w:lineRule="exact"/>
        <w:rPr>
          <w:sz w:val="20"/>
          <w:szCs w:val="20"/>
          <w:color w:val="auto"/>
        </w:rPr>
      </w:pPr>
    </w:p>
    <w:p>
      <w:pPr>
        <w:ind w:firstLine="864"/>
        <w:spacing w:after="0" w:line="247"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Record Date</w:t>
      </w:r>
      <w:r>
        <w:rPr>
          <w:rFonts w:ascii="Arial" w:cs="Arial" w:eastAsia="Arial" w:hAnsi="Arial"/>
          <w:sz w:val="21"/>
          <w:szCs w:val="21"/>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80"/>
          </w:cols>
          <w:pgMar w:left="320" w:top="547" w:right="399" w:bottom="1440" w:gutter="0" w:footer="0" w:header="0"/>
        </w:sectPr>
      </w:pPr>
    </w:p>
    <w:bookmarkStart w:id="72" w:name="page73"/>
    <w:bookmarkEnd w:id="72"/>
    <w:p>
      <w:pPr>
        <w:ind w:right="20"/>
        <w:spacing w:after="0" w:line="244" w:lineRule="auto"/>
        <w:rPr>
          <w:sz w:val="20"/>
          <w:szCs w:val="20"/>
          <w:color w:val="auto"/>
        </w:rPr>
      </w:pPr>
      <w:r>
        <w:rPr>
          <w:rFonts w:ascii="Arial" w:cs="Arial" w:eastAsia="Arial" w:hAnsi="Arial"/>
          <w:sz w:val="21"/>
          <w:szCs w:val="21"/>
          <w:color w:val="auto"/>
        </w:rPr>
        <w:t>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81" w:lineRule="exact"/>
        <w:rPr>
          <w:sz w:val="20"/>
          <w:szCs w:val="20"/>
          <w:color w:val="auto"/>
        </w:rPr>
      </w:pPr>
    </w:p>
    <w:p>
      <w:pPr>
        <w:ind w:right="60" w:firstLine="864"/>
        <w:spacing w:after="0" w:line="255"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Replacement of Certificates</w:t>
      </w:r>
      <w:r>
        <w:rPr>
          <w:rFonts w:ascii="Arial" w:cs="Arial" w:eastAsia="Arial" w:hAnsi="Arial"/>
          <w:sz w:val="21"/>
          <w:szCs w:val="21"/>
          <w:color w:val="auto"/>
        </w:rPr>
        <w:t>. In case of the alleged loss, destruction or mutilation of a certificate of stock of the Corporation, a duplicate certificate may be issued in place thereof, upon such terms as the Board of Directors may prescribe.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ARTICLE V</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Indemnification</w:t>
      </w:r>
    </w:p>
    <w:p>
      <w:pPr>
        <w:spacing w:after="0" w:line="21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Article:</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(a)“Corporate Status” describes the status of a person who is serving or has served (i) as a Director of the Corporation,</w:t>
      </w:r>
    </w:p>
    <w:p>
      <w:pPr>
        <w:spacing w:after="0" w:line="41" w:lineRule="exact"/>
        <w:rPr>
          <w:sz w:val="20"/>
          <w:szCs w:val="20"/>
          <w:color w:val="auto"/>
        </w:rPr>
      </w:pPr>
    </w:p>
    <w:p>
      <w:pPr>
        <w:ind w:right="60" w:firstLine="7"/>
        <w:spacing w:after="0" w:line="255" w:lineRule="auto"/>
        <w:tabs>
          <w:tab w:leader="none" w:pos="3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69" w:lineRule="exact"/>
        <w:rPr>
          <w:sz w:val="20"/>
          <w:szCs w:val="20"/>
          <w:color w:val="auto"/>
        </w:rPr>
      </w:pPr>
    </w:p>
    <w:p>
      <w:pPr>
        <w:ind w:right="100" w:firstLine="864"/>
        <w:spacing w:after="0" w:line="271" w:lineRule="auto"/>
        <w:rPr>
          <w:sz w:val="20"/>
          <w:szCs w:val="20"/>
          <w:color w:val="auto"/>
        </w:rPr>
      </w:pPr>
      <w:r>
        <w:rPr>
          <w:rFonts w:ascii="Arial" w:cs="Arial" w:eastAsia="Arial" w:hAnsi="Arial"/>
          <w:sz w:val="21"/>
          <w:szCs w:val="21"/>
          <w:color w:val="auto"/>
        </w:rPr>
        <w:t>(b)“Director” means any person who serves or has served the Corporation as a director on the Board of Directors of the Corporation;</w:t>
      </w:r>
    </w:p>
    <w:p>
      <w:pPr>
        <w:spacing w:after="0" w:line="152" w:lineRule="exact"/>
        <w:rPr>
          <w:sz w:val="20"/>
          <w:szCs w:val="20"/>
          <w:color w:val="auto"/>
        </w:rPr>
      </w:pPr>
    </w:p>
    <w:p>
      <w:pPr>
        <w:ind w:right="600" w:firstLine="871"/>
        <w:spacing w:after="0" w:line="271" w:lineRule="auto"/>
        <w:tabs>
          <w:tab w:leader="none" w:pos="1155" w:val="left"/>
        </w:tabs>
        <w:numPr>
          <w:ilvl w:val="0"/>
          <w:numId w:val="27"/>
        </w:numPr>
        <w:rPr>
          <w:rFonts w:ascii="Arial" w:cs="Arial" w:eastAsia="Arial" w:hAnsi="Arial"/>
          <w:sz w:val="21"/>
          <w:szCs w:val="21"/>
          <w:color w:val="auto"/>
        </w:rPr>
      </w:pPr>
      <w:r>
        <w:rPr>
          <w:rFonts w:ascii="Arial" w:cs="Arial" w:eastAsia="Arial" w:hAnsi="Arial"/>
          <w:sz w:val="21"/>
          <w:szCs w:val="21"/>
          <w:color w:val="auto"/>
        </w:rPr>
        <w:t>“Disinterested Director” means, with respect to each Proceeding in respect of which indemnification is sought hereunder, a Director of the Corporation who is not and was not a party to such Proceeding;</w:t>
      </w:r>
    </w:p>
    <w:p>
      <w:pPr>
        <w:spacing w:after="0" w:line="152" w:lineRule="exact"/>
        <w:rPr>
          <w:sz w:val="20"/>
          <w:szCs w:val="20"/>
          <w:color w:val="auto"/>
        </w:rPr>
      </w:pPr>
    </w:p>
    <w:p>
      <w:pPr>
        <w:ind w:firstLine="864"/>
        <w:spacing w:after="0" w:line="250" w:lineRule="auto"/>
        <w:rPr>
          <w:sz w:val="20"/>
          <w:szCs w:val="20"/>
          <w:color w:val="auto"/>
        </w:rPr>
      </w:pPr>
      <w:r>
        <w:rPr>
          <w:rFonts w:ascii="Arial" w:cs="Arial" w:eastAsia="Arial" w:hAnsi="Arial"/>
          <w:sz w:val="21"/>
          <w:szCs w:val="21"/>
          <w:color w:val="auto"/>
        </w:rPr>
        <w:t>(d)“Expenses”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73" w:name="page74"/>
    <w:bookmarkEnd w:id="73"/>
    <w:p>
      <w:pPr>
        <w:ind w:right="540"/>
        <w:spacing w:after="0" w:line="255" w:lineRule="auto"/>
        <w:rPr>
          <w:sz w:val="20"/>
          <w:szCs w:val="20"/>
          <w:color w:val="auto"/>
        </w:rPr>
      </w:pPr>
      <w:r>
        <w:rPr>
          <w:rFonts w:ascii="Arial" w:cs="Arial" w:eastAsia="Arial" w:hAnsi="Arial"/>
          <w:sz w:val="21"/>
          <w:szCs w:val="21"/>
          <w:color w:val="auto"/>
        </w:rPr>
        <w:t>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69" w:lineRule="exact"/>
        <w:rPr>
          <w:sz w:val="20"/>
          <w:szCs w:val="20"/>
          <w:color w:val="auto"/>
        </w:rPr>
      </w:pPr>
    </w:p>
    <w:p>
      <w:pPr>
        <w:ind w:right="820" w:firstLine="864"/>
        <w:spacing w:after="0" w:line="271" w:lineRule="auto"/>
        <w:rPr>
          <w:sz w:val="20"/>
          <w:szCs w:val="20"/>
          <w:color w:val="auto"/>
        </w:rPr>
      </w:pPr>
      <w:r>
        <w:rPr>
          <w:rFonts w:ascii="Arial" w:cs="Arial" w:eastAsia="Arial" w:hAnsi="Arial"/>
          <w:sz w:val="21"/>
          <w:szCs w:val="21"/>
          <w:color w:val="auto"/>
        </w:rPr>
        <w:t>(e)“Liabilities” means judgments, damages, liabilities, losses, penalties, excise taxes, fines and amounts paid in settlement;</w:t>
      </w:r>
    </w:p>
    <w:p>
      <w:pPr>
        <w:spacing w:after="0" w:line="152" w:lineRule="exact"/>
        <w:rPr>
          <w:sz w:val="20"/>
          <w:szCs w:val="20"/>
          <w:color w:val="auto"/>
        </w:rPr>
      </w:pPr>
    </w:p>
    <w:p>
      <w:pPr>
        <w:ind w:right="60" w:firstLine="864"/>
        <w:spacing w:after="0" w:line="271" w:lineRule="auto"/>
        <w:rPr>
          <w:sz w:val="20"/>
          <w:szCs w:val="20"/>
          <w:color w:val="auto"/>
        </w:rPr>
      </w:pPr>
      <w:r>
        <w:rPr>
          <w:rFonts w:ascii="Arial" w:cs="Arial" w:eastAsia="Arial" w:hAnsi="Arial"/>
          <w:sz w:val="21"/>
          <w:szCs w:val="21"/>
          <w:color w:val="auto"/>
        </w:rPr>
        <w:t>(f)“Non-Officer Employee” means any person who serves or has served as an employee or agent of the Corporation, but who is not or was not a Director or Officer;</w:t>
      </w:r>
    </w:p>
    <w:p>
      <w:pPr>
        <w:spacing w:after="0" w:line="152" w:lineRule="exact"/>
        <w:rPr>
          <w:sz w:val="20"/>
          <w:szCs w:val="20"/>
          <w:color w:val="auto"/>
        </w:rPr>
      </w:pPr>
    </w:p>
    <w:p>
      <w:pPr>
        <w:ind w:right="200" w:firstLine="864"/>
        <w:spacing w:after="0" w:line="271" w:lineRule="auto"/>
        <w:rPr>
          <w:sz w:val="20"/>
          <w:szCs w:val="20"/>
          <w:color w:val="auto"/>
        </w:rPr>
      </w:pPr>
      <w:r>
        <w:rPr>
          <w:rFonts w:ascii="Arial" w:cs="Arial" w:eastAsia="Arial" w:hAnsi="Arial"/>
          <w:sz w:val="21"/>
          <w:szCs w:val="21"/>
          <w:color w:val="auto"/>
        </w:rPr>
        <w:t>(g)“Officer” means any person who serves or has served the Corporation as an officer of the Corporation appointed by the Board of Directors of the Corporation;</w:t>
      </w:r>
    </w:p>
    <w:p>
      <w:pPr>
        <w:spacing w:after="0" w:line="152" w:lineRule="exact"/>
        <w:rPr>
          <w:sz w:val="20"/>
          <w:szCs w:val="20"/>
          <w:color w:val="auto"/>
        </w:rPr>
      </w:pPr>
    </w:p>
    <w:p>
      <w:pPr>
        <w:ind w:right="180" w:firstLine="864"/>
        <w:spacing w:after="0" w:line="255" w:lineRule="auto"/>
        <w:rPr>
          <w:sz w:val="20"/>
          <w:szCs w:val="20"/>
          <w:color w:val="auto"/>
        </w:rPr>
      </w:pPr>
      <w:r>
        <w:rPr>
          <w:rFonts w:ascii="Arial" w:cs="Arial" w:eastAsia="Arial" w:hAnsi="Arial"/>
          <w:sz w:val="21"/>
          <w:szCs w:val="21"/>
          <w:color w:val="auto"/>
        </w:rPr>
        <w:t>(h)“Proceeding”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9"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color w:val="auto"/>
        </w:rPr>
        <w:t>(i)“Subsidiary”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77"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20"/>
          <w:szCs w:val="20"/>
          <w:u w:val="single" w:color="auto"/>
          <w:color w:val="auto"/>
        </w:rPr>
        <w:t>Indemnification of Directors and Officers</w:t>
      </w:r>
      <w:r>
        <w:rPr>
          <w:rFonts w:ascii="Arial" w:cs="Arial" w:eastAsia="Arial" w:hAnsi="Arial"/>
          <w:sz w:val="20"/>
          <w:szCs w:val="20"/>
          <w:color w:val="auto"/>
        </w:rPr>
        <w:t>.</w:t>
      </w:r>
    </w:p>
    <w:p>
      <w:pPr>
        <w:spacing w:after="0" w:line="214" w:lineRule="exact"/>
        <w:rPr>
          <w:sz w:val="20"/>
          <w:szCs w:val="20"/>
          <w:color w:val="auto"/>
        </w:rPr>
      </w:pPr>
    </w:p>
    <w:p>
      <w:pPr>
        <w:ind w:right="80" w:firstLine="864"/>
        <w:spacing w:after="0" w:line="247" w:lineRule="auto"/>
        <w:rPr>
          <w:sz w:val="20"/>
          <w:szCs w:val="20"/>
          <w:color w:val="auto"/>
        </w:rPr>
      </w:pPr>
      <w:r>
        <w:rPr>
          <w:rFonts w:ascii="Arial" w:cs="Arial" w:eastAsia="Arial" w:hAnsi="Arial"/>
          <w:sz w:val="21"/>
          <w:szCs w:val="21"/>
          <w:color w:val="auto"/>
        </w:rPr>
        <w:t>(a)Subject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8" w:lineRule="exact"/>
        <w:rPr>
          <w:sz w:val="20"/>
          <w:szCs w:val="20"/>
          <w:color w:val="auto"/>
        </w:rPr>
      </w:pPr>
    </w:p>
    <w:p>
      <w:pPr>
        <w:ind w:left="880" w:firstLine="788"/>
        <w:spacing w:after="0" w:line="258" w:lineRule="auto"/>
        <w:tabs>
          <w:tab w:leader="none" w:pos="257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Actions, Suits and Proceedings Other than By or In the Right of the Corporation</w:t>
      </w:r>
      <w:r>
        <w:rPr>
          <w:rFonts w:ascii="Arial" w:cs="Arial" w:eastAsia="Arial" w:hAnsi="Arial"/>
          <w:sz w:val="20"/>
          <w:szCs w:val="20"/>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16</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880" w:right="40" w:firstLine="788"/>
        <w:spacing w:after="0" w:line="255" w:lineRule="auto"/>
        <w:tabs>
          <w:tab w:leader="none" w:pos="257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Actions, Suits and Proceedings By or In the Right of the Corporation</w:t>
      </w:r>
      <w:r>
        <w:rPr>
          <w:rFonts w:ascii="Arial" w:cs="Arial" w:eastAsia="Arial" w:hAnsi="Arial"/>
          <w:sz w:val="20"/>
          <w:szCs w:val="20"/>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77" w:lineRule="exact"/>
        <w:rPr>
          <w:rFonts w:ascii="Arial" w:cs="Arial" w:eastAsia="Arial" w:hAnsi="Arial"/>
          <w:sz w:val="20"/>
          <w:szCs w:val="20"/>
          <w:color w:val="auto"/>
        </w:rPr>
      </w:pPr>
    </w:p>
    <w:p>
      <w:pPr>
        <w:ind w:left="880" w:right="80" w:firstLine="788"/>
        <w:spacing w:after="0" w:line="255" w:lineRule="auto"/>
        <w:tabs>
          <w:tab w:leader="none" w:pos="2571"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Survival of Rights</w:t>
      </w:r>
      <w:r>
        <w:rPr>
          <w:rFonts w:ascii="Arial" w:cs="Arial" w:eastAsia="Arial" w:hAnsi="Arial"/>
          <w:sz w:val="21"/>
          <w:szCs w:val="21"/>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68" w:lineRule="exact"/>
        <w:rPr>
          <w:rFonts w:ascii="Arial" w:cs="Arial" w:eastAsia="Arial" w:hAnsi="Arial"/>
          <w:sz w:val="21"/>
          <w:szCs w:val="21"/>
          <w:color w:val="auto"/>
        </w:rPr>
      </w:pPr>
    </w:p>
    <w:p>
      <w:pPr>
        <w:ind w:left="880" w:firstLine="788"/>
        <w:spacing w:after="0" w:line="246" w:lineRule="auto"/>
        <w:tabs>
          <w:tab w:leader="none" w:pos="2571"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Actions by Directors or Officers</w:t>
      </w:r>
      <w:r>
        <w:rPr>
          <w:rFonts w:ascii="Arial" w:cs="Arial" w:eastAsia="Arial" w:hAnsi="Arial"/>
          <w:sz w:val="21"/>
          <w:szCs w:val="21"/>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77" w:lineRule="exact"/>
        <w:rPr>
          <w:sz w:val="20"/>
          <w:szCs w:val="20"/>
          <w:color w:val="auto"/>
        </w:rPr>
      </w:pPr>
    </w:p>
    <w:p>
      <w:pPr>
        <w:ind w:right="20" w:firstLine="864"/>
        <w:spacing w:after="0" w:line="255"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Indemnification of Non-Officer Employees</w:t>
      </w:r>
      <w:r>
        <w:rPr>
          <w:rFonts w:ascii="Arial" w:cs="Arial" w:eastAsia="Arial" w:hAnsi="Arial"/>
          <w:sz w:val="20"/>
          <w:szCs w:val="20"/>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17</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5" w:name="page76"/>
    <w:bookmarkEnd w:id="75"/>
    <w:p>
      <w:pPr>
        <w:spacing w:after="0"/>
        <w:rPr>
          <w:sz w:val="20"/>
          <w:szCs w:val="20"/>
          <w:color w:val="auto"/>
        </w:rPr>
      </w:pPr>
      <w:r>
        <w:rPr>
          <w:rFonts w:ascii="Arial" w:cs="Arial" w:eastAsia="Arial" w:hAnsi="Arial"/>
          <w:sz w:val="21"/>
          <w:szCs w:val="21"/>
          <w:color w:val="auto"/>
        </w:rPr>
        <w:t>Employee only if such Proceeding was authorized in advance by the Board of Directors of the Corporation.</w:t>
      </w:r>
    </w:p>
    <w:p>
      <w:pPr>
        <w:spacing w:after="0" w:line="214" w:lineRule="exact"/>
        <w:rPr>
          <w:sz w:val="20"/>
          <w:szCs w:val="20"/>
          <w:color w:val="auto"/>
        </w:rPr>
      </w:pPr>
    </w:p>
    <w:p>
      <w:pPr>
        <w:ind w:firstLine="864"/>
        <w:spacing w:after="0" w:line="25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Determination</w:t>
      </w:r>
      <w:r>
        <w:rPr>
          <w:rFonts w:ascii="Arial" w:cs="Arial" w:eastAsia="Arial" w:hAnsi="Arial"/>
          <w:sz w:val="20"/>
          <w:szCs w:val="20"/>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w:t>
      </w:r>
    </w:p>
    <w:p>
      <w:pPr>
        <w:spacing w:after="0" w:line="2"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0"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u w:val="single" w:color="auto"/>
          <w:color w:val="auto"/>
        </w:rPr>
        <w:t>Advancement of Expenses to Directors Prior to Final Disposition</w:t>
      </w:r>
      <w:r>
        <w:rPr>
          <w:rFonts w:ascii="Arial" w:cs="Arial" w:eastAsia="Arial" w:hAnsi="Arial"/>
          <w:sz w:val="19"/>
          <w:szCs w:val="19"/>
          <w:color w:val="auto"/>
        </w:rPr>
        <w:t>.</w:t>
      </w:r>
    </w:p>
    <w:p>
      <w:pPr>
        <w:spacing w:after="0" w:line="214" w:lineRule="exact"/>
        <w:rPr>
          <w:sz w:val="20"/>
          <w:szCs w:val="20"/>
          <w:color w:val="auto"/>
        </w:rPr>
      </w:pPr>
    </w:p>
    <w:p>
      <w:pPr>
        <w:ind w:right="80" w:firstLine="864"/>
        <w:spacing w:after="0" w:line="242" w:lineRule="auto"/>
        <w:rPr>
          <w:sz w:val="20"/>
          <w:szCs w:val="20"/>
          <w:color w:val="auto"/>
        </w:rPr>
      </w:pPr>
      <w:r>
        <w:rPr>
          <w:rFonts w:ascii="Arial" w:cs="Arial" w:eastAsia="Arial" w:hAnsi="Arial"/>
          <w:sz w:val="21"/>
          <w:szCs w:val="21"/>
          <w:color w:val="auto"/>
        </w:rPr>
        <w:t>(a)The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(b)If a claim for advancement of Expenses hereunder by a Director is not paid in full by the Corporation within thirty</w:t>
      </w:r>
    </w:p>
    <w:p>
      <w:pPr>
        <w:spacing w:after="0" w:line="29" w:lineRule="exact"/>
        <w:rPr>
          <w:sz w:val="20"/>
          <w:szCs w:val="20"/>
          <w:color w:val="auto"/>
        </w:rPr>
      </w:pPr>
    </w:p>
    <w:p>
      <w:pPr>
        <w:ind w:right="20" w:firstLine="7"/>
        <w:spacing w:after="0" w:line="271" w:lineRule="auto"/>
        <w:tabs>
          <w:tab w:leader="none" w:pos="411" w:val="left"/>
        </w:tabs>
        <w:numPr>
          <w:ilvl w:val="0"/>
          <w:numId w:val="30"/>
        </w:numPr>
        <w:rPr>
          <w:rFonts w:ascii="Arial" w:cs="Arial" w:eastAsia="Arial" w:hAnsi="Arial"/>
          <w:sz w:val="19"/>
          <w:szCs w:val="19"/>
          <w:color w:val="auto"/>
        </w:rPr>
      </w:pPr>
      <w:r>
        <w:rPr>
          <w:rFonts w:ascii="Arial" w:cs="Arial" w:eastAsia="Arial" w:hAnsi="Arial"/>
          <w:sz w:val="19"/>
          <w:szCs w:val="19"/>
          <w:color w:val="auto"/>
        </w:rPr>
        <w:t>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59" w:lineRule="exact"/>
        <w:rPr>
          <w:sz w:val="20"/>
          <w:szCs w:val="20"/>
          <w:color w:val="auto"/>
        </w:rPr>
      </w:pPr>
    </w:p>
    <w:p>
      <w:pPr>
        <w:ind w:right="1060" w:firstLine="864"/>
        <w:spacing w:after="0" w:line="271" w:lineRule="auto"/>
        <w:rPr>
          <w:sz w:val="20"/>
          <w:szCs w:val="20"/>
          <w:color w:val="auto"/>
        </w:rPr>
      </w:pPr>
      <w:r>
        <w:rPr>
          <w:rFonts w:ascii="Arial" w:cs="Arial" w:eastAsia="Arial" w:hAnsi="Arial"/>
          <w:sz w:val="21"/>
          <w:szCs w:val="21"/>
          <w:color w:val="auto"/>
        </w:rPr>
        <w:t>(c)In any suit brought by the Corporation to recover an advancement of expenses pursuant to the terms of an undertaking, the Corporation shall be entitled to recover such</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6" w:name="page77"/>
    <w:bookmarkEnd w:id="76"/>
    <w:p>
      <w:pPr>
        <w:ind w:right="580"/>
        <w:spacing w:after="0" w:line="271" w:lineRule="auto"/>
        <w:rPr>
          <w:sz w:val="20"/>
          <w:szCs w:val="20"/>
          <w:color w:val="auto"/>
        </w:rPr>
      </w:pPr>
      <w:r>
        <w:rPr>
          <w:rFonts w:ascii="Arial" w:cs="Arial" w:eastAsia="Arial" w:hAnsi="Arial"/>
          <w:sz w:val="21"/>
          <w:szCs w:val="21"/>
          <w:color w:val="auto"/>
        </w:rPr>
        <w:t>expenses upon a final adjudication that the Director has not met any applicable standard for indemnification set forth in the DGCL.</w:t>
      </w:r>
    </w:p>
    <w:p>
      <w:pPr>
        <w:spacing w:after="0" w:line="152"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6.</w:t>
      </w:r>
      <w:r>
        <w:rPr>
          <w:sz w:val="20"/>
          <w:szCs w:val="20"/>
          <w:color w:val="auto"/>
        </w:rPr>
        <w:tab/>
      </w:r>
      <w:r>
        <w:rPr>
          <w:rFonts w:ascii="Arial" w:cs="Arial" w:eastAsia="Arial" w:hAnsi="Arial"/>
          <w:sz w:val="19"/>
          <w:szCs w:val="19"/>
          <w:u w:val="single" w:color="auto"/>
          <w:color w:val="auto"/>
        </w:rPr>
        <w:t>Advancement of Expenses to Officers and Non-Officer Employees Prior to Final Disposition</w:t>
      </w:r>
      <w:r>
        <w:rPr>
          <w:rFonts w:ascii="Arial" w:cs="Arial" w:eastAsia="Arial" w:hAnsi="Arial"/>
          <w:sz w:val="19"/>
          <w:szCs w:val="19"/>
          <w:color w:val="auto"/>
        </w:rPr>
        <w:t>.</w:t>
      </w:r>
    </w:p>
    <w:p>
      <w:pPr>
        <w:spacing w:after="0" w:line="214" w:lineRule="exact"/>
        <w:rPr>
          <w:sz w:val="20"/>
          <w:szCs w:val="20"/>
          <w:color w:val="auto"/>
        </w:rPr>
      </w:pPr>
    </w:p>
    <w:p>
      <w:pPr>
        <w:ind w:firstLine="864"/>
        <w:spacing w:after="0" w:line="258" w:lineRule="auto"/>
        <w:rPr>
          <w:sz w:val="20"/>
          <w:szCs w:val="20"/>
          <w:color w:val="auto"/>
        </w:rPr>
      </w:pPr>
      <w:r>
        <w:rPr>
          <w:rFonts w:ascii="Arial" w:cs="Arial" w:eastAsia="Arial" w:hAnsi="Arial"/>
          <w:sz w:val="20"/>
          <w:szCs w:val="20"/>
          <w:color w:val="auto"/>
        </w:rPr>
        <w:t>(a)The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67" w:lineRule="exact"/>
        <w:rPr>
          <w:sz w:val="20"/>
          <w:szCs w:val="20"/>
          <w:color w:val="auto"/>
        </w:rPr>
      </w:pPr>
    </w:p>
    <w:p>
      <w:pPr>
        <w:ind w:right="160" w:firstLine="864"/>
        <w:spacing w:after="0" w:line="255" w:lineRule="auto"/>
        <w:rPr>
          <w:sz w:val="20"/>
          <w:szCs w:val="20"/>
          <w:color w:val="auto"/>
        </w:rPr>
      </w:pPr>
      <w:r>
        <w:rPr>
          <w:rFonts w:ascii="Arial" w:cs="Arial" w:eastAsia="Arial" w:hAnsi="Arial"/>
          <w:sz w:val="21"/>
          <w:szCs w:val="21"/>
          <w:color w:val="auto"/>
        </w:rPr>
        <w:t>(b)In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69"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7.</w:t>
      </w:r>
      <w:r>
        <w:rPr>
          <w:sz w:val="20"/>
          <w:szCs w:val="20"/>
          <w:color w:val="auto"/>
        </w:rPr>
        <w:tab/>
      </w:r>
      <w:r>
        <w:rPr>
          <w:rFonts w:ascii="Arial" w:cs="Arial" w:eastAsia="Arial" w:hAnsi="Arial"/>
          <w:sz w:val="19"/>
          <w:szCs w:val="19"/>
          <w:u w:val="single" w:color="auto"/>
          <w:color w:val="auto"/>
        </w:rPr>
        <w:t>Contractual Nature of Rights</w:t>
      </w:r>
      <w:r>
        <w:rPr>
          <w:rFonts w:ascii="Arial" w:cs="Arial" w:eastAsia="Arial" w:hAnsi="Arial"/>
          <w:sz w:val="19"/>
          <w:szCs w:val="19"/>
          <w:color w:val="auto"/>
        </w:rPr>
        <w:t>.</w:t>
      </w:r>
    </w:p>
    <w:p>
      <w:pPr>
        <w:spacing w:after="0" w:line="214" w:lineRule="exact"/>
        <w:rPr>
          <w:sz w:val="20"/>
          <w:szCs w:val="20"/>
          <w:color w:val="auto"/>
        </w:rPr>
      </w:pPr>
    </w:p>
    <w:p>
      <w:pPr>
        <w:ind w:right="20" w:firstLine="864"/>
        <w:spacing w:after="0" w:line="270" w:lineRule="auto"/>
        <w:rPr>
          <w:sz w:val="20"/>
          <w:szCs w:val="20"/>
          <w:color w:val="auto"/>
        </w:rPr>
      </w:pPr>
      <w:r>
        <w:rPr>
          <w:rFonts w:ascii="Arial" w:cs="Arial" w:eastAsia="Arial" w:hAnsi="Arial"/>
          <w:sz w:val="19"/>
          <w:szCs w:val="19"/>
          <w:color w:val="auto"/>
        </w:rPr>
        <w:t>(a)The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(b)If a claim for indemnification hereunder by a Director or Officer is not paid in full by the Corporation within sixty</w:t>
      </w:r>
    </w:p>
    <w:p>
      <w:pPr>
        <w:spacing w:after="0" w:line="29" w:lineRule="exact"/>
        <w:rPr>
          <w:sz w:val="20"/>
          <w:szCs w:val="20"/>
          <w:color w:val="auto"/>
        </w:rPr>
      </w:pPr>
    </w:p>
    <w:p>
      <w:pPr>
        <w:ind w:right="60" w:firstLine="7"/>
        <w:spacing w:after="0" w:line="246" w:lineRule="auto"/>
        <w:tabs>
          <w:tab w:leader="none" w:pos="411" w:val="left"/>
        </w:tabs>
        <w:numPr>
          <w:ilvl w:val="0"/>
          <w:numId w:val="31"/>
        </w:numPr>
        <w:rPr>
          <w:rFonts w:ascii="Arial" w:cs="Arial" w:eastAsia="Arial" w:hAnsi="Arial"/>
          <w:sz w:val="21"/>
          <w:szCs w:val="21"/>
          <w:color w:val="auto"/>
        </w:rPr>
      </w:pPr>
      <w:r>
        <w:rPr>
          <w:rFonts w:ascii="Arial" w:cs="Arial" w:eastAsia="Arial" w:hAnsi="Arial"/>
          <w:sz w:val="21"/>
          <w:szCs w:val="21"/>
          <w:color w:val="auto"/>
        </w:rPr>
        <w:t>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77" w:name="page78"/>
    <w:bookmarkEnd w:id="77"/>
    <w:p>
      <w:pPr>
        <w:ind w:right="120"/>
        <w:spacing w:after="0" w:line="247" w:lineRule="auto"/>
        <w:rPr>
          <w:sz w:val="20"/>
          <w:szCs w:val="20"/>
          <w:color w:val="auto"/>
        </w:rPr>
      </w:pPr>
      <w:r>
        <w:rPr>
          <w:rFonts w:ascii="Arial" w:cs="Arial" w:eastAsia="Arial" w:hAnsi="Arial"/>
          <w:sz w:val="21"/>
          <w:szCs w:val="21"/>
          <w:color w:val="auto"/>
        </w:rPr>
        <w:t>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78" w:lineRule="exact"/>
        <w:rPr>
          <w:sz w:val="20"/>
          <w:szCs w:val="20"/>
          <w:color w:val="auto"/>
        </w:rPr>
      </w:pPr>
    </w:p>
    <w:p>
      <w:pPr>
        <w:ind w:right="160" w:firstLine="864"/>
        <w:spacing w:after="0" w:line="271" w:lineRule="auto"/>
        <w:rPr>
          <w:sz w:val="20"/>
          <w:szCs w:val="20"/>
          <w:color w:val="auto"/>
        </w:rPr>
      </w:pPr>
      <w:r>
        <w:rPr>
          <w:rFonts w:ascii="Arial" w:cs="Arial" w:eastAsia="Arial" w:hAnsi="Arial"/>
          <w:sz w:val="21"/>
          <w:szCs w:val="21"/>
          <w:color w:val="auto"/>
        </w:rPr>
        <w:t>(c)In any suit brought by a Director or Officer to enforce a right to indemnification hereunder, it shall be a defense that such Director or Officer has not met any applicable standard for indemnification set forth in the DGCL.</w:t>
      </w:r>
    </w:p>
    <w:p>
      <w:pPr>
        <w:spacing w:after="0" w:line="152" w:lineRule="exact"/>
        <w:rPr>
          <w:sz w:val="20"/>
          <w:szCs w:val="20"/>
          <w:color w:val="auto"/>
        </w:rPr>
      </w:pPr>
    </w:p>
    <w:p>
      <w:pPr>
        <w:ind w:right="20" w:firstLine="864"/>
        <w:spacing w:after="0" w:line="250"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Non-Exclusivity of Rights</w:t>
      </w:r>
      <w:r>
        <w:rPr>
          <w:rFonts w:ascii="Arial" w:cs="Arial" w:eastAsia="Arial" w:hAnsi="Arial"/>
          <w:sz w:val="21"/>
          <w:szCs w:val="21"/>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3" w:lineRule="exact"/>
        <w:rPr>
          <w:sz w:val="20"/>
          <w:szCs w:val="20"/>
          <w:color w:val="auto"/>
        </w:rPr>
      </w:pPr>
    </w:p>
    <w:p>
      <w:pPr>
        <w:ind w:right="20" w:firstLine="864"/>
        <w:spacing w:after="0" w:line="247"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78"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Other Indemnification</w:t>
      </w:r>
      <w:r>
        <w:rPr>
          <w:rFonts w:ascii="Arial" w:cs="Arial" w:eastAsia="Arial" w:hAnsi="Arial"/>
          <w:sz w:val="19"/>
          <w:szCs w:val="19"/>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ARTICLE VI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Miscellaneous Provisions</w:t>
      </w:r>
    </w:p>
    <w:p>
      <w:pPr>
        <w:spacing w:after="0" w:line="21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 determined by the Board of Directors.</w:t>
      </w:r>
    </w:p>
    <w:p>
      <w:pPr>
        <w:spacing w:after="0" w:line="21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Seal</w:t>
      </w:r>
      <w:r>
        <w:rPr>
          <w:rFonts w:ascii="Arial" w:cs="Arial" w:eastAsia="Arial" w:hAnsi="Arial"/>
          <w:sz w:val="19"/>
          <w:szCs w:val="19"/>
          <w:color w:val="auto"/>
        </w:rPr>
        <w:t>. The Board of Directors shall have power to adopt and alter the seal of the Corporation.</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8" w:name="page79"/>
    <w:bookmarkEnd w:id="78"/>
    <w:p>
      <w:pPr>
        <w:ind w:right="80" w:firstLine="864"/>
        <w:spacing w:after="0" w:line="24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Execution of Instruments</w:t>
      </w:r>
      <w:r>
        <w:rPr>
          <w:rFonts w:ascii="Arial" w:cs="Arial" w:eastAsia="Arial" w:hAnsi="Arial"/>
          <w:sz w:val="21"/>
          <w:szCs w:val="21"/>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Chief Executive Officer, President or the Treasurer or any other officer, employee or agent of the Corporation as the Board of Directors or the executive committee of the Board may authorize.</w:t>
      </w:r>
    </w:p>
    <w:p>
      <w:pPr>
        <w:spacing w:after="0" w:line="178" w:lineRule="exact"/>
        <w:rPr>
          <w:sz w:val="20"/>
          <w:szCs w:val="20"/>
          <w:color w:val="auto"/>
        </w:rPr>
      </w:pPr>
    </w:p>
    <w:p>
      <w:pPr>
        <w:ind w:right="60" w:firstLine="864"/>
        <w:spacing w:after="0" w:line="247"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Voting of Securities</w:t>
      </w:r>
      <w:r>
        <w:rPr>
          <w:rFonts w:ascii="Arial" w:cs="Arial" w:eastAsia="Arial" w:hAnsi="Arial"/>
          <w:sz w:val="21"/>
          <w:szCs w:val="21"/>
          <w:color w:val="auto"/>
        </w:rPr>
        <w:t>. Unless the Board of Directors otherwise provides, the Chairman of the Board, if one is elected, the Chief Executive Offier,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8" w:lineRule="exact"/>
        <w:rPr>
          <w:sz w:val="20"/>
          <w:szCs w:val="20"/>
          <w:color w:val="auto"/>
        </w:rPr>
      </w:pPr>
    </w:p>
    <w:p>
      <w:pPr>
        <w:ind w:right="360" w:firstLine="864"/>
        <w:spacing w:after="0" w:line="271"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Resident Agent</w:t>
      </w:r>
      <w:r>
        <w:rPr>
          <w:rFonts w:ascii="Arial" w:cs="Arial" w:eastAsia="Arial" w:hAnsi="Arial"/>
          <w:sz w:val="21"/>
          <w:szCs w:val="21"/>
          <w:color w:val="auto"/>
        </w:rPr>
        <w:t>. The Board of Directors may appoint a resident agent upon whom legal process may be served in any action or proceeding against the Corporation.</w:t>
      </w:r>
    </w:p>
    <w:p>
      <w:pPr>
        <w:spacing w:after="0" w:line="152" w:lineRule="exact"/>
        <w:rPr>
          <w:sz w:val="20"/>
          <w:szCs w:val="20"/>
          <w:color w:val="auto"/>
        </w:rPr>
      </w:pPr>
    </w:p>
    <w:p>
      <w:pPr>
        <w:ind w:right="20" w:firstLine="864"/>
        <w:spacing w:after="0" w:line="247"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Corporate Records</w:t>
      </w:r>
      <w:r>
        <w:rPr>
          <w:rFonts w:ascii="Arial" w:cs="Arial" w:eastAsia="Arial" w:hAnsi="Arial"/>
          <w:sz w:val="21"/>
          <w:szCs w:val="21"/>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8" w:lineRule="exact"/>
        <w:rPr>
          <w:sz w:val="20"/>
          <w:szCs w:val="20"/>
          <w:color w:val="auto"/>
        </w:rPr>
      </w:pPr>
    </w:p>
    <w:p>
      <w:pPr>
        <w:ind w:right="720" w:firstLine="864"/>
        <w:spacing w:after="0" w:line="271"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Certificate</w:t>
      </w:r>
      <w:r>
        <w:rPr>
          <w:rFonts w:ascii="Arial" w:cs="Arial" w:eastAsia="Arial" w:hAnsi="Arial"/>
          <w:sz w:val="21"/>
          <w:szCs w:val="21"/>
          <w:color w:val="auto"/>
        </w:rPr>
        <w:t>. All references in these By-laws to the Certificate shall be deemed to refer to the Certificate of Incorporation of the Corporation, as amended and/or restated and in effect from time to time.</w:t>
      </w:r>
    </w:p>
    <w:p>
      <w:pPr>
        <w:spacing w:after="0" w:line="152" w:lineRule="exact"/>
        <w:rPr>
          <w:sz w:val="20"/>
          <w:szCs w:val="20"/>
          <w:color w:val="auto"/>
        </w:rPr>
      </w:pPr>
    </w:p>
    <w:p>
      <w:pPr>
        <w:ind w:firstLine="864"/>
        <w:spacing w:after="0" w:line="255"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Exclusive Jurisdiction of Delaware Courts or the United States District Court for the District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Massachusetts</w:t>
      </w:r>
      <w:r>
        <w:rPr>
          <w:rFonts w:ascii="Arial" w:cs="Arial" w:eastAsia="Arial" w:hAnsi="Arial"/>
          <w:sz w:val="20"/>
          <w:szCs w:val="20"/>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or (iv) any action asserting a claim against the Corporation governed by the internal affairs doctrine; provided, however, that this provision does not apply to actions arising under the Securities Exchange Act of 1934, as amended, or the Securities Act of 1933, as amended. Unless the Corporation consents in writing to the selection of an alternative forum, the United States District Court for the District of Massachusetts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78"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1"/>
          <w:szCs w:val="21"/>
          <w:color w:val="auto"/>
        </w:rPr>
        <w:t>SECTION 9.</w:t>
      </w:r>
      <w:r>
        <w:rPr>
          <w:sz w:val="20"/>
          <w:szCs w:val="20"/>
          <w:color w:val="auto"/>
        </w:rPr>
        <w:tab/>
      </w:r>
      <w:r>
        <w:rPr>
          <w:rFonts w:ascii="Arial" w:cs="Arial" w:eastAsia="Arial" w:hAnsi="Arial"/>
          <w:sz w:val="19"/>
          <w:szCs w:val="19"/>
          <w:u w:val="single" w:color="auto"/>
          <w:color w:val="auto"/>
        </w:rPr>
        <w:t>Amendment of By-laws</w:t>
      </w:r>
      <w:r>
        <w:rPr>
          <w:rFonts w:ascii="Arial" w:cs="Arial" w:eastAsia="Arial" w:hAnsi="Arial"/>
          <w:sz w:val="19"/>
          <w:szCs w:val="19"/>
          <w:color w:val="auto"/>
        </w:rPr>
        <w:t>.</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010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9" w:name="page80"/>
    <w:bookmarkEnd w:id="79"/>
    <w:p>
      <w:pPr>
        <w:ind w:right="160" w:firstLine="864"/>
        <w:spacing w:after="0" w:line="271"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Amendment by Directors</w:t>
      </w:r>
      <w:r>
        <w:rPr>
          <w:rFonts w:ascii="Arial" w:cs="Arial" w:eastAsia="Arial" w:hAnsi="Arial"/>
          <w:sz w:val="21"/>
          <w:szCs w:val="21"/>
          <w:color w:val="auto"/>
        </w:rPr>
        <w:t>. Except as provided otherwise by law, these By-laws may be amended or repealed by the Board of Directors by the affirmative vote of a majority of the directors then in office.</w:t>
      </w:r>
    </w:p>
    <w:p>
      <w:pPr>
        <w:spacing w:after="0" w:line="152" w:lineRule="exact"/>
        <w:rPr>
          <w:sz w:val="20"/>
          <w:szCs w:val="20"/>
          <w:color w:val="auto"/>
        </w:rPr>
      </w:pPr>
    </w:p>
    <w:p>
      <w:pPr>
        <w:ind w:firstLine="864"/>
        <w:spacing w:after="0" w:line="259"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Amendment by Stockholders</w:t>
      </w:r>
      <w:r>
        <w:rPr>
          <w:rFonts w:ascii="Arial" w:cs="Arial" w:eastAsia="Arial" w:hAnsi="Arial"/>
          <w:sz w:val="20"/>
          <w:szCs w:val="20"/>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66" w:lineRule="exact"/>
        <w:rPr>
          <w:sz w:val="20"/>
          <w:szCs w:val="20"/>
          <w:color w:val="auto"/>
        </w:rPr>
      </w:pPr>
    </w:p>
    <w:p>
      <w:pPr>
        <w:ind w:firstLine="864"/>
        <w:spacing w:after="0" w:line="250"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Notices</w:t>
      </w:r>
      <w:r>
        <w:rPr>
          <w:rFonts w:ascii="Arial" w:cs="Arial" w:eastAsia="Arial" w:hAnsi="Arial"/>
          <w:sz w:val="21"/>
          <w:szCs w:val="21"/>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3" w:lineRule="exact"/>
        <w:rPr>
          <w:sz w:val="20"/>
          <w:szCs w:val="20"/>
          <w:color w:val="auto"/>
        </w:rPr>
      </w:pPr>
    </w:p>
    <w:p>
      <w:pPr>
        <w:ind w:firstLine="864"/>
        <w:spacing w:after="0" w:line="250"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Waivers</w:t>
      </w:r>
      <w:r>
        <w:rPr>
          <w:rFonts w:ascii="Arial" w:cs="Arial" w:eastAsia="Arial" w:hAnsi="Arial"/>
          <w:sz w:val="21"/>
          <w:szCs w:val="21"/>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388" w:lineRule="exact"/>
        <w:rPr>
          <w:sz w:val="20"/>
          <w:szCs w:val="20"/>
          <w:color w:val="auto"/>
        </w:rPr>
      </w:pPr>
    </w:p>
    <w:p>
      <w:pPr>
        <w:spacing w:after="0"/>
        <w:rPr>
          <w:sz w:val="20"/>
          <w:szCs w:val="20"/>
          <w:color w:val="auto"/>
        </w:rPr>
      </w:pPr>
      <w:r>
        <w:rPr>
          <w:rFonts w:ascii="Arial" w:cs="Arial" w:eastAsia="Arial" w:hAnsi="Arial"/>
          <w:sz w:val="21"/>
          <w:szCs w:val="21"/>
          <w:color w:val="auto"/>
        </w:rPr>
        <w:t>Adopted and effective as of September 15, 2020.</w:t>
      </w:r>
    </w:p>
    <w:p>
      <w:pPr>
        <w:spacing w:after="0" w:line="200" w:lineRule="exact"/>
        <w:rPr>
          <w:sz w:val="20"/>
          <w:szCs w:val="20"/>
          <w:color w:val="auto"/>
        </w:rPr>
      </w:pPr>
    </w:p>
    <w:p>
      <w:pPr>
        <w:spacing w:after="0" w:line="22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ACTIVE/93967933.2</w:t>
      </w:r>
    </w:p>
    <w:p>
      <w:pPr>
        <w:sectPr>
          <w:pgSz w:w="11900" w:h="16838" w:orient="portrait"/>
          <w:cols w:equalWidth="0" w:num="1">
            <w:col w:w="11180"/>
          </w:cols>
          <w:pgMar w:left="320" w:top="333" w:right="399" w:bottom="1440" w:gutter="0" w:footer="0" w:header="0"/>
        </w:sectPr>
      </w:pPr>
    </w:p>
    <w:bookmarkStart w:id="80" w:name="page81"/>
    <w:bookmarkEnd w:id="80"/>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5" w:lineRule="exact"/>
        <w:rPr>
          <w:sz w:val="20"/>
          <w:szCs w:val="20"/>
          <w:color w:val="auto"/>
        </w:rPr>
      </w:pPr>
    </w:p>
    <w:p>
      <w:pPr>
        <w:ind w:left="520" w:hanging="51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420" w:hanging="513"/>
        <w:spacing w:after="0" w:line="26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400" w:hanging="513"/>
        <w:spacing w:after="0" w:line="302"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420" w:hanging="513"/>
        <w:spacing w:after="0" w:line="26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180" w:hanging="503"/>
        <w:spacing w:after="0" w:line="260"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500" w:hanging="503"/>
        <w:spacing w:after="0" w:line="260"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660" w:hanging="503"/>
        <w:spacing w:after="0" w:line="336"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180" w:hanging="503"/>
        <w:spacing w:after="0" w:line="260"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140" w:hanging="513"/>
        <w:spacing w:after="0" w:line="302"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900" w:hanging="503"/>
        <w:spacing w:after="0" w:line="336"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580" w:hanging="503"/>
        <w:spacing w:after="0" w:line="272"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tcPr>
          <w:p>
            <w:pPr>
              <w:spacing w:after="0"/>
              <w:rPr>
                <w:sz w:val="20"/>
                <w:szCs w:val="20"/>
                <w:color w:val="auto"/>
              </w:rPr>
            </w:pPr>
            <w:r>
              <w:rPr>
                <w:rFonts w:ascii="Arial" w:cs="Arial" w:eastAsia="Arial" w:hAnsi="Arial"/>
                <w:sz w:val="18"/>
                <w:szCs w:val="18"/>
                <w:color w:val="auto"/>
              </w:rPr>
              <w:t>Date: November 5, 2020</w:t>
            </w:r>
          </w:p>
        </w:tc>
        <w:tc>
          <w:tcPr>
            <w:tcW w:w="7040" w:type="dxa"/>
            <w:vAlign w:val="bottom"/>
            <w:gridSpan w:val="2"/>
          </w:tcPr>
          <w:p>
            <w:pPr>
              <w:ind w:left="2540"/>
              <w:spacing w:after="0"/>
              <w:rPr>
                <w:sz w:val="20"/>
                <w:szCs w:val="20"/>
                <w:color w:val="auto"/>
              </w:rPr>
            </w:pPr>
            <w:r>
              <w:rPr>
                <w:rFonts w:ascii="Arial" w:cs="Arial" w:eastAsia="Arial" w:hAnsi="Arial"/>
                <w:sz w:val="18"/>
                <w:szCs w:val="18"/>
                <w:color w:val="auto"/>
              </w:rPr>
              <w:t>By:  /s/ Brian Halligan</w:t>
            </w:r>
          </w:p>
        </w:tc>
      </w:tr>
      <w:tr>
        <w:trPr>
          <w:trHeight w:val="194"/>
        </w:trPr>
        <w:tc>
          <w:tcPr>
            <w:tcW w:w="4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40"/>
          </w:cols>
          <w:pgMar w:left="32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5" w:lineRule="exact"/>
        <w:rPr>
          <w:sz w:val="20"/>
          <w:szCs w:val="20"/>
          <w:color w:val="auto"/>
        </w:rPr>
      </w:pPr>
    </w:p>
    <w:p>
      <w:pPr>
        <w:ind w:left="520" w:hanging="51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320" w:hanging="513"/>
        <w:spacing w:after="0" w:line="260"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300" w:hanging="513"/>
        <w:spacing w:after="0" w:line="302"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320" w:hanging="513"/>
        <w:spacing w:after="0" w:line="260"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80" w:hanging="503"/>
        <w:spacing w:after="0" w:line="260"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400" w:hanging="503"/>
        <w:spacing w:after="0" w:line="260"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560" w:hanging="503"/>
        <w:spacing w:after="0" w:line="336"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40" w:hanging="513"/>
        <w:spacing w:after="0" w:line="302"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800" w:hanging="503"/>
        <w:spacing w:after="0" w:line="336"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480" w:hanging="503"/>
        <w:spacing w:after="0" w:line="272"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Date: November 5, 2020</w:t>
            </w:r>
          </w:p>
        </w:tc>
        <w:tc>
          <w:tcPr>
            <w:tcW w:w="7000" w:type="dxa"/>
            <w:vAlign w:val="bottom"/>
            <w:gridSpan w:val="2"/>
          </w:tcPr>
          <w:p>
            <w:pPr>
              <w:ind w:left="2460"/>
              <w:spacing w:after="0"/>
              <w:rPr>
                <w:sz w:val="20"/>
                <w:szCs w:val="20"/>
                <w:color w:val="auto"/>
              </w:rPr>
            </w:pPr>
            <w:r>
              <w:rPr>
                <w:rFonts w:ascii="Arial" w:cs="Arial" w:eastAsia="Arial" w:hAnsi="Arial"/>
                <w:sz w:val="18"/>
                <w:szCs w:val="18"/>
                <w:color w:val="auto"/>
              </w:rPr>
              <w:t>By:  Kate Bueker</w:t>
            </w:r>
          </w:p>
        </w:tc>
      </w:tr>
      <w:tr>
        <w:trPr>
          <w:trHeight w:val="194"/>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2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Quarterly Report on Form 10-Q of HubSpot, Inc. for the period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Date: November 5, 2020</w:t>
            </w:r>
          </w:p>
        </w:tc>
        <w:tc>
          <w:tcPr>
            <w:tcW w:w="7000" w:type="dxa"/>
            <w:vAlign w:val="bottom"/>
            <w:gridSpan w:val="2"/>
          </w:tcPr>
          <w:p>
            <w:pPr>
              <w:ind w:left="2460"/>
              <w:spacing w:after="0"/>
              <w:rPr>
                <w:sz w:val="20"/>
                <w:szCs w:val="20"/>
                <w:color w:val="auto"/>
              </w:rPr>
            </w:pPr>
            <w:r>
              <w:rPr>
                <w:rFonts w:ascii="Arial" w:cs="Arial" w:eastAsia="Arial" w:hAnsi="Arial"/>
                <w:sz w:val="18"/>
                <w:szCs w:val="18"/>
                <w:color w:val="auto"/>
              </w:rPr>
              <w:t>By:  /s/ Brian Halligan</w:t>
            </w:r>
          </w:p>
        </w:tc>
      </w:tr>
      <w:tr>
        <w:trPr>
          <w:trHeight w:val="194"/>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2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55"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September 30,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Date: November 5, 2020</w:t>
            </w:r>
          </w:p>
        </w:tc>
        <w:tc>
          <w:tcPr>
            <w:tcW w:w="7000" w:type="dxa"/>
            <w:vAlign w:val="bottom"/>
            <w:gridSpan w:val="2"/>
          </w:tcPr>
          <w:p>
            <w:pPr>
              <w:ind w:left="2460"/>
              <w:spacing w:after="0"/>
              <w:rPr>
                <w:sz w:val="20"/>
                <w:szCs w:val="20"/>
                <w:color w:val="auto"/>
              </w:rPr>
            </w:pPr>
            <w:r>
              <w:rPr>
                <w:rFonts w:ascii="Arial" w:cs="Arial" w:eastAsia="Arial" w:hAnsi="Arial"/>
                <w:sz w:val="18"/>
                <w:szCs w:val="18"/>
                <w:color w:val="auto"/>
              </w:rPr>
              <w:t>By:  /s/ Kate Bueker</w:t>
            </w:r>
          </w:p>
        </w:tc>
      </w:tr>
      <w:tr>
        <w:trPr>
          <w:trHeight w:val="194"/>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2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29" w:lineRule="exact"/>
        <w:rPr>
          <w:sz w:val="20"/>
          <w:szCs w:val="20"/>
          <w:color w:val="auto"/>
        </w:rPr>
      </w:pPr>
    </w:p>
    <w:p>
      <w:pPr>
        <w:ind w:right="20" w:firstLine="510"/>
        <w:spacing w:after="0" w:line="307"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lvl>
    <w:lvl w:ilvl="1">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upperLetter"/>
      <w:start w:val="1"/>
    </w:lvl>
  </w:abstractNum>
  <w:abstractNum w:abstractNumId="18">
    <w:nsid w:val="B03E0C6"/>
    <w:multiLevelType w:val="hybridMultilevel"/>
    <w:lvl w:ilvl="0">
      <w:lvlJc w:val="left"/>
      <w:lvlText w:val="(%1)"/>
      <w:numFmt w:val="upperLetter"/>
      <w:start w:val="4"/>
    </w:lvl>
  </w:abstractNum>
  <w:abstractNum w:abstractNumId="19">
    <w:nsid w:val="189A769B"/>
    <w:multiLevelType w:val="hybridMultilevel"/>
    <w:lvl w:ilvl="0">
      <w:lvlJc w:val="left"/>
      <w:lvlText w:val="(%1)"/>
      <w:numFmt w:val="upperLetter"/>
      <w:start w:val="5"/>
    </w:lvl>
  </w:abstractNum>
  <w:abstractNum w:abstractNumId="20">
    <w:nsid w:val="54E49EB4"/>
    <w:multiLevelType w:val="hybridMultilevel"/>
    <w:lvl w:ilvl="0">
      <w:lvlJc w:val="left"/>
      <w:lvlText w:val="(%1)"/>
      <w:numFmt w:val="lowerRoman"/>
      <w:start w:val="1"/>
    </w:lvl>
    <w:lvl w:ilvl="1">
      <w:lvlJc w:val="left"/>
      <w:lvlText w:val="(%2)"/>
      <w:numFmt w:val="decimal"/>
      <w:start w:val="3"/>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4"/>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Roman"/>
      <w:start w:val="2"/>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30"/>
    </w:lvl>
  </w:abstractNum>
  <w:abstractNum w:abstractNumId="30">
    <w:nsid w:val="6CEAF087"/>
    <w:multiLevelType w:val="hybridMultilevel"/>
    <w:lvl w:ilvl="0">
      <w:lvlJc w:val="left"/>
      <w:lvlText w:val="(%1)"/>
      <w:numFmt w:val="decimal"/>
      <w:start w:val="60"/>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88" Type="http://schemas.openxmlformats.org/officeDocument/2006/relationships/hyperlink" Target="http://www.sec.gov/Archives/edgar/data/1404655/000156459016013204/hubs-ex31_768.htm" TargetMode="External"/><Relationship Id="rId89" Type="http://schemas.openxmlformats.org/officeDocument/2006/relationships/hyperlink" Target="http://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2020-11-05T17:26:50Z</dcterms:created>
  <dcterms:modified xsi:type="dcterms:W3CDTF">2020-11-05T17:26:50Z</dcterms:modified>
</cp:coreProperties>
</file>