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ubs-20260331.htm"/>
      <w:bookmarkStart w:id="1" w:name="kshubs20260331"/>
      <w:bookmarkEnd w:id="0"/>
      <w:bookmarkEnd w:id="1"/>
      <w:r>
        <w:rPr/>
        <w:t>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UNITED STATES</w:t>
      </w:r>
    </w:p>
    <w:p>
      <w:pPr>
        <w:pStyle w:val="TextBody"/>
        <w:bidi w:val="0"/>
        <w:jc w:val="center"/>
        <w:rPr>
          <w:rFonts w:ascii="Times New Roman" w:hAnsi="Times New Roman"/>
          <w:b/>
          <w:color w:val="000000"/>
          <w:sz w:val="18"/>
        </w:rPr>
      </w:pPr>
      <w:r>
        <w:rPr>
          <w:rFonts w:ascii="Times New Roman" w:hAnsi="Times New Roman"/>
          <w:b/>
          <w:color w:val="000000"/>
          <w:sz w:val="18"/>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26"/>
        </w:rPr>
      </w:pPr>
      <w:r>
        <w:rPr>
          <w:rFonts w:ascii="Times New Roman" w:hAnsi="Times New Roman"/>
          <w:b/>
          <w:color w:val="000000"/>
          <w:sz w:val="26"/>
        </w:rPr>
        <w:t>FORM 10-Q</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b/>
          <w:color w:val="000000"/>
          <w:sz w:val="18"/>
        </w:rPr>
      </w:pPr>
      <w:r>
        <w:rPr>
          <w:rFonts w:ascii="Times New Roman" w:hAnsi="Times New Roman"/>
          <w:b/>
          <w:color w:val="000000"/>
          <w:sz w:val="18"/>
        </w:rPr>
        <w:t>(MARK ONE)</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jc w:val="left"/>
        <w:rPr/>
      </w:pPr>
      <w:r>
        <w:rPr/>
        <w:t> </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FOR THE QUARTERLY PERIOD ENDED March 31, 2026</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COMMISSION FILE NUMBER 001-36680</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44"/>
        </w:rPr>
      </w:pPr>
      <w:r>
        <w:rPr>
          <w:rFonts w:ascii="Times New Roman" w:hAnsi="Times New Roman"/>
          <w:b/>
          <w:color w:val="000000"/>
          <w:sz w:val="44"/>
        </w:rPr>
        <w:t>HubSpot,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tbl>
      <w:tblPr>
        <w:tblW w:w="4116" w:type="dxa"/>
        <w:jc w:val="left"/>
        <w:tblInd w:w="0" w:type="dxa"/>
        <w:tblLayout w:type="fixed"/>
        <w:tblCellMar>
          <w:top w:w="28" w:type="dxa"/>
          <w:left w:w="28" w:type="dxa"/>
          <w:bottom w:w="28" w:type="dxa"/>
          <w:right w:w="28" w:type="dxa"/>
        </w:tblCellMar>
      </w:tblPr>
      <w:tblGrid>
        <w:gridCol w:w="2446"/>
        <w:gridCol w:w="109"/>
        <w:gridCol w:w="1561"/>
      </w:tblGrid>
      <w:tr>
        <w:trPr/>
        <w:tc>
          <w:tcPr>
            <w:tcW w:w="2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20-2632791</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 of</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(I.R.S. Employer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Identification No.)</w:t>
            </w:r>
          </w:p>
        </w:tc>
      </w:tr>
    </w:tbl>
    <w:p>
      <w:pPr>
        <w:pStyle w:val="TextBody"/>
        <w:bidi w:val="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283"/>
              <w:jc w:val="left"/>
              <w:rPr>
                <w:sz w:val="4"/>
                <w:szCs w:val="4"/>
              </w:rPr>
            </w:pPr>
            <w:r>
              <w:rPr>
                <w:sz w:val="4"/>
                <w:szCs w:val="4"/>
              </w:rPr>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Two Canal Park</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9"/>
              </w:rPr>
              <w:t>Cambridge, Massachusetts</w:t>
            </w:r>
            <w:r>
              <w:rPr>
                <w:rFonts w:ascii="Times New Roman" w:hAnsi="Times New Roman"/>
                <w:color w:val="000000"/>
                <w:sz w:val="20"/>
              </w:rPr>
              <w:t xml:space="preserve"> </w:t>
            </w:r>
            <w:r>
              <w:rPr>
                <w:rFonts w:ascii="Times New Roman" w:hAnsi="Times New Roman"/>
                <w:b/>
                <w:color w:val="000000"/>
                <w:sz w:val="19"/>
              </w:rPr>
              <w:t>02141</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color w:val="000000"/>
                <w:sz w:val="19"/>
              </w:rPr>
              <w:t>(Address of principal executive offices)</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(888) 482-7768</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8770" w:type="dxa"/>
        <w:jc w:val="left"/>
        <w:tblInd w:w="0" w:type="dxa"/>
        <w:tblLayout w:type="fixed"/>
        <w:tblCellMar>
          <w:top w:w="28" w:type="dxa"/>
          <w:left w:w="28" w:type="dxa"/>
          <w:bottom w:w="28" w:type="dxa"/>
          <w:right w:w="28" w:type="dxa"/>
        </w:tblCellMar>
      </w:tblPr>
      <w:tblGrid>
        <w:gridCol w:w="3436"/>
        <w:gridCol w:w="146"/>
        <w:gridCol w:w="1561"/>
        <w:gridCol w:w="146"/>
        <w:gridCol w:w="348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HUBS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New York Stock Exchange</w:t>
            </w:r>
          </w:p>
        </w:tc>
      </w:tr>
    </w:tbl>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0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There were 51,217,740</w:t>
      </w:r>
      <w:r>
        <w:rPr>
          <w:rFonts w:ascii="Times New Roman" w:hAnsi="Times New Roman"/>
          <w:color w:val="FF0000"/>
          <w:sz w:val="20"/>
        </w:rPr>
        <w:t xml:space="preserve"> </w:t>
      </w:r>
      <w:r>
        <w:rPr>
          <w:rFonts w:ascii="Times New Roman" w:hAnsi="Times New Roman"/>
          <w:color w:val="000000"/>
          <w:sz w:val="18"/>
        </w:rPr>
        <w:t>shares of the registrant’s Common Stock issued and outstanding as of May 1, 2026.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76"/>
        <w:gridCol w:w="391"/>
        <w:gridCol w:w="8477"/>
        <w:gridCol w:w="361"/>
      </w:tblGrid>
      <w:tr>
        <w:trPr/>
        <w:tc>
          <w:tcPr>
            <w:tcW w:w="9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7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Times New Roman" w:hAnsi="Times New Roman"/>
                  <w:b/>
                  <w:color w:val="0000FF"/>
                  <w:sz w:val="20"/>
                  <w:u w:val="single"/>
                </w:rPr>
                <w:t>Part I — Financial Information</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center"/>
              <w:rPr/>
            </w:pPr>
            <w:r>
              <w:rPr/>
              <w:t> </w:t>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_financial_statements">
              <w:r>
                <w:rPr>
                  <w:rStyle w:val="InternetLink"/>
                  <w:rFonts w:ascii="Times New Roman" w:hAnsi="Times New Roman"/>
                  <w:color w:val="0000FF"/>
                  <w:sz w:val="20"/>
                  <w:u w:val="single"/>
                </w:rPr>
                <w:t>Unaudited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solidated_balance_sheets">
              <w:r>
                <w:rPr>
                  <w:rStyle w:val="InternetLink"/>
                  <w:rFonts w:ascii="Times New Roman" w:hAnsi="Times New Roman"/>
                  <w:color w:val="0000FF"/>
                  <w:sz w:val="20"/>
                  <w:u w:val="single"/>
                </w:rPr>
                <w:t>Unaudited Consolidated Balance Sheets as of March 31, 2026 and December 31, 2025</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solidated_statements_operat">
              <w:r>
                <w:rPr>
                  <w:rStyle w:val="InternetLink"/>
                  <w:rFonts w:ascii="Times New Roman" w:hAnsi="Times New Roman"/>
                  <w:color w:val="0000FF"/>
                  <w:sz w:val="20"/>
                  <w:u w:val="single"/>
                </w:rPr>
                <w:t>Unaudited Consolidated Statements of Operations for the Three Months Ended March 31, 2026 and 2025</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solidated_statements_compre">
              <w:r>
                <w:rPr>
                  <w:rStyle w:val="InternetLink"/>
                  <w:rFonts w:ascii="Times New Roman" w:hAnsi="Times New Roman"/>
                  <w:color w:val="0000FF"/>
                  <w:sz w:val="20"/>
                  <w:u w:val="single"/>
                </w:rPr>
                <w:t>Unaudited Consolidated Statements of Comprehensive Income (Loss) for the Three Months Ended March 31, 2026 and 2025</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unaudted_consolidated_se">
              <w:r>
                <w:rPr>
                  <w:rStyle w:val="InternetLink"/>
                  <w:rFonts w:ascii="Times New Roman" w:hAnsi="Times New Roman"/>
                  <w:color w:val="0000FF"/>
                  <w:sz w:val="20"/>
                  <w:u w:val="single"/>
                </w:rPr>
                <w:t>Unaudited Consolidated Statement of Stockholders’ Equity for the Three Months Ended March 31, 2026 and 2025</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solidated_statements_cash_f">
              <w:r>
                <w:rPr>
                  <w:rStyle w:val="InternetLink"/>
                  <w:rFonts w:ascii="Times New Roman" w:hAnsi="Times New Roman"/>
                  <w:color w:val="0000FF"/>
                  <w:sz w:val="20"/>
                  <w:u w:val="single"/>
                </w:rPr>
                <w:t>Unaudited Consolidated Statements of Cash Flows for the Three Months Ended March 31, 2026 and 2025</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notes_to_unaudited_consolida_ted_financi">
              <w:r>
                <w:rPr>
                  <w:rStyle w:val="InternetLink"/>
                  <w:rFonts w:ascii="Times New Roman" w:hAnsi="Times New Roman"/>
                  <w:color w:val="0000FF"/>
                  <w:sz w:val="20"/>
                  <w:u w:val="single"/>
                </w:rPr>
                <w:t>Notes to Unaudited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4_controls_procedures">
              <w:r>
                <w:rPr>
                  <w:rStyle w:val="InternetLink"/>
                  <w:rFonts w:ascii="Times New Roman" w:hAnsi="Times New Roman"/>
                  <w:color w:val="0000FF"/>
                  <w:sz w:val="20"/>
                  <w:u w:val="single"/>
                </w:rPr>
                <w:t>Controls and Procedures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 — Other Information</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on_senior_securities">
              <w:r>
                <w:rPr>
                  <w:rStyle w:val="InternetLink"/>
                  <w:rFonts w:ascii="Times New Roman" w:hAnsi="Times New Roman"/>
                  <w:color w:val="0000FF"/>
                  <w:sz w:val="20"/>
                  <w:u w:val="single"/>
                </w:rPr>
                <w:t>Defaults Upon Senior Securities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EX-31.1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THE CEO PURSUANT TO SECTION 302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EX-31.2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THE CFO PURSUANT TO SECTION 302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EX-32.1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THE CEO AND CFO PURSUANT TO SECTION 906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Quarterly Report on Form 10-Q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future financial and operational performance, including our expectations regarding our revenue, cost of revenue, gross margin and operating expenses;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maintaining and expanding our customer base and increasing our average subscription revenue per customer;</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competition in our industry and innovation by our competitors, including as a result of new or better use of evolving artificial intelligence (“AI”) technologies;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anticipated growth and expectations regarding our ability to manage our future growth;</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expectations regarding the potential impact of geo-political conflicts, inflationary pressures, tariffs and trade restrictions, foreign currency movement, macroeconomic stability, and catastrophic events, on our business, the broader economy, our workforce and operations, the markets in which we and our partners and customers operate, and our ability to forecast future financial performance, including variability in the intra-quarter linearity of our business;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anticipated areas of investments, including sales and marketing, research and development, including with respect to AI and machine learning, customer service and support, data center infrastructure and service capabilities, and expectations relating to such investments;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predictions about industry and market trends;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comply with obligations under our revolving credit facility;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ability to anticipate and address the evolution of technology and the technological needs of our customers, to roll-out upgrades to our existing software platform and to develop new and enhanced applications to meet the needs of our customers, including with respect to AI and machine learning;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maintain our brand and marketing, selling and servicing thought leadership position;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our corporate culture and our ability to attract, hire and retain necessary qualified employees to expand our operations;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anticipated effect on our business of litigation to which we are or may become a party;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successfully acquire and integrate companies and assets;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our 2026 Share Repurchase Program;</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plans regarding declaring or paying cash dividends in the foreseeable future;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stay abreast of new or modified laws and regulations that currently apply or become applicable to our business both in the United States and internationally.</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Quarterly Report on Form 10-Q.</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 xml:space="preserve">You should not rely upon forward-looking statements as predictions of future events. We have based the forward-looking statements contained in this Quarterly Report on Form 10-Q primarily on our current expectations and projections about future events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and trends that we believe may affect our business, financial condition, results of operations and prospects. The outcome of the events described in these forward-looking statements is subject to risks, uncertainties and other factors described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 this Quarterly Report on Form 10-Q, the terms “HubSpot,” “we,” “us,” and “our” refer to HubSpot, Inc. and its subsidiaries, unless the context indicates otherwise.</w:t>
      </w:r>
    </w:p>
    <w:p>
      <w:pPr>
        <w:pStyle w:val="TextBody"/>
        <w:bidi w:val="0"/>
        <w:spacing w:before="200" w:after="283"/>
        <w:jc w:val="left"/>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upon customer renewals, the addition of new customers, increased revenue from existing customers and the continued growth of the market for a customer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from both established and new companies in the software market in which we operate, which may harm our ability to add new customers, retain existing customers and grow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effectively develop and expand our marketing, sales, customer service, operations, and content management capabilities could harm our ability to increase our customer base and achieve broader market acceptance of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adapt and respond effectively to rapidly changing technology (including AI and machine learning), evolving industry standards and changing customer needs or requirements, our customer platform may become less competitive.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introduce new products and features, including new products and features that utilize AI is dependent on adequate research and development resources. If we do not adequately fund our research and development efforts, we may not be able to compete effectively and our business and operating results may be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fluctuations in currency exchange rates that could adversely affect our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uncertainty, including from changes in trade policies, trade wars, tariffs or other trade restrictions or the threat of such actions, may lead to decreased demand for our products and services and otherwise harm our business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Interruptions or delays in service from our third-party data center providers could impair our ability to deliver our platform to our customers, resulting in customer dissatisfaction, damage to our reputation, loss of customers, limited growth, and reduction in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customer platform has outages or fails due to defects or similar problems, and if we fail to correct any defect or other software problems, we could lose customers, become subject to service performance or warranty claims or incur significant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losses and may not become consistently profitable or maintain or increase profitability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capital in the future may be limited, and our failure to raise capital when needed could prevent us from growing.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4" w:name="unaudited_consolidated_balance_sheets"/>
      <w:bookmarkEnd w:id="4"/>
      <w:r>
        <w:rPr>
          <w:rFonts w:ascii="Times New Roman" w:hAnsi="Times New Roman"/>
          <w:b/>
          <w:color w:val="000000"/>
          <w:sz w:val="20"/>
        </w:rPr>
        <w:t>Unaudited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144" w:type="dxa"/>
        <w:jc w:val="left"/>
        <w:tblInd w:w="0" w:type="dxa"/>
        <w:tblLayout w:type="fixed"/>
        <w:tblCellMar>
          <w:top w:w="28" w:type="dxa"/>
          <w:left w:w="28" w:type="dxa"/>
          <w:bottom w:w="28" w:type="dxa"/>
          <w:right w:w="28" w:type="dxa"/>
        </w:tblCellMar>
      </w:tblPr>
      <w:tblGrid>
        <w:gridCol w:w="7011"/>
        <w:gridCol w:w="146"/>
        <w:gridCol w:w="211"/>
        <w:gridCol w:w="931"/>
        <w:gridCol w:w="166"/>
        <w:gridCol w:w="146"/>
        <w:gridCol w:w="211"/>
        <w:gridCol w:w="931"/>
        <w:gridCol w:w="391"/>
      </w:tblGrid>
      <w:tr>
        <w:trPr/>
        <w:tc>
          <w:tcPr>
            <w:tcW w:w="7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821,552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 net of allowance for doubtful accounts of $6,151</w:t>
              <w:br/>
              <w:t>    at March 31, 2026, and $6,825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226,184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2,449,735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development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commission expense,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3,854,151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1,004,945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1,467,471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1,787,907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value—500,000 shares authorized; 55,076 and 54,832 </w:t>
              <w:br/>
              <w:t xml:space="preserve">    shares issued; 51,954 and 52,555 shares outstanding at March 31, 2026, and </w:t>
              <w:br/>
              <w:t>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$0.001 par value—3,122 and 2,277 shares held at March 31, 2026,</w:t>
              <w:br/>
              <w:t>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2,814,843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(753,898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2,066,244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3,854,151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5" w:name="unaudited_consolidated_statements_operat"/>
      <w:bookmarkEnd w:id="5"/>
      <w:r>
        <w:rPr>
          <w:rFonts w:ascii="Times New Roman" w:hAnsi="Times New Roman"/>
          <w:b/>
          <w:color w:val="000000"/>
          <w:sz w:val="20"/>
        </w:rPr>
        <w:t>Unaudited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tbl>
      <w:tblPr>
        <w:tblW w:w="8259" w:type="dxa"/>
        <w:jc w:val="left"/>
        <w:tblInd w:w="0" w:type="dxa"/>
        <w:tblLayout w:type="fixed"/>
        <w:tblCellMar>
          <w:top w:w="28" w:type="dxa"/>
          <w:left w:w="28" w:type="dxa"/>
          <w:bottom w:w="28" w:type="dxa"/>
          <w:right w:w="28" w:type="dxa"/>
        </w:tblCellMar>
      </w:tblPr>
      <w:tblGrid>
        <w:gridCol w:w="4486"/>
        <w:gridCol w:w="274"/>
        <w:gridCol w:w="1015"/>
        <w:gridCol w:w="215"/>
        <w:gridCol w:w="189"/>
        <w:gridCol w:w="274"/>
        <w:gridCol w:w="1015"/>
        <w:gridCol w:w="791"/>
      </w:tblGrid>
      <w:tr>
        <w:trPr/>
        <w:tc>
          <w:tcPr>
            <w:tcW w:w="448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862,264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698,728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18,731</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revenue</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880,995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714,137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128,724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16,970</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cost of revenues</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145,694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115,107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735,301</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599,030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234,193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386,431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326,697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85,640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78,633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707,358</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626,510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11,351</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39,294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(6,740</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32,554</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(21,793</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basic</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diluted</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used in computing </w:t>
              <w:br/>
              <w:t>   basic net income (loss) per share:</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52,154</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used in computing </w:t>
              <w:br/>
              <w:t>   diluted net income (loss) per share</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6" w:name="unaudited_consolidated_statements_compre"/>
      <w:bookmarkEnd w:id="6"/>
      <w:r>
        <w:rPr>
          <w:rFonts w:ascii="Times New Roman" w:hAnsi="Times New Roman"/>
          <w:b/>
          <w:color w:val="000000"/>
          <w:sz w:val="20"/>
        </w:rPr>
        <w:t>Unaudited Consolidated Statements of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9970" w:type="dxa"/>
        <w:jc w:val="left"/>
        <w:tblInd w:w="0" w:type="dxa"/>
        <w:tblLayout w:type="fixed"/>
        <w:tblCellMar>
          <w:top w:w="28" w:type="dxa"/>
          <w:left w:w="28" w:type="dxa"/>
          <w:bottom w:w="28" w:type="dxa"/>
          <w:right w:w="28" w:type="dxa"/>
        </w:tblCellMar>
      </w:tblPr>
      <w:tblGrid>
        <w:gridCol w:w="6576"/>
        <w:gridCol w:w="293"/>
        <w:gridCol w:w="940"/>
        <w:gridCol w:w="230"/>
        <w:gridCol w:w="203"/>
        <w:gridCol w:w="293"/>
        <w:gridCol w:w="1024"/>
        <w:gridCol w:w="411"/>
      </w:tblGrid>
      <w:tr>
        <w:trPr/>
        <w:tc>
          <w:tcPr>
            <w:tcW w:w="657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32,554</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unrealized loss on investments, net of income taxes of $0</w:t>
              <w:br/>
              <w:t>   for the three months ended March 31, 2026, and 2025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Changes in unrealized loss on cash flow hedges, net of income taxes of ($67) </w:t>
              <w:br/>
              <w:t>   for the three months ended March 31, 2026, and $47 for the three months</w:t>
              <w:br/>
              <w:t>   ended March 31, 2025</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29,099</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7" w:name="unaudted_consolidated_se"/>
      <w:bookmarkEnd w:id="7"/>
      <w:r>
        <w:rPr>
          <w:rFonts w:ascii="Times New Roman" w:hAnsi="Times New Roman"/>
          <w:b/>
          <w:color w:val="000000"/>
          <w:sz w:val="20"/>
        </w:rPr>
        <w:t>Unaudited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267"/>
        <w:gridCol w:w="146"/>
        <w:gridCol w:w="601"/>
        <w:gridCol w:w="166"/>
        <w:gridCol w:w="146"/>
        <w:gridCol w:w="196"/>
        <w:gridCol w:w="346"/>
        <w:gridCol w:w="166"/>
        <w:gridCol w:w="146"/>
        <w:gridCol w:w="146"/>
        <w:gridCol w:w="513"/>
        <w:gridCol w:w="146"/>
        <w:gridCol w:w="146"/>
        <w:gridCol w:w="196"/>
        <w:gridCol w:w="347"/>
        <w:gridCol w:w="146"/>
        <w:gridCol w:w="146"/>
        <w:gridCol w:w="196"/>
        <w:gridCol w:w="826"/>
        <w:gridCol w:w="166"/>
        <w:gridCol w:w="146"/>
        <w:gridCol w:w="280"/>
        <w:gridCol w:w="816"/>
        <w:gridCol w:w="166"/>
        <w:gridCol w:w="146"/>
        <w:gridCol w:w="196"/>
        <w:gridCol w:w="751"/>
        <w:gridCol w:w="166"/>
        <w:gridCol w:w="146"/>
        <w:gridCol w:w="196"/>
        <w:gridCol w:w="826"/>
        <w:gridCol w:w="216"/>
      </w:tblGrid>
      <w:tr>
        <w:trPr/>
        <w:tc>
          <w:tcPr>
            <w:tcW w:w="1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br/>
              <w:t>Stock, $0.001</w:t>
              <w:b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2,814,843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2,066,244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under </w:t>
              <w:br/>
              <w:t>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 taxes paid</w:t>
              <w:br/>
              <w:t>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(212,309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116,940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Other comprehensive loss, </w:t>
              <w:br/>
              <w: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32,554</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2,716,280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(721,344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1,996,780</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363"/>
        <w:gridCol w:w="146"/>
        <w:gridCol w:w="601"/>
        <w:gridCol w:w="166"/>
        <w:gridCol w:w="146"/>
        <w:gridCol w:w="196"/>
        <w:gridCol w:w="346"/>
        <w:gridCol w:w="146"/>
        <w:gridCol w:w="146"/>
        <w:gridCol w:w="165"/>
        <w:gridCol w:w="384"/>
        <w:gridCol w:w="169"/>
        <w:gridCol w:w="149"/>
        <w:gridCol w:w="200"/>
        <w:gridCol w:w="353"/>
        <w:gridCol w:w="146"/>
        <w:gridCol w:w="146"/>
        <w:gridCol w:w="196"/>
        <w:gridCol w:w="826"/>
        <w:gridCol w:w="166"/>
        <w:gridCol w:w="146"/>
        <w:gridCol w:w="280"/>
        <w:gridCol w:w="816"/>
        <w:gridCol w:w="166"/>
        <w:gridCol w:w="146"/>
        <w:gridCol w:w="196"/>
        <w:gridCol w:w="751"/>
        <w:gridCol w:w="166"/>
        <w:gridCol w:w="146"/>
        <w:gridCol w:w="196"/>
        <w:gridCol w:w="826"/>
        <w:gridCol w:w="214"/>
      </w:tblGrid>
      <w:tr>
        <w:trPr/>
        <w:tc>
          <w:tcPr>
            <w:tcW w:w="13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3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br/>
              <w:t>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2,713,697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1,908,286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under </w:t>
              <w:br/>
              <w:t>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 taxes paid</w:t>
              <w:br/>
              <w:t>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Conversion of the 2025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121,806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Other comprehensive income, </w:t>
              <w:br/>
              <w: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2,828,754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(821,602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2,004,544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8" w:name="unaudited_consolidated_statements_cash_f"/>
      <w:bookmarkEnd w:id="8"/>
      <w:r>
        <w:rPr>
          <w:rFonts w:ascii="Times New Roman" w:hAnsi="Times New Roman"/>
          <w:b/>
          <w:color w:val="000000"/>
          <w:sz w:val="20"/>
        </w:rPr>
        <w:t>Unaudited Consolidated Statements of Cash Flows</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(in thousands)</w:t>
      </w:r>
    </w:p>
    <w:tbl>
      <w:tblPr>
        <w:tblW w:w="9906" w:type="dxa"/>
        <w:jc w:val="left"/>
        <w:tblInd w:w="0" w:type="dxa"/>
        <w:tblLayout w:type="fixed"/>
        <w:tblCellMar>
          <w:top w:w="28" w:type="dxa"/>
          <w:left w:w="28" w:type="dxa"/>
          <w:bottom w:w="28" w:type="dxa"/>
          <w:right w:w="28" w:type="dxa"/>
        </w:tblCellMar>
      </w:tblPr>
      <w:tblGrid>
        <w:gridCol w:w="5766"/>
        <w:gridCol w:w="146"/>
        <w:gridCol w:w="265"/>
        <w:gridCol w:w="1016"/>
        <w:gridCol w:w="224"/>
        <w:gridCol w:w="197"/>
        <w:gridCol w:w="265"/>
        <w:gridCol w:w="1016"/>
        <w:gridCol w:w="1011"/>
      </w:tblGrid>
      <w:tr>
        <w:trP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32,554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(21,793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income to net cash and cash equivalents provided</w:t>
              <w:br/>
              <w:t>   by operating activities, net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40,239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28,830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115,744</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116,693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Gain on 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Impairment of strategic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Benefit from 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Accretion of bond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Unrealized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2,527</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58,437</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45,655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(60,519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(26,392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Deferred commission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(22,092</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(27,159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31,319</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18,034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(24,709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(13,859</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38,381</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39,422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and cash equivalents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198,825</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161,570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(358,691</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(674,375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487,690</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803,059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(15,422</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(13,345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Capitalization of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(34,339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(30,421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Business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(8,341</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(51,356</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and cash equivalents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64,578</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22,562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Employee taxes paid related to the net share settlement of stock-based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(9,070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(2,620</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Repayment of 2025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(90,568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related to the issuance of common stock under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16,313</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19,308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(206,681</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and cash equivalents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(196,182</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(80,330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61,695</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112,362</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884,945</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516,720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946,640</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629,082</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9,153</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3,705</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assets obtained in exchange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3,199</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Excise tax liability accrued for common stock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expenditures incurred but not yet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5,145</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2,799</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common stock in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4,347</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9" w:name="notes_to_unaudited_consolida_ted_financi"/>
      <w:bookmarkEnd w:id="9"/>
      <w:r>
        <w:rPr>
          <w:rFonts w:ascii="Times New Roman" w:hAnsi="Times New Roman"/>
          <w:b/>
          <w:color w:val="000000"/>
          <w:sz w:val="20"/>
        </w:rPr>
        <w:t>Notes to Unaudited Consolidated Financial Statements</w:t>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 Organization and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HubSpot, Inc. (the “Company”) provides an agentic customer platform that helps marketing, sales, and customer service teams drive business growth. The Company delivers seamless connection for customer-facing teams with a unified platform that includes three layers: Artificial Intelligence (“AI”)-powered agents and engagement Hubs, a Smart customer relationship management product (“CRM”), and a connected ecosystem supporting the customer platform with a marketplace of integrations, templates, expert partners, a community network, and an academy of educational content.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AI-powered agents and engagement Hubs that enable companies to attract, engage, and delight customers throughout the customer lifecycle include Marketing, Sales, Service, Operations, Content and Commerce. The Smart CRM is the foundational context layer that combines customer data with AI to power the entire customer platform with unified customer profiles and tools to manage and govern customer teams and business processes.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accompanying unaudited consolidated financial statements have been prepared in accordance with generally accepted accounting principles in the United States (“GAAP”) applicable to interim periods, under the rules and regulations of the United States Securities and Exchange Commission (“SEC”). In the opinion of management, the Company has prepared the accompanying unaudited consolidated financial statements on a basis substantially consistent with the audited consolidated financial statements of the Company as of and for the year ended December 31, 2025, and these consolidated financial statements include all adjustments, consisting only of normal recurring adjustments, necessary for a fair statement of the results of the interim periods presented. All intercompany balances and transactions have been eliminated in consolidation.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results of operations for the interim periods presented are not necessarily indicative of the results to be expected for any subsequent quarter or for the entire year ending December 31, 2026. The December 31, 2025 balance sheet data was derived from audited financial statements, but this Form 10-Q does not include all disclosures required under GAAP. Certain information and note disclosures normally included in annual financial statements prepared in accordance with GAAP have been omitted under the rules and regulations of the SEC.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These interim financial statements should be read in conjunction with the audited consolidated financial statements and related notes contained in the Company’s Annual Report on Form 10-K filed with the SEC on February 11, 2026. There have been no changes in the Company’s significant accounting policies from those that were disclosed in the Company’s Annual Report on Form 10-K that have had a material impact on our consolidated financial statements and related notes.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Recent accounting standards not included below are not expected to have a material impact on our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2024, the FASB issued guidance that requires the disclosure about specific types of expenses included in the expense captions presented on the face of the income statement. The new standard will be effective for the Company for the annual period beginning January 1, 2027, and for interim periods beginning January 1, 2028, with early adoption permitted. The adoption of this standard only impacts annual and quarterly disclosures and is not expected to have a material impact on the Company's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July 2025, the FASB issued guidance that provides a practical expedient to measure credit losses on current accounts receivable and current contract assets. The practical expedient allows companies to assume that current conditions as of the balance sheet date do not change for the remaining life of the asset when measuring credit losses. The Company adopted the updated guidance as of January 1, 2026 and the adoption did not have a material impact on its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September 2025, the FASB issued guidance which modernizes the accounting for internal-use software costs. The guidance removes all references to software project development stages and clarifies the recognition threshold entities must meet to begin capitalizing costs. The new standard will be effective for the Company for the annual and interim periods beginning January 1, 2028, with early adoption permitted. The Company is currently evaluating the impact that the adoption of this standard will have on its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2025, the FASB issued guidance to establish authoritative guidance on the recognition, measurement, and presentation of government grants received by business entities. The new standard will be effective for the Company for the annual and interim periods beginning January 1, 2029, with early adoption permitted. The Company is currently evaluating the impact that the adoption of this standard will have on its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2025, the FASB issued guidance which clarifies and reorganizes interim reporting guidance to improve navigability, applicability, and consistency without changing the fundamental nature or volume of required interim disclosures. The new standard will be effective for the Company for the interim periods beginning January 1, 2028, with early adoption permitted. The Company is currently evaluating the impact that the adoption of this standard will have on its consolidated financial statements.</w:t>
      </w:r>
    </w:p>
    <w:p>
      <w:pPr>
        <w:pStyle w:val="TextBody"/>
        <w:bidi w:val="0"/>
        <w:spacing w:before="200" w:after="283"/>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 Revenues</w:t>
      </w:r>
    </w:p>
    <w:p>
      <w:pPr>
        <w:pStyle w:val="TextBody"/>
        <w:bidi w:val="0"/>
        <w:spacing w:before="240" w:after="283"/>
        <w:jc w:val="both"/>
        <w:rPr>
          <w:rFonts w:ascii="Times New Roman" w:hAnsi="Times New Roman"/>
          <w:sz w:val="20"/>
        </w:rPr>
      </w:pPr>
      <w:r>
        <w:rPr>
          <w:rFonts w:ascii="Times New Roman" w:hAnsi="Times New Roman"/>
          <w:b/>
          <w:i/>
          <w:color w:val="000000"/>
          <w:sz w:val="20"/>
        </w:rPr>
        <w:t>Disaggregation of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provides disaggregation of revenue based on geographic region (Note 15)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Deferred Revenue and Deferred Commission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$526.8 million of revenue was recognized during the three months ended March 31, 2026 that was included in deferred revenue at the beginning of the period. As of March 31, 2026, approximately $1.7 billion of revenue is expected to be recognized from remaining performance obligations for contracts with original performance obligations that exceed one year. The Company expects to recognize revenue on approximately 89% of these remaining performance obligations over the next 24 months, with the balance recognized thereafter.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 contract liabilities of $6.9 million and $5.9 million were included in accrued expenses and other current liabilities on the consolidated balance sheet as of March 31, 2026 and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incremental direct costs of obtaining a contract, which primarily consist of employee sales and Solutions Partners commissions paid for new subscription contracts, are deferred and amortized on a straight-line basis over a period of approximately two to four years. The two to four-year period has been determined by taking into consideration the commitment term of the customer contract, the nature of the Company’s technology development life-cycle, and an estimated customer relationship period. Sales and Solutions Partner commissions for upgrade contracts are deferred and amortized on a straight-line basis over the remaining estimated customer relationship. Deferred commission expense that will be recorded as expense during the succeeding 12-month period is recorded as current deferred commission expense, and the remaining portion is recorded as long-term deferred commission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Deferred commission expense during the three months ended March 31, 2026 increased by $19.3 million as a result of deferring incremental costs of obtaining a contract of $87.9 million and was offset by amortization of $68.6 million during the same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Net Income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Basic net income (loss) per share is computed by dividing net income (loss) by the weighted average number of common shares outstanding for the period. Diluted net income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performance restricted stock units (“PSUs”), and the Conversion Option of the 2025 Notes (the “Conversion Options”) (Note 10) are considered to be potential common stock equivalents.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the denominator used in the calculation of basic and diluted net income (loss) per share is as follows:</w:t>
      </w:r>
    </w:p>
    <w:tbl>
      <w:tblPr>
        <w:tblW w:w="8621" w:type="dxa"/>
        <w:jc w:val="left"/>
        <w:tblInd w:w="0" w:type="dxa"/>
        <w:tblLayout w:type="fixed"/>
        <w:tblCellMar>
          <w:top w:w="28" w:type="dxa"/>
          <w:left w:w="28" w:type="dxa"/>
          <w:bottom w:w="28" w:type="dxa"/>
          <w:right w:w="28" w:type="dxa"/>
        </w:tblCellMar>
      </w:tblPr>
      <w:tblGrid>
        <w:gridCol w:w="5866"/>
        <w:gridCol w:w="238"/>
        <w:gridCol w:w="763"/>
        <w:gridCol w:w="164"/>
        <w:gridCol w:w="164"/>
        <w:gridCol w:w="238"/>
        <w:gridCol w:w="831"/>
        <w:gridCol w:w="166"/>
        <w:gridCol w:w="191"/>
      </w:tblGrid>
      <w:tr>
        <w:trPr/>
        <w:tc>
          <w:tcPr>
            <w:tcW w:w="58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32,554</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share equivalents resulting from stock options, RSUs,</w:t>
              <w:br/>
              <w:t>   ESPP, PSUs, and the Conversion Options</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52,578</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basic</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diluted</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the treasury stock method and the average market price per share during the period for calculating any potential dilutive effect of the stock options, RSUs, ESPPs, and PSUs. The Company uses the if-converted method when calculating any potential dilutive effect of the Conversion Options, which assumes conversion of outstanding convertible securities at the beginning of the reporting period or date of issuance, if the convertible security was issued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the Company incurred net loss for the three months ended March 31, 2025, diluted net loss per share is the same as basic net loss per share. All of the Company’s outstanding stock options, RSUs, PSUs, and shares issuable under the ESPP, as well as the Conversion Options, were excluded in the calculation of diluted net loss per share as the effect would be anti-dilutive.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weighted-average number of shares outstanding used in the computation of diluted net income (loss) per share does not include the effect of the following potentially dilutive common stock, as the effect would have been anti-dilutive:</w:t>
      </w:r>
    </w:p>
    <w:tbl>
      <w:tblPr>
        <w:tblW w:w="5903" w:type="dxa"/>
        <w:jc w:val="left"/>
        <w:tblInd w:w="0" w:type="dxa"/>
        <w:tblLayout w:type="fixed"/>
        <w:tblCellMar>
          <w:top w:w="28" w:type="dxa"/>
          <w:left w:w="28" w:type="dxa"/>
          <w:bottom w:w="28" w:type="dxa"/>
          <w:right w:w="28" w:type="dxa"/>
        </w:tblCellMar>
      </w:tblPr>
      <w:tblGrid>
        <w:gridCol w:w="3166"/>
        <w:gridCol w:w="146"/>
        <w:gridCol w:w="203"/>
        <w:gridCol w:w="794"/>
        <w:gridCol w:w="203"/>
        <w:gridCol w:w="203"/>
        <w:gridCol w:w="203"/>
        <w:gridCol w:w="794"/>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and 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Option of the 2025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4. Fair Value of Financial Instruments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1 — Quoted prices in active markets for identical assets or liabilities.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3 — Unobservable inputs to the valuation methodology that are significant to the measurement of fair value of assets or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details the fair value measurements within the fair value hierarchy of the Company’s financial assets and liabilities at March 31, 2026 and December 31, 2025:</w:t>
        <w:br/>
        <w:t> </w:t>
      </w:r>
    </w:p>
    <w:tbl>
      <w:tblPr>
        <w:tblW w:w="9312" w:type="dxa"/>
        <w:jc w:val="left"/>
        <w:tblInd w:w="0" w:type="dxa"/>
        <w:tblLayout w:type="fixed"/>
        <w:tblCellMar>
          <w:top w:w="28" w:type="dxa"/>
          <w:left w:w="28" w:type="dxa"/>
          <w:bottom w:w="28" w:type="dxa"/>
          <w:right w:w="28" w:type="dxa"/>
        </w:tblCellMar>
      </w:tblPr>
      <w:tblGrid>
        <w:gridCol w:w="3886"/>
        <w:gridCol w:w="146"/>
        <w:gridCol w:w="211"/>
        <w:gridCol w:w="781"/>
        <w:gridCol w:w="146"/>
        <w:gridCol w:w="146"/>
        <w:gridCol w:w="211"/>
        <w:gridCol w:w="781"/>
        <w:gridCol w:w="146"/>
        <w:gridCol w:w="146"/>
        <w:gridCol w:w="211"/>
        <w:gridCol w:w="676"/>
        <w:gridCol w:w="146"/>
        <w:gridCol w:w="146"/>
        <w:gridCol w:w="211"/>
        <w:gridCol w:w="931"/>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9" w:type="dxa"/>
            <w:gridSpan w:val="1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derivative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837,690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1,132,904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derivative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tbl>
      <w:tblPr>
        <w:tblW w:w="9312" w:type="dxa"/>
        <w:jc w:val="left"/>
        <w:tblInd w:w="0" w:type="dxa"/>
        <w:tblLayout w:type="fixed"/>
        <w:tblCellMar>
          <w:top w:w="28" w:type="dxa"/>
          <w:left w:w="28" w:type="dxa"/>
          <w:bottom w:w="28" w:type="dxa"/>
          <w:right w:w="28" w:type="dxa"/>
        </w:tblCellMar>
      </w:tblPr>
      <w:tblGrid>
        <w:gridCol w:w="3886"/>
        <w:gridCol w:w="146"/>
        <w:gridCol w:w="211"/>
        <w:gridCol w:w="781"/>
        <w:gridCol w:w="146"/>
        <w:gridCol w:w="146"/>
        <w:gridCol w:w="211"/>
        <w:gridCol w:w="781"/>
        <w:gridCol w:w="146"/>
        <w:gridCol w:w="146"/>
        <w:gridCol w:w="211"/>
        <w:gridCol w:w="676"/>
        <w:gridCol w:w="146"/>
        <w:gridCol w:w="146"/>
        <w:gridCol w:w="211"/>
        <w:gridCol w:w="931"/>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253,765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658,739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derivative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1,171,727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March 31, 2026 and December 31, 2025,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 Certain non-marketable strategic investments measured at fair value on a non-recurring basis are classified as Level 3 as their fair value measurements may include a combination of observable and unobservable inputs.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Foreign currency derivative assets and liabilities are classified as Level 2 and are valued using observable inputs, such as quotations on forward and spot rates for currencies, interest rates and credit derivative market rates.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certain other financial instruments, including accounts receivable, accounts payable, and other current liabilities, the carrying amounts approximate their fair value due to the relatively short maturity of these balances.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Restricted cash is comprised of money market funds related to landlord guarantees for leased facilities. These restricted cash balances have been excluded from our cash and cash equivalents balance in our consolidated balance sheets.</w:t>
      </w:r>
    </w:p>
    <w:p>
      <w:pPr>
        <w:pStyle w:val="TextBody"/>
        <w:bidi w:val="0"/>
        <w:spacing w:before="20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Investments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Available-for-sale Investments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tables summarize the composition of our short- and long-term investments at March 31, 2026 and December 31, 2025. </w:t>
      </w:r>
    </w:p>
    <w:tbl>
      <w:tblPr>
        <w:tblW w:w="8330" w:type="dxa"/>
        <w:jc w:val="left"/>
        <w:tblInd w:w="0" w:type="dxa"/>
        <w:tblLayout w:type="fixed"/>
        <w:tblCellMar>
          <w:top w:w="28" w:type="dxa"/>
          <w:left w:w="28" w:type="dxa"/>
          <w:bottom w:w="28" w:type="dxa"/>
          <w:right w:w="28" w:type="dxa"/>
        </w:tblCellMar>
      </w:tblPr>
      <w:tblGrid>
        <w:gridCol w:w="2941"/>
        <w:gridCol w:w="346"/>
        <w:gridCol w:w="211"/>
        <w:gridCol w:w="781"/>
        <w:gridCol w:w="146"/>
        <w:gridCol w:w="146"/>
        <w:gridCol w:w="295"/>
        <w:gridCol w:w="591"/>
        <w:gridCol w:w="146"/>
        <w:gridCol w:w="146"/>
        <w:gridCol w:w="270"/>
        <w:gridCol w:w="616"/>
        <w:gridCol w:w="166"/>
        <w:gridCol w:w="146"/>
        <w:gridCol w:w="211"/>
        <w:gridCol w:w="78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834,635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tbl>
      <w:tblPr>
        <w:tblW w:w="8330" w:type="dxa"/>
        <w:jc w:val="left"/>
        <w:tblInd w:w="0" w:type="dxa"/>
        <w:tblLayout w:type="fixed"/>
        <w:tblCellMar>
          <w:top w:w="28" w:type="dxa"/>
          <w:left w:w="28" w:type="dxa"/>
          <w:bottom w:w="28" w:type="dxa"/>
          <w:right w:w="28" w:type="dxa"/>
        </w:tblCellMar>
      </w:tblPr>
      <w:tblGrid>
        <w:gridCol w:w="2941"/>
        <w:gridCol w:w="346"/>
        <w:gridCol w:w="211"/>
        <w:gridCol w:w="781"/>
        <w:gridCol w:w="146"/>
        <w:gridCol w:w="146"/>
        <w:gridCol w:w="239"/>
        <w:gridCol w:w="647"/>
        <w:gridCol w:w="146"/>
        <w:gridCol w:w="146"/>
        <w:gridCol w:w="335"/>
        <w:gridCol w:w="551"/>
        <w:gridCol w:w="166"/>
        <w:gridCol w:w="146"/>
        <w:gridCol w:w="211"/>
        <w:gridCol w:w="78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658,739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956,899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958,214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available-for-sale debt securities, any realized gains and losses are determined based on the specific identification method and are reported in the consolidated statements of operations. For securities in an unrealized loss position, the Company first assesses whether it intends to sell or if it is more likely than not that the Company will be required to sell the security before the recovery of its entire amortized cost basis. If either of these criteria is met, the security’s amortized cost basis is written down to fair value through other income (expense) in the consolidated statements of operations. The Company does not intend to sell these investments and it is more likely than not that the Company will not be required to sell these investments before recovery of their amortized cost basis.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neither of the above criteria is met, the Company further assesses whether the decline in fair value below amortized cost is due to credit or non-credit related factors. In making this assessment, the Company considers the extent to which fair value is less than amortized cost, credit ratings, the financial health of the industry and sector of the issuer, the overall risk profile of the securities, overall macroeconomic conditions, and more. Any credit-related unrealized losses are recognized as an allowance on the consolidated balance sheets with a corresponding charge in other income (expense) in the consolidated statements of operations. Non-credit related unrealized losses and unrealized gains on available-for-sale debt securities are included in accumulated other comprehensive income (loss). In considering the underlying risk of its portfolio, the Company notes that it has a zero-loss expectation for U.S. treasury and U.S. government agency securities, which represents the majority of its debt investment available-for-sale securities portfolio. As of March 31, 2026 and December 31, 2025, no allowance for credit losses in investments was recorded.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contractual maturities of short-term and long-term investments held at March 31, 2026 and December 31, 2025 are as follows:</w:t>
      </w:r>
    </w:p>
    <w:tbl>
      <w:tblPr>
        <w:tblW w:w="8082" w:type="dxa"/>
        <w:jc w:val="left"/>
        <w:tblInd w:w="0" w:type="dxa"/>
        <w:tblLayout w:type="fixed"/>
        <w:tblCellMar>
          <w:top w:w="28" w:type="dxa"/>
          <w:left w:w="28" w:type="dxa"/>
          <w:bottom w:w="28" w:type="dxa"/>
          <w:right w:w="28" w:type="dxa"/>
        </w:tblCellMar>
      </w:tblPr>
      <w:tblGrid>
        <w:gridCol w:w="2701"/>
        <w:gridCol w:w="146"/>
        <w:gridCol w:w="211"/>
        <w:gridCol w:w="781"/>
        <w:gridCol w:w="146"/>
        <w:gridCol w:w="146"/>
        <w:gridCol w:w="211"/>
        <w:gridCol w:w="781"/>
        <w:gridCol w:w="146"/>
        <w:gridCol w:w="146"/>
        <w:gridCol w:w="211"/>
        <w:gridCol w:w="781"/>
        <w:gridCol w:w="146"/>
        <w:gridCol w:w="146"/>
        <w:gridCol w:w="211"/>
        <w:gridCol w:w="781"/>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821,552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1 year through 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956,899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958,214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Strategic Investments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holds strategic investments in non-marketable equity securities of privately held companies. These investments are included in other assets on the consolidated balance sheets.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Strategic investments that consist of non-controlling equity investments without readily determinable fair values in privately held companies for which the Company does not have the ability to exercise significant influence are measured under the measurement alternative method. Under the measurement alternative method of accounting, the non-marketable equity securities are carried at cost less any impairment, plus or minus adjustments resulting from observable price changes in orderly transactions for the identical or a similar investment of the same issuer. Any associated gains and losses are recorded in other income (expense) in the consolidated statement of operations. The Company has certain other non-marketable strategic investments that do not qualify for the measurement alternative method. These investments are measured at fair value with any gains and losses recorded in other income (expense) in the consolidated statement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Strategic investments that consist of non-controlling equity investments without readily determinable fair values, in which the Company has significant influence over the investee’s operating and financial policies, are accounted for under the equity method of accounting. Under the equity method of accounting, the Company's proportionate share of the investments' net earnings are recorded in other income (expense) in the consolidated statements of operations and the related increase or decrease to the investment balance is recorded on the consolidated balance sheets.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carrying values of Company’s strategic investments broken down by category are as follows:</w:t>
        <w:br/>
        <w:t> </w:t>
      </w:r>
    </w:p>
    <w:tbl>
      <w:tblPr>
        <w:tblW w:w="6380" w:type="dxa"/>
        <w:jc w:val="left"/>
        <w:tblInd w:w="0" w:type="dxa"/>
        <w:tblLayout w:type="fixed"/>
        <w:tblCellMar>
          <w:top w:w="28" w:type="dxa"/>
          <w:left w:w="28" w:type="dxa"/>
          <w:bottom w:w="28" w:type="dxa"/>
          <w:right w:w="28" w:type="dxa"/>
        </w:tblCellMar>
      </w:tblPr>
      <w:tblGrid>
        <w:gridCol w:w="2791"/>
        <w:gridCol w:w="146"/>
        <w:gridCol w:w="268"/>
        <w:gridCol w:w="992"/>
        <w:gridCol w:w="146"/>
        <w:gridCol w:w="146"/>
        <w:gridCol w:w="319"/>
        <w:gridCol w:w="1181"/>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Measurement alternative method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method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123,064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activity associated with the Company’s strategic investments, which is reported on the Company’s consolidated statement of operations as other income (expense):</w:t>
        <w:br/>
        <w:t> </w:t>
      </w:r>
    </w:p>
    <w:tbl>
      <w:tblPr>
        <w:tblW w:w="6400" w:type="dxa"/>
        <w:jc w:val="left"/>
        <w:tblInd w:w="0" w:type="dxa"/>
        <w:tblLayout w:type="fixed"/>
        <w:tblCellMar>
          <w:top w:w="28" w:type="dxa"/>
          <w:left w:w="28" w:type="dxa"/>
          <w:bottom w:w="28" w:type="dxa"/>
          <w:right w:w="28" w:type="dxa"/>
        </w:tblCellMar>
      </w:tblPr>
      <w:tblGrid>
        <w:gridCol w:w="3466"/>
        <w:gridCol w:w="146"/>
        <w:gridCol w:w="274"/>
        <w:gridCol w:w="625"/>
        <w:gridCol w:w="215"/>
        <w:gridCol w:w="189"/>
        <w:gridCol w:w="274"/>
        <w:gridCol w:w="820"/>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included in 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6. Derivatives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Cash flow hedges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enters into foreign currency forward contracts to reduce the risk of variability in future cash flow due to foreign currency exchange rate fluctuation from certain forecasted revenue transactions billed in currencies other than the U.S. Dollar. These transactions are designated as cash flow hedges. The foreign currency forward contracts have maturities of 12 months or less. Hedge effectiveness is assessed at inception and at each reporting period utilizing statistical regression analysis. The Company is subject to master netting arrangements with certain counterparties of the contracts, under which the Company is allowed to net settle transactions of the same currency. The Company's policy is to present the derivatives on a gross basis on the consolidated balance sheets. Unrealized foreign exchange gains or losses related to those designated cash flow hedge contracts are recorded in accumulated other comprehensive income (“AOCI”) and are reclassified into revenues in the same periods when the hedged transactions are recognized in earnings. Cash flows from the settlement of these forward contracts are classified as operating activities on the consolidated statements of cash flows. As of March 31, 2026, the Company had designated cash flow hedge forward contracts with notional amounts equivalent to $41.2 million. </w:t>
      </w:r>
    </w:p>
    <w:p>
      <w:pPr>
        <w:pStyle w:val="TextBody"/>
        <w:bidi w:val="0"/>
        <w:spacing w:before="200" w:after="283"/>
        <w:jc w:val="left"/>
        <w:rPr>
          <w:rFonts w:ascii="Times New Roman" w:hAnsi="Times New Roman"/>
          <w:sz w:val="20"/>
        </w:rPr>
      </w:pPr>
      <w:r>
        <w:rPr>
          <w:rFonts w:ascii="Times New Roman" w:hAnsi="Times New Roman"/>
          <w:b/>
          <w:i/>
          <w:color w:val="000000"/>
          <w:sz w:val="20"/>
        </w:rPr>
        <w:t>Balance sheet hedges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also enters into foreign currency forward contracts to hedge certain foreign currency denominated monetary assets or liabilities, which are not designated as cash flow hedges. These contracts have maturities of 12 months or less. Changes in the value of the foreign exchange contracts are recognized in other income (expense), net and are designed to offset the foreign exchange gain or loss on the underlying net monetary assets or liabilities. Cash flows from the settlement of these forward contracts are classified as operating activities on the consolidated statements of cash flows. As of March 31, 2026, the Company had non-designated forward contracts with notional amounts of $43.6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summarizes the fair value of derivative financial instruments as of March 31, 2026 and December 31, 2025:</w:t>
        <w:br/>
        <w:t> </w:t>
      </w:r>
    </w:p>
    <w:tbl>
      <w:tblPr>
        <w:tblW w:w="7123" w:type="dxa"/>
        <w:jc w:val="left"/>
        <w:tblInd w:w="0" w:type="dxa"/>
        <w:tblLayout w:type="fixed"/>
        <w:tblCellMar>
          <w:top w:w="28" w:type="dxa"/>
          <w:left w:w="28" w:type="dxa"/>
          <w:bottom w:w="28" w:type="dxa"/>
          <w:right w:w="28" w:type="dxa"/>
        </w:tblCellMar>
      </w:tblPr>
      <w:tblGrid>
        <w:gridCol w:w="3826"/>
        <w:gridCol w:w="420"/>
        <w:gridCol w:w="840"/>
        <w:gridCol w:w="146"/>
        <w:gridCol w:w="499"/>
        <w:gridCol w:w="1001"/>
        <w:gridCol w:w="391"/>
      </w:tblGrid>
      <w:tr>
        <w:trPr/>
        <w:tc>
          <w:tcPr>
            <w:tcW w:w="38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6"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Prepaid expenses and other current assets</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flow hedges</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Balance sheet hedges</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flow hedges</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Balance sheet hedges</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activity of foreign currency forward contracts designated as hedging instruments and the impact of these derivatives on AOCI:</w:t>
        <w:br/>
        <w:t> </w:t>
      </w:r>
    </w:p>
    <w:tbl>
      <w:tblPr>
        <w:tblW w:w="9221" w:type="dxa"/>
        <w:jc w:val="left"/>
        <w:tblInd w:w="0" w:type="dxa"/>
        <w:tblLayout w:type="fixed"/>
        <w:tblCellMar>
          <w:top w:w="28" w:type="dxa"/>
          <w:left w:w="28" w:type="dxa"/>
          <w:bottom w:w="28" w:type="dxa"/>
          <w:right w:w="28" w:type="dxa"/>
        </w:tblCellMar>
      </w:tblPr>
      <w:tblGrid>
        <w:gridCol w:w="6411"/>
        <w:gridCol w:w="326"/>
        <w:gridCol w:w="745"/>
        <w:gridCol w:w="257"/>
        <w:gridCol w:w="326"/>
        <w:gridCol w:w="745"/>
        <w:gridCol w:w="411"/>
      </w:tblGrid>
      <w:tr>
        <w:trPr/>
        <w:tc>
          <w:tcPr>
            <w:tcW w:w="641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Beginning accumulated other comprehensive (income) loss at January 1</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(529</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9"/>
              </w:rPr>
              <w:t>Net losses (income) recognized in other comprehensive income, net of tax</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237</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9"/>
              </w:rPr>
              <w:t>Net income (losses) reclassified from AOCI to earnings</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237</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Ending accumulated other comprehensive (income) loss at March 31</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effect of hedges on the consolidated statements of operations was not material in the three months ended March 31, 2026 and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2026, the estimated net amount expected to be reclassified out of AOCI into earnings over the next 12 months is not material.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 Restricted Cash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reported within the consolidated balance sheets that sum to the total of the same such amounts shown in the statement of cash flows for the three months ended March 31, 2026 and 2025.</w:t>
      </w:r>
    </w:p>
    <w:p>
      <w:pPr>
        <w:pStyle w:val="TextBody"/>
        <w:bidi w:val="0"/>
        <w:jc w:val="left"/>
        <w:rPr/>
      </w:pPr>
      <w:r>
        <w:rPr/>
        <w:t> </w:t>
      </w:r>
    </w:p>
    <w:tbl>
      <w:tblPr>
        <w:tblW w:w="9242" w:type="dxa"/>
        <w:jc w:val="left"/>
        <w:tblInd w:w="0" w:type="dxa"/>
        <w:tblLayout w:type="fixed"/>
        <w:tblCellMar>
          <w:top w:w="28" w:type="dxa"/>
          <w:left w:w="28" w:type="dxa"/>
          <w:bottom w:w="28" w:type="dxa"/>
          <w:right w:w="28" w:type="dxa"/>
        </w:tblCellMar>
      </w:tblPr>
      <w:tblGrid>
        <w:gridCol w:w="4201"/>
        <w:gridCol w:w="146"/>
        <w:gridCol w:w="268"/>
        <w:gridCol w:w="992"/>
        <w:gridCol w:w="146"/>
        <w:gridCol w:w="146"/>
        <w:gridCol w:w="268"/>
        <w:gridCol w:w="992"/>
        <w:gridCol w:w="146"/>
        <w:gridCol w:w="146"/>
        <w:gridCol w:w="319"/>
        <w:gridCol w:w="1181"/>
        <w:gridCol w:w="2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882,242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Restricted cash, included in prepaid expenses and </w:t>
              <w:br/>
              <w:t>  other current assets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946,640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629,082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884,945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Property and Equipment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Property and equipment consists of the following:</w:t>
        <w:br/>
        <w:t> </w:t>
      </w:r>
    </w:p>
    <w:tbl>
      <w:tblPr>
        <w:tblW w:w="7410" w:type="dxa"/>
        <w:jc w:val="left"/>
        <w:tblInd w:w="0" w:type="dxa"/>
        <w:tblLayout w:type="fixed"/>
        <w:tblCellMar>
          <w:top w:w="28" w:type="dxa"/>
          <w:left w:w="28" w:type="dxa"/>
          <w:bottom w:w="28" w:type="dxa"/>
          <w:right w:w="28" w:type="dxa"/>
        </w:tblCellMar>
      </w:tblPr>
      <w:tblGrid>
        <w:gridCol w:w="3781"/>
        <w:gridCol w:w="146"/>
        <w:gridCol w:w="252"/>
        <w:gridCol w:w="1008"/>
        <w:gridCol w:w="166"/>
        <w:gridCol w:w="146"/>
        <w:gridCol w:w="301"/>
        <w:gridCol w:w="1199"/>
        <w:gridCol w:w="4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purchased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124,067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317,724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(175,855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141,869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Depreciation and amortization expense on property and equipment was $9.1 million for the three months ended March 31, 2026 and $7.2 million for the three months ended March 31, 2025.</w:t>
        <w:b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9. Capitalized Software Development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Capitalized software development costs, exclusive of those recorded within property and equipment, consisted of the following: </w:t>
        <w:br/>
        <w:t> </w:t>
      </w:r>
    </w:p>
    <w:tbl>
      <w:tblPr>
        <w:tblW w:w="7520" w:type="dxa"/>
        <w:jc w:val="left"/>
        <w:tblInd w:w="0" w:type="dxa"/>
        <w:tblLayout w:type="fixed"/>
        <w:tblCellMar>
          <w:top w:w="28" w:type="dxa"/>
          <w:left w:w="28" w:type="dxa"/>
          <w:bottom w:w="28" w:type="dxa"/>
          <w:right w:w="28" w:type="dxa"/>
        </w:tblCellMar>
      </w:tblPr>
      <w:tblGrid>
        <w:gridCol w:w="3891"/>
        <w:gridCol w:w="146"/>
        <w:gridCol w:w="252"/>
        <w:gridCol w:w="1008"/>
        <w:gridCol w:w="166"/>
        <w:gridCol w:w="146"/>
        <w:gridCol w:w="301"/>
        <w:gridCol w:w="1199"/>
        <w:gridCol w:w="411"/>
      </w:tblGrid>
      <w:tr>
        <w:trPr/>
        <w:tc>
          <w:tcPr>
            <w:tcW w:w="3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537,849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development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213,794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These capitalized software development costs are associated with software developed for the Company's customer platform. Capitalized software development costs recorded within property and equipment are associated with software developed for Company use.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Amortization of capitalized software development costs, exclusive of costs recorded within property and equipment, was $36.0 million for the three months ended March 31, 2026 and $26.3 million for three months ended March 31, 2025. Amortization expense is included in cost of subscription revenue and cost of professional services and other revenue in the consolidated statement of operations.</w:t>
      </w:r>
    </w:p>
    <w:p>
      <w:pPr>
        <w:pStyle w:val="TextBody"/>
        <w:bidi w:val="0"/>
        <w:spacing w:before="4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10. Debt</w:t>
      </w:r>
    </w:p>
    <w:p>
      <w:pPr>
        <w:pStyle w:val="TextBody"/>
        <w:bidi w:val="0"/>
        <w:spacing w:before="200" w:after="283"/>
        <w:jc w:val="left"/>
        <w:rPr>
          <w:rFonts w:ascii="Times New Roman" w:hAnsi="Times New Roman"/>
          <w:sz w:val="20"/>
        </w:rPr>
      </w:pPr>
      <w:r>
        <w:rPr>
          <w:rFonts w:ascii="Times New Roman" w:hAnsi="Times New Roman"/>
          <w:b/>
          <w:i/>
          <w:color w:val="000000"/>
          <w:sz w:val="20"/>
        </w:rPr>
        <w:t>2025 Convertible Senior Notes and Capped Call Options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June 2020, the Company issued $460 million aggregate principal amount of 0.375% convertible senior notes due June 1, 2025 (the “2025 Notes”). The total net proceeds after deducting initial purchase discounts and debt issuance costs, were approximately $450.1 million. Each $1,000 of principal amount of the 2025 Notes was initially convertible into 3.5396 shares of the Company’s common stock (the “Conversion Option of the 2025 Notes”), which was equivalent to an initial conversion price of approximately $282.52 per share. Upon conversion, the Company would pay or deliver cash, shares of the Company’s common stock or combination thereof. In connection with the offering of the 2025 Notes, the Company purchased capped call options (“Capped Call Options”) with respect to its common stock for $50.6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three months ended March 31, 2025, upon the election of holders to convert, the Company settled $89.8 million of the principal balance of the 2025 Notes in cash and issued 0.2 million shares for the conversion premium in excess of the principal amount. Upon the maturity of the 2025 Notes in June 2025, the Company paid $225.6 million to satisfy the remaining aggregate principal amount due and issued 0.4 million shares for the conversion premium in excess of the principal amount.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recognized interest expense of $0.6 million in three months ended March 31, 2025.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Revolving Credit Facility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February 10, 2026, the Company entered into a Credit Agreement with Bank of America, N.A., as the administrative agent and Letter of Credit Issuer, and the banks and other financial institutions or entities party thereto as lenders (the “Revolving Credit Agreement”). The Revolving Credit Agreement provides for (i) a five year senior secured revolving credit facility in the amount of up to $500 million and (ii) an uncommitted incremental facility subject to the terms of the agreement. The facility includes a $50 million sublimit for the issuance of standby letters of credit. The Company may use the proceeds of future borrowings under the credit facility to finance working capital, capital expenditures and for other general corporate purposes, including permitted acquisitions and investments.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Borrowings under the facility have a variable interest rate whereby the Company can elect to use a Base Rate Loan or Secured Overnight Financing Rate (“SOFR”), plus an applicable margin. The Base Rate Loan bears interest (at the highest of (i) the federal funds rate plus 0.50%, (ii) the Bank of America prime rate, or (iii) one-month Term SOFR plus 1.00%, all subject to a 1.00% floor. The applicable margin is between 0.125% to 0.875% for the Base Rate Loan and 1.125% to 1.875% for Term SOFR. The facility is also subject to customary fees for loan facilities of this type, including ongoing commitment fees at a rate between 0.125% and 0.300% per annum on the daily undrawn balance. As of March 31, 2026, there were no outstanding borrowings under this Revolving Credit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obligations under the Revolving Credit Agreement are secured by substantially all of the Company's assets. The Revolving Credit Agreement contains customary representations and warranties, customary affirmative and negative covenants, and, during periods when the Company does not maintain investment-grade credit ratings, a financial covenant that is tested quarterly and requires the Company to maintain a certain consolidated leverage ratio, and customary events of default. As of March 31, 2026, the Company was in compliance with all financial covenants under the Revolving Credit Agreement.</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11. 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leases office facilities under non-cancelable operating leases that expire at various dates through February 2035.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Operating lease expense and cash payments related to operating lease liabilities for the three months ended March 31, 2026 and 2025 are as follows:</w:t>
        <w:br/>
        <w:t> </w:t>
      </w:r>
    </w:p>
    <w:tbl>
      <w:tblPr>
        <w:tblW w:w="4967" w:type="dxa"/>
        <w:jc w:val="left"/>
        <w:tblInd w:w="0" w:type="dxa"/>
        <w:tblLayout w:type="fixed"/>
        <w:tblCellMar>
          <w:top w:w="28" w:type="dxa"/>
          <w:left w:w="28" w:type="dxa"/>
          <w:bottom w:w="28" w:type="dxa"/>
          <w:right w:w="28" w:type="dxa"/>
        </w:tblCellMar>
      </w:tblPr>
      <w:tblGrid>
        <w:gridCol w:w="2086"/>
        <w:gridCol w:w="146"/>
        <w:gridCol w:w="263"/>
        <w:gridCol w:w="845"/>
        <w:gridCol w:w="182"/>
        <w:gridCol w:w="263"/>
        <w:gridCol w:w="845"/>
        <w:gridCol w:w="14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subleases some of its unused spaces to third parties. Operating sublease income generated under all operating lease agreements for the three months ended March 31, 2026 and 2025 are as follows: </w:t>
        <w:br/>
        <w:t> </w:t>
      </w:r>
    </w:p>
    <w:tbl>
      <w:tblPr>
        <w:tblW w:w="5192" w:type="dxa"/>
        <w:jc w:val="left"/>
        <w:tblInd w:w="0" w:type="dxa"/>
        <w:tblLayout w:type="fixed"/>
        <w:tblCellMar>
          <w:top w:w="28" w:type="dxa"/>
          <w:left w:w="28" w:type="dxa"/>
          <w:bottom w:w="28" w:type="dxa"/>
          <w:right w:w="28" w:type="dxa"/>
        </w:tblCellMar>
      </w:tblPr>
      <w:tblGrid>
        <w:gridCol w:w="2311"/>
        <w:gridCol w:w="146"/>
        <w:gridCol w:w="296"/>
        <w:gridCol w:w="801"/>
        <w:gridCol w:w="204"/>
        <w:gridCol w:w="296"/>
        <w:gridCol w:w="801"/>
        <w:gridCol w:w="146"/>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5"/>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sublease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leases its office facilities under non-cancelable operating leases that expire at various dates through February 2035. Certain leases contain optional termination dates. The table below only includes payments up to the optional termination date. If the Company were to extend leases beyond the optional termination date, the future commitments would increase by approximately $89.1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Future minimum payments under all operating lease agreements as of March 31, 2026 are as follows:</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43" w:type="dxa"/>
        <w:jc w:val="left"/>
        <w:tblInd w:w="0" w:type="dxa"/>
        <w:tblLayout w:type="fixed"/>
        <w:tblCellMar>
          <w:top w:w="28" w:type="dxa"/>
          <w:left w:w="28" w:type="dxa"/>
          <w:bottom w:w="28" w:type="dxa"/>
          <w:right w:w="28" w:type="dxa"/>
        </w:tblCellMar>
      </w:tblPr>
      <w:tblGrid>
        <w:gridCol w:w="1681"/>
        <w:gridCol w:w="146"/>
        <w:gridCol w:w="239"/>
        <w:gridCol w:w="886"/>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entered into certain non-cancelable vendor commitments, which require the future purchase of goods or services. Future minimum payments under all non-cancelable vendor commitments as of March 31, 2026 are as follows:</w:t>
        <w:br/>
        <w:t> </w:t>
      </w:r>
    </w:p>
    <w:tbl>
      <w:tblPr>
        <w:tblW w:w="3343" w:type="dxa"/>
        <w:jc w:val="left"/>
        <w:tblInd w:w="0" w:type="dxa"/>
        <w:tblLayout w:type="fixed"/>
        <w:tblCellMar>
          <w:top w:w="28" w:type="dxa"/>
          <w:left w:w="28" w:type="dxa"/>
          <w:bottom w:w="28" w:type="dxa"/>
          <w:right w:w="28" w:type="dxa"/>
        </w:tblCellMar>
      </w:tblPr>
      <w:tblGrid>
        <w:gridCol w:w="1681"/>
        <w:gridCol w:w="146"/>
        <w:gridCol w:w="239"/>
        <w:gridCol w:w="886"/>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415,073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Legal Contingencies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the Company may become a party to litigation and subject to claims incident to the ordinary course of business, including intellectual property claims, labor and employment claims, and threatened claims, breach of contract claims, tax, and other matters. The Company currently has no material pending or threatened litigation.</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13. Changes in Accumulated Other Comprehensive Income (Loss)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changes in accumulated other comprehensive income (loss), which is reported as a component of stockholders’ equity,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3270"/>
        <w:gridCol w:w="146"/>
        <w:gridCol w:w="569"/>
        <w:gridCol w:w="1704"/>
        <w:gridCol w:w="166"/>
        <w:gridCol w:w="146"/>
        <w:gridCol w:w="301"/>
        <w:gridCol w:w="906"/>
        <w:gridCol w:w="166"/>
        <w:gridCol w:w="146"/>
        <w:gridCol w:w="341"/>
        <w:gridCol w:w="776"/>
        <w:gridCol w:w="166"/>
        <w:gridCol w:w="146"/>
        <w:gridCol w:w="211"/>
        <w:gridCol w:w="631"/>
        <w:gridCol w:w="414"/>
      </w:tblGrid>
      <w:tr>
        <w:trPr/>
        <w:tc>
          <w:tcPr>
            <w:tcW w:w="32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 Translation 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br/>
              <w:t>(Loss) on</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Gain (Loss) on</w:t>
              <w:br/>
              <w:t xml:space="preserve">Derivative </w:t>
              <w:br/>
              <w:t>Instruments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at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Other comprehensive income (loss) before </w:t>
              <w:br/>
              <w:t>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Amounts reclassified from accumulated </w:t>
              <w:br/>
              <w:t xml:space="preserve">  other comprehensive income, net of tax, </w:t>
              <w:br/>
              <w:t>  to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70"/>
        <w:gridCol w:w="146"/>
        <w:gridCol w:w="569"/>
        <w:gridCol w:w="1704"/>
        <w:gridCol w:w="166"/>
        <w:gridCol w:w="146"/>
        <w:gridCol w:w="325"/>
        <w:gridCol w:w="882"/>
        <w:gridCol w:w="166"/>
        <w:gridCol w:w="146"/>
        <w:gridCol w:w="341"/>
        <w:gridCol w:w="776"/>
        <w:gridCol w:w="166"/>
        <w:gridCol w:w="146"/>
        <w:gridCol w:w="211"/>
        <w:gridCol w:w="631"/>
        <w:gridCol w:w="414"/>
      </w:tblGrid>
      <w:tr>
        <w:trPr/>
        <w:tc>
          <w:tcPr>
            <w:tcW w:w="32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 Translation 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br/>
              <w:t>(Loss) on</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Gain (Loss) on</w:t>
              <w:br/>
              <w:t xml:space="preserve">Derivative </w:t>
              <w:br/>
              <w:t>Instruments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Other comprehensive income (loss) before </w:t>
              <w:br/>
              <w:t>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Amounts reclassified from accumulated </w:t>
              <w:br/>
              <w:t xml:space="preserve">  other comprehensive income, net of tax, </w:t>
              <w:br/>
              <w:t>  to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14. Stockholders' Equity and Stock-Based Compensation Expense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two tables show stock-based compensation expense by award type and where the stock-based compensation expense is recorded in the Company’s consolidated statements of operations:</w:t>
      </w:r>
    </w:p>
    <w:tbl>
      <w:tblPr>
        <w:tblW w:w="6732" w:type="dxa"/>
        <w:jc w:val="left"/>
        <w:tblInd w:w="0" w:type="dxa"/>
        <w:tblLayout w:type="fixed"/>
        <w:tblCellMar>
          <w:top w:w="28" w:type="dxa"/>
          <w:left w:w="28" w:type="dxa"/>
          <w:bottom w:w="28" w:type="dxa"/>
          <w:right w:w="28" w:type="dxa"/>
        </w:tblCellMar>
      </w:tblPr>
      <w:tblGrid>
        <w:gridCol w:w="3651"/>
        <w:gridCol w:w="146"/>
        <w:gridCol w:w="222"/>
        <w:gridCol w:w="823"/>
        <w:gridCol w:w="154"/>
        <w:gridCol w:w="154"/>
        <w:gridCol w:w="222"/>
        <w:gridCol w:w="823"/>
        <w:gridCol w:w="14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104,531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115,744</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pPr>
      <w:r>
        <w:rPr/>
        <w:t> </w:t>
      </w:r>
    </w:p>
    <w:tbl>
      <w:tblPr>
        <w:tblW w:w="6911" w:type="dxa"/>
        <w:jc w:val="left"/>
        <w:tblInd w:w="0" w:type="dxa"/>
        <w:tblLayout w:type="fixed"/>
        <w:tblCellMar>
          <w:top w:w="28" w:type="dxa"/>
          <w:left w:w="28" w:type="dxa"/>
          <w:bottom w:w="28" w:type="dxa"/>
          <w:right w:w="28" w:type="dxa"/>
        </w:tblCellMar>
      </w:tblPr>
      <w:tblGrid>
        <w:gridCol w:w="3976"/>
        <w:gridCol w:w="146"/>
        <w:gridCol w:w="222"/>
        <w:gridCol w:w="823"/>
        <w:gridCol w:w="154"/>
        <w:gridCol w:w="154"/>
        <w:gridCol w:w="222"/>
        <w:gridCol w:w="823"/>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subscription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professional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19,637</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115,744</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116,693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Capitalized software development costs excluded from stock-based compensation expense were $12.4 million for the three months ended March 31, 2026 and $11.8 million for the three months ended March 31,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Share Repurchase Programs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May 2025, the Company’s Board of Directors authorized a share repurchase program for the repurchase of shares of the Company’s common stock, in an aggregate amount of up to $500 million (the “2025 Share Repurchase Program”), exclusive of any transaction costs related to such repurchases, over a period of up to 12 months. In February 2026, the Company's Board of Directors authorized an additional $1 billion (the “2026 Share Repurchase Program" and, together with the 2025 Share Repurchase Program, the “Share Repurchase Programs”), over a period of 24 months.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Repurchases under the Share Repurchase Programs may be made under a variety of methods, including privately negotiated or open market trades, pursuant to 10b5-1 plans. The Share Repurchase Programs do not obligate the Company to acquire a specified number of shares, and may be suspended, modified, or terminated at any time and will be funded using the Company's cash and cash equivalents. Consideration paid for the shares repurchased is recorded as a reduction to stockholders’ equity on the consolidated balance sheets.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stock repurchase activity under the Share Repurchase Programs (in thousands, except per share data):</w:t>
        <w:br/>
        <w:t> </w:t>
      </w:r>
    </w:p>
    <w:tbl>
      <w:tblPr>
        <w:tblW w:w="5271" w:type="dxa"/>
        <w:jc w:val="left"/>
        <w:tblInd w:w="0" w:type="dxa"/>
        <w:tblLayout w:type="fixed"/>
        <w:tblCellMar>
          <w:top w:w="28" w:type="dxa"/>
          <w:left w:w="28" w:type="dxa"/>
          <w:bottom w:w="28" w:type="dxa"/>
          <w:right w:w="28" w:type="dxa"/>
        </w:tblCellMar>
      </w:tblPr>
      <w:tblGrid>
        <w:gridCol w:w="2536"/>
        <w:gridCol w:w="146"/>
        <w:gridCol w:w="285"/>
        <w:gridCol w:w="1055"/>
        <w:gridCol w:w="197"/>
        <w:gridCol w:w="197"/>
        <w:gridCol w:w="197"/>
        <w:gridCol w:w="467"/>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stock price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Aggregate repurchase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211,028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2026, $789.0 million remained available for future stock repurchases under the 2026 Share Repurchase Program. </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15. Segment Information and Geographic Data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provides a customer platform that helps businesses connect and grow better. The Company generates revenue from subscriptions to its customer platform and related professional services and other revenue consisting mainly of customer on-boarding, training and consulting services and Commerce Hub.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operates as one operating segment. Operating segments are defined as components of an enterprise for which separate financial information is regularly evaluated by the CODM, which is the Company’s chief executive officer, in deciding how to allocate resources and assess performance. The Company’s CODM evaluates the Company’s financial information and resources and assesses the performance of these resources on a consolidated basis. There is no expense or asset information supplemental to those disclosed in these consolidated financial statements that is regularly provided to the CODM. The allocation of resources and assessment of performance of the operating segment is based on consolidated net income (loss) as shown in the consolidated statements of operations. The CODM considers net income (loss) in the annual forecasting process and reviews actual results when making decisions about allocating resources. Since the Company operates as one operating segment, financial segment information, including profit or loss and asset information, can be found in the consolidated financial statements.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Geographic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Revenues by geographical region:</w:t>
      </w:r>
    </w:p>
    <w:tbl>
      <w:tblPr>
        <w:tblW w:w="7709" w:type="dxa"/>
        <w:jc w:val="left"/>
        <w:tblInd w:w="0" w:type="dxa"/>
        <w:tblLayout w:type="fixed"/>
        <w:tblCellMar>
          <w:top w:w="28" w:type="dxa"/>
          <w:left w:w="28" w:type="dxa"/>
          <w:bottom w:w="28" w:type="dxa"/>
          <w:right w:w="28" w:type="dxa"/>
        </w:tblCellMar>
      </w:tblPr>
      <w:tblGrid>
        <w:gridCol w:w="4771"/>
        <w:gridCol w:w="146"/>
        <w:gridCol w:w="211"/>
        <w:gridCol w:w="781"/>
        <w:gridCol w:w="271"/>
        <w:gridCol w:w="146"/>
        <w:gridCol w:w="211"/>
        <w:gridCol w:w="781"/>
        <w:gridCol w:w="3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516,523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880,995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714,137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revenues generated outside of the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derived from customers outside the United States (international) was approximately 49% of total revenue in the three months ended March 31, 2026 and 47% in the three months ended March 31, 2025. Revenues of Americas attributed to the United States were 96% in the three months ended March 31, 2026 and 97% in the three months ended March 31, 2025. Revenues of Europe attributed to Ireland were 48% in the three months ended March 31, 2026 and 52% in the three months ended March 31,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long-lived assets by geographical region:</w:t>
        <w:br/>
        <w:t> </w:t>
      </w:r>
    </w:p>
    <w:tbl>
      <w:tblPr>
        <w:tblW w:w="8695" w:type="dxa"/>
        <w:jc w:val="left"/>
        <w:tblInd w:w="0" w:type="dxa"/>
        <w:tblLayout w:type="fixed"/>
        <w:tblCellMar>
          <w:top w:w="28" w:type="dxa"/>
          <w:left w:w="28" w:type="dxa"/>
          <w:bottom w:w="28" w:type="dxa"/>
          <w:right w:w="28" w:type="dxa"/>
        </w:tblCellMar>
      </w:tblPr>
      <w:tblGrid>
        <w:gridCol w:w="4981"/>
        <w:gridCol w:w="146"/>
        <w:gridCol w:w="268"/>
        <w:gridCol w:w="992"/>
        <w:gridCol w:w="271"/>
        <w:gridCol w:w="146"/>
        <w:gridCol w:w="319"/>
        <w:gridCol w:w="1181"/>
        <w:gridCol w:w="39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342,262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long-lived assets held outside of the 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Long-lived assets of Americas attributed to the United States were 97% as of March 31, 2026 and 97% as of December 31, 2025. Long-lived assets of Europe attributed to Ireland were 82% as of March 31, 2026 and 82% as of December 31, 2025.</w:t>
      </w:r>
    </w:p>
    <w:p>
      <w:pPr>
        <w:pStyle w:val="TextBody"/>
        <w:bidi w:val="0"/>
        <w:spacing w:before="200" w:after="283"/>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16. Subsequent Events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Business Acquisition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3, 2026, the Company acquired all outstanding membership interest of Futurepedia, LLC (“Futurepedia”), an AI-focused media platform to expand HubSpot's media footprint, for cash consideration of approximately $27.5 million, subject to customary post-closing adjustments and conditions. The Company is in the process of finalizing the accounting for this transaction and expects to complete the preliminary purchase price allocation in the second quarter of 2026. This acquisition is not expected to have a material impact on the Company’s 2026 financial results.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Share Repurchases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Between March 31, 2026 and May 1, 2026, the Company repurchased 0.9 million shares of its common stock at an average price of $215.34 per share, for an aggregate repurchase amount of $188.7 million. As of May 1, 2026, $600.3 million remained available for future stock repurchases under the 2026 Share Repurchase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2025 filed with the SEC on February 11, 2026.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provide an agentic customer platform that helps marketing, sales, and customer service teams drive business growth. We deliver seamless connection for customer-facing teams with a unified platform that includes three layers: Artificial Intelligence (“AI”)-powered agents and engagement Hubs, a Smart customer relationship management product (“CRM”), and a connected ecosystem supporting the customer platform with a marketplace of integrations, templates, expert partners, a community network, and an academy of educational content.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Breeze is our AI that powers the customer platform, including our Smart CRM, engagement Hubs, and the connected ecosystem. Our engagement Hubs that enable companies to attract, engage, and delight customers throughout the customer lifecycle include Marketing, Sales, Service, Operations, Content and Commerce. The Smart CRM is the foundational context layer that combines customer data with AI to power the entire customer platform with unified customer profiles and tools to manage and govern your team and business processes. Our customer platform features a central database of lead and customer interactions and integrated applications designed to help businesses build their presence online, attract prospects across channels, convert prospects into leads, close leads into customers, transact with those customers, and delight them so they become promoters of those businesses.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designed and built our customer platform to serve a broad range of customers globally. It was built to easily and seamlessly integrate third party applications to further customize to an individual company’s industry or needs. Our customer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We focus on selling to mid-market business-to-business, or B2B, companies, which we define as companies that have between 2 and 2,000 employees. While our customer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traditional and AI-enhanced engagement strategies, our Solutions Partners, and our “freemium” model. AI-enhanced engagement strategies leverage AI to personalize, automate, and optimize how businesses attract, engage, and retain customers across channels and throughout the customer lifecycle. A Solutions Partner is a service provider that helps businesses with strategy, execution, and implementation of go-to-market activities and technology solutions. Our freemium model attracts customers who begin using our customer platform through our free products and then upgrade to our paid products. </w:t>
      </w:r>
      <w:r>
        <w:rPr>
          <w:rFonts w:ascii="Times New Roman" w:hAnsi="Times New Roman"/>
          <w:color w:val="212529"/>
          <w:sz w:val="20"/>
        </w:rPr>
        <w:t xml:space="preserve">As of March 31, 2026, we had 9,021 full-time employees and 299,458 Customers of varying sizes in more than 135 countries, representing many industries.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primarily sell our customer platform on a subscription basis. Our total revenue increased to $881.0 million for the three months ended March 31, 2026 from $714.1 million for the three months ended March 31, 2025, representing a year-over-year increase of 23% in 2026. We generated net income of $32.6 million for the three months ended March 31, 2026 and net losses of $21.8 million for the three months ended March 31,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derive most of our revenue from subscriptions to our cloud-based customer platform and related professional services, which consist of customer on-boarding, training and consulting services. Subscription revenue accounted for 98% of our total revenue for the three months ended March 31, 2026 and 2025. We sell multiple product plans at different base prices on a subscription basis, each of which includes our Smart CRM and integrated applications to meet the needs of the various customers we serve. We also generate revenue through usage and consumption-based models. Customers pay additional fees if the number of contacts stored and tracked in the customer’s database exceeds specified thresholds. We also generate revenue based on the purchase of additional subscriptions, products and seats. Most of our Customers’ subscriptions are one year or less in duration.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Many of our customers purchase on-boarding, training, and consulting services, which are designed to help customers enhance their ability to attract, engage and delight their customers using our customer platform. Professional services and other revenue accounted for 2% of total revenue for the three months ended March 31, 2026 and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focused on rapidly growing our business and plan to continue to make investments to help us address some of the challenges facing us to support this growth, such as demand for our customer platform by existing and new customers, significant competition from other customer platform providers and related applications and rapid technological changes in our industry.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We believe that the growth of our business is dependent on many factors, including our ability to expand our customer base, increase adoption of our customer platform within existing customers, develop new products and applications to extend the functionality of our customer platform and provide a high level of customer service. We have invested and intend to continue investing for long-term growth. We intend to continue to invest in sales and marketing to support our growth, including investments in AI-enabled tools for guided selling and content generation designed to drive efficiencies and improve conversion rates. We plan to continue to invest in research and development as we continue to introduce new products and applications to extend the functionality of our customer platform, including machine learning capabilities intended to accelerate innovation and increase productivity. We intend to continue maintaining a high level of customer service and support which we consider critical for our continued success, and investing in AI to support automated ticket resolution. We also plan to continue investing in our data center infrastructure and services capabilities in order to support continued future customer growth. We also expect to continue to incur additional general and administrative expenses as a result of our growth and the infrastructure required to operate as a public company, including continued efforts to automate and streamline processes using AI-enabled tools. We expect to use our cash flow from operations to fund these growth strategies and support our business. </w:t>
        <w:br/>
        <w:br/>
      </w:r>
      <w:r>
        <w:rPr>
          <w:rFonts w:ascii="Times New Roman" w:hAnsi="Times New Roman"/>
          <w:b/>
          <w:color w:val="000000"/>
          <w:sz w:val="20"/>
        </w:rPr>
        <w:t>Global Economic Conditions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results of operations may be significantly influenced by general macroeconomic conditions, including, but not limited to, the impact of pandemics, geo-political conflicts, foreign currency fluctuations, interest rates, inflation, recession risks, tariffs or other trade restrictions, and existing and new domestic and foreign laws and regulations, all of which are beyond our control. Fluctuations in foreign exchange rates and rising inflation have had, and may continue to have an adverse impact on our financial condition and operating results in future periods. As we continue to monitor the direct and indirect impacts of these circumstances, the broader implications of these macroeconomic events on our business, results of operations and overall financial position, particularly in the long term, remain uncertain. See the section titled “Risk Factors'' included under Part II, Item 1A below for further discussion of the possible impact of these factors and other risks on our business.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Key Components of Consolidated Statements of Operations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derive our revenue from two major sources, revenue from subscriptions to our customer platform and professional services and other revenue consisting mainly of on-boarding, training, consulting services fees, and Payments.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Subscription-based revenue is derived from customers using our customer platform for their marketing, sales, service, data, and content management needs. Our customer platform includes a system of record for maintaining a unified view of the customer experience, a system of engagement for efficiently engaging customers through AI agents, SEO, AEO, AI-powered content creation, web content, social, blogging, email, marketing automation, messaging, support ticketing, knowledge base, conversation routing, video hosting, deal progression, prospecting, and data enrichment. Over 2,000 integrations and applications are available for our users, across a wide range of categories, including integrations with leading social media, email, sales, video, analytics, content and webinar tools. All subscription fees that are billed in advance of service are recorded in deferred revenue. Subscription based revenue is recognized net of consideration paid to Solutions Partners when those Solutions Partners purchase the subscription to our customer platform.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Professional services and other revenue are derived primarily from customer on-boarding, training, consulting services, and Payments. Depending on which Hubs and services a customer purchases, they receive on-boarding guidance or training from technical consultants via web meetings.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Cost of Revenue, Operating and Other Expenses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Cost of subscription revenue consists primarily of managed hosting providers and other third-party service providers, employee-related costs including payroll, benefits and stock-based compensation expense for our customer support team, amortization of capitalized software development costs and acquired technology, and allocated overhead costs, which include facilities costs, depreciation of fixed assets, and costs related to information technology.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Cost of professional services and other revenue consists primarily of personnel costs of our professional services organization, including salaries, benefits, bonuses and stock-based compensation, amortization of capitalized software development costs associated with Payments, as well as professional fees and allocated overhead costs, which we define as facilities, depreciation of fixed assets, and costs related to information technology. It also consists of costs associated with Payments and our other service offerings.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expect that the cost of subscription and professional services and other revenue will increase in absolute dollars as we continue to invest in data center infrastructure and capitalize software development costs for new offerings to grow our business and scale with AI capabilities. As a result of these investments, over time, we expect gross margins to decline slightly, exclusive of stock-based compensation. </w:t>
      </w:r>
    </w:p>
    <w:p>
      <w:pPr>
        <w:pStyle w:val="TextBody"/>
        <w:bidi w:val="0"/>
        <w:spacing w:before="20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personnel costs of our development team, including payroll, benefits and stock-based compensation expense, professional and contractor fees and allocated overhead costs. We capitalize certain software development costs that are attributable to developing new products and adding incremental functionality to our customer platform and amortize such costs as costs of subscription and cost of professional services and other revenue over the estimated life of the new product or incremental functionality, which is generally two years. We also capitalize certain development costs that are attributable to developing our internally developed software platforms and amortize such costs throughout the consolidated statement of operations over the estimated life of our internally developed software platforms, which is generally five years. We focus our research and development efforts on improving our products and developing new ones, delivering new functionality and enhancing the customer experience. We believe delivering new functionality for our customers is an integral part of our solution and provides our customers with access to a broad array of options and information critical to their marketing, sales, and customer service efforts. We expect to continue to make investments in and expand our offerings to enhance our customers’ experience and satisfaction and attract new customers. Over time, we expect research and development expenses to increase in absolute dollars as we continue to increase the functionality of our customer platform and decline as a percentage of total revenue, exclusive of stock-based compensation expense.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Sales and marketing expenses consist primarily of personnel costs of our sales and marketing employees, including sales commissions and incentives, benefits and stock-based compensation expense, marketing programs, including lead generation, costs of our annual UNBOUND (formerly INBOUND) conference, other brand building expenses, amortization of intangible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professional and contractor fees and allocated overhead costs. Sales and marketing expenses also include commissions paid to our Solutions Partners in instances where the end customer purchases and pays for a subscription to our customer platform. We defer certain sales and Solutions Partner commissions related to acquiring new contracts and amortize them ratably over a period of benefit that we have determined to be approximately two to four years.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plan to continue to invest in sales and marketing to grow our customer base and increase sales to existing customers. This growth will include adding sales personnel and expanding our marketing activities to continue to generate leads and build brand awareness. We expect sales and marketing expenses to increase in absolute dollars as we continue to develop our sales and marketing teams. Over time, we expect sales and marketing expenses will decline as a percentage of total revenue, exclusive of stock-based compensation.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General and administrative expenses consist of personnel costs and related expenses for executive, finance, legal, human resources, employee-related information technology, administrative personnel, including payroll, benefits and stock-based compensation expense, professional fees for external legal, accounting and other consulting services, and allocated overhead costs. We expect that general and administrative expenses will increase on an absolute dollar basis as we incur the costs of compliance associated with being a publicly traded company, and remain relatively consistent as a percentage of total revenue, exclusive of stock-based compensation expense, as we focus on processes, systems and controls to enable our internal support functions to scale with the growth of our business. </w:t>
      </w:r>
    </w:p>
    <w:p>
      <w:pPr>
        <w:pStyle w:val="TextBody"/>
        <w:bidi w:val="0"/>
        <w:spacing w:before="200" w:after="283"/>
        <w:jc w:val="left"/>
        <w:rPr>
          <w:rFonts w:ascii="Times New Roman" w:hAnsi="Times New Roman"/>
          <w:sz w:val="20"/>
        </w:rPr>
      </w:pPr>
      <w:r>
        <w:rPr>
          <w:rFonts w:ascii="Times New Roman" w:hAnsi="Times New Roman"/>
          <w:b/>
          <w:i/>
          <w:color w:val="000000"/>
          <w:sz w:val="20"/>
        </w:rPr>
        <w:t>Restructuring</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Restructuring expenses primarily consist of variable lease costs related to properties vacated under our restructuring plan. On January 25, 2023, our board of directors authorized a restructuring plan (the “Restructuring Plan”) that was designed to reduce operating costs and enable investment in key opportunities for long-term growth while driving continued profitability. The Restructuring Plan included a reduction of our workforce by approximately 7% and a global lease consolidation to create higher density across our workspaces. Future variable facilities related costs for vacated properties will continue to be recorded to restructuring charges.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income primarily consists of interest earned on invested cash and cash equivalents balances and investments. Interest expense primarily consists of amortization of issuance costs and contractual interest expense related to our 2025 Notes and Revolving Credit Facility. Other expense, net primarily consists of the impact of foreign currency transaction gains and losses associated with monetary assets and liabilities and any gains, losses on, or impairments of our strategic investments.</w:t>
      </w:r>
    </w:p>
    <w:p>
      <w:pPr>
        <w:pStyle w:val="TextBody"/>
        <w:bidi w:val="0"/>
        <w:spacing w:before="200" w:after="283"/>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Income tax expense consists of current and deferred taxes for U.S. and foreign jurisdictions.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 for the Three Months Ended March 31, 2026 and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tables set forth our results of operations for the periods presented and as a percentage of our total revenue for those periods. The data has been derived from the unaudited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 </w:t>
      </w:r>
    </w:p>
    <w:p>
      <w:pPr>
        <w:pStyle w:val="TextBody"/>
        <w:bidi w:val="0"/>
        <w:spacing w:before="200" w:after="283"/>
        <w:jc w:val="left"/>
        <w:rPr/>
      </w:pPr>
      <w:r>
        <w:rPr/>
        <w:t> </w:t>
      </w:r>
    </w:p>
    <w:tbl>
      <w:tblPr>
        <w:tblW w:w="6352" w:type="dxa"/>
        <w:jc w:val="left"/>
        <w:tblInd w:w="0" w:type="dxa"/>
        <w:tblLayout w:type="fixed"/>
        <w:tblCellMar>
          <w:top w:w="28" w:type="dxa"/>
          <w:left w:w="28" w:type="dxa"/>
          <w:bottom w:w="28" w:type="dxa"/>
          <w:right w:w="28" w:type="dxa"/>
        </w:tblCellMar>
      </w:tblPr>
      <w:tblGrid>
        <w:gridCol w:w="3016"/>
        <w:gridCol w:w="146"/>
        <w:gridCol w:w="225"/>
        <w:gridCol w:w="795"/>
        <w:gridCol w:w="191"/>
        <w:gridCol w:w="168"/>
        <w:gridCol w:w="225"/>
        <w:gridCol w:w="795"/>
        <w:gridCol w:w="7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862,264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698,728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15,409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880,995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714,137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128,724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100,230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14,877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145,694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115,107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735,301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599,030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234,193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220,100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386,431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326,697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78,633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707,358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626,510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(27,480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20,564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17,611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(21,793</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6172" w:type="dxa"/>
        <w:jc w:val="left"/>
        <w:tblInd w:w="0" w:type="dxa"/>
        <w:tblLayout w:type="fixed"/>
        <w:tblCellMar>
          <w:top w:w="28" w:type="dxa"/>
          <w:left w:w="28" w:type="dxa"/>
          <w:bottom w:w="28" w:type="dxa"/>
          <w:right w:w="28" w:type="dxa"/>
        </w:tblCellMar>
      </w:tblPr>
      <w:tblGrid>
        <w:gridCol w:w="3016"/>
        <w:gridCol w:w="146"/>
        <w:gridCol w:w="242"/>
        <w:gridCol w:w="624"/>
        <w:gridCol w:w="425"/>
        <w:gridCol w:w="242"/>
        <w:gridCol w:w="242"/>
        <w:gridCol w:w="624"/>
        <w:gridCol w:w="6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rFonts w:ascii="Times New Roman" w:hAnsi="Times New Roman"/>
          <w:color w:val="000000"/>
          <w:sz w:val="20"/>
        </w:rPr>
      </w:pPr>
      <w:r>
        <w:rPr>
          <w:rFonts w:ascii="Times New Roman" w:hAnsi="Times New Roman"/>
          <w:color w:val="000000"/>
          <w:sz w:val="20"/>
        </w:rPr>
        <w:t>Percentages are based on actual values. Totals may not sum due to rounding.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Three Months Ended March 31, 2026 Compared to the Three Months Ended March 31, 2025</w:t>
      </w:r>
    </w:p>
    <w:p>
      <w:pPr>
        <w:pStyle w:val="TextBody"/>
        <w:bidi w:val="0"/>
        <w:spacing w:before="20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br/>
        <w:t> </w:t>
      </w:r>
    </w:p>
    <w:tbl>
      <w:tblPr>
        <w:tblW w:w="7677" w:type="dxa"/>
        <w:jc w:val="left"/>
        <w:tblInd w:w="0" w:type="dxa"/>
        <w:tblLayout w:type="fixed"/>
        <w:tblCellMar>
          <w:top w:w="28" w:type="dxa"/>
          <w:left w:w="28" w:type="dxa"/>
          <w:bottom w:w="28" w:type="dxa"/>
          <w:right w:w="28" w:type="dxa"/>
        </w:tblCellMar>
      </w:tblPr>
      <w:tblGrid>
        <w:gridCol w:w="2526"/>
        <w:gridCol w:w="245"/>
        <w:gridCol w:w="864"/>
        <w:gridCol w:w="182"/>
        <w:gridCol w:w="245"/>
        <w:gridCol w:w="864"/>
        <w:gridCol w:w="146"/>
        <w:gridCol w:w="196"/>
        <w:gridCol w:w="691"/>
        <w:gridCol w:w="146"/>
        <w:gridCol w:w="294"/>
        <w:gridCol w:w="577"/>
        <w:gridCol w:w="701"/>
      </w:tblGrid>
      <w:tr>
        <w:trPr/>
        <w:tc>
          <w:tcPr>
            <w:tcW w:w="25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Subscription</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862,264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services and other</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18,731</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880,995</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714,137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Subscription revenue increased during the three months ended March 31, 2026 compared to the same period in 2025 primarily due to the increase in Customers, which grew from 258,258 as of March 31, 2025 to 299,458 as of March 31, 2026. In addition, Average Subscription Revenue per Customer increased from $11,038 for the three months ended March 31, 2025 to $11,722 for the three months ended March 31, 2026. The growth in Customers was primarily driven by increased demand for our lower-priced Starter products. The increase in Average Subscription Revenue per Customer was primarily driven by increased demand for our Professional and Enterprise products and the impact of foreign currency translation primarily attributable to the decrease in the value of the U.S. Dollar relative to the Euro and British Pound Sterling, partially offset by continued purchases of our lower-priced Starter products.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Professional services and other revenue increased during the three months ended March 31, 2026 compared to the same period in 2025 primarily driven by Payments. </w:t>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Cost of Revenue, Gross Profit and Gross Margin Percentage </w:t>
      </w:r>
      <w:r>
        <w:rPr>
          <w:rFonts w:ascii="Times New Roman" w:hAnsi="Times New Roman"/>
          <w:color w:val="000000"/>
          <w:sz w:val="20"/>
        </w:rPr>
        <w:br/>
        <w:t> </w:t>
      </w:r>
    </w:p>
    <w:tbl>
      <w:tblPr>
        <w:tblW w:w="6750" w:type="dxa"/>
        <w:jc w:val="left"/>
        <w:tblInd w:w="0" w:type="dxa"/>
        <w:tblLayout w:type="fixed"/>
        <w:tblCellMar>
          <w:top w:w="28" w:type="dxa"/>
          <w:left w:w="28" w:type="dxa"/>
          <w:bottom w:w="28" w:type="dxa"/>
          <w:right w:w="28" w:type="dxa"/>
        </w:tblCellMar>
      </w:tblPr>
      <w:tblGrid>
        <w:gridCol w:w="1891"/>
        <w:gridCol w:w="231"/>
        <w:gridCol w:w="817"/>
        <w:gridCol w:w="302"/>
        <w:gridCol w:w="231"/>
        <w:gridCol w:w="817"/>
        <w:gridCol w:w="256"/>
        <w:gridCol w:w="196"/>
        <w:gridCol w:w="691"/>
        <w:gridCol w:w="146"/>
        <w:gridCol w:w="294"/>
        <w:gridCol w:w="577"/>
        <w:gridCol w:w="301"/>
      </w:tblGrid>
      <w:tr>
        <w:trPr/>
        <w:tc>
          <w:tcPr>
            <w:tcW w:w="18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 of revenue</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145,694</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115,107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735,301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599,030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 percentage</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cost of revenue for the three months ended March 31, 2026 increased compared to the same period in 2025 primarily due to an increase in subscription and hosting costs, amortization of capitalized software development costs, amortization of acquired technology, employee-related costs and allocated overhead expenses. Gross margins remained relatively consistent year-over-year.</w:t>
        <w:br/>
        <w:t> </w:t>
      </w:r>
    </w:p>
    <w:tbl>
      <w:tblPr>
        <w:tblW w:w="7215" w:type="dxa"/>
        <w:jc w:val="left"/>
        <w:tblInd w:w="0" w:type="dxa"/>
        <w:tblLayout w:type="fixed"/>
        <w:tblCellMar>
          <w:top w:w="28" w:type="dxa"/>
          <w:left w:w="28" w:type="dxa"/>
          <w:bottom w:w="28" w:type="dxa"/>
          <w:right w:w="28" w:type="dxa"/>
        </w:tblCellMar>
      </w:tblPr>
      <w:tblGrid>
        <w:gridCol w:w="2596"/>
        <w:gridCol w:w="231"/>
        <w:gridCol w:w="817"/>
        <w:gridCol w:w="302"/>
        <w:gridCol w:w="231"/>
        <w:gridCol w:w="817"/>
        <w:gridCol w:w="256"/>
        <w:gridCol w:w="196"/>
        <w:gridCol w:w="601"/>
        <w:gridCol w:w="146"/>
        <w:gridCol w:w="243"/>
        <w:gridCol w:w="478"/>
        <w:gridCol w:w="301"/>
      </w:tblGrid>
      <w:tr>
        <w:trPr/>
        <w:tc>
          <w:tcPr>
            <w:tcW w:w="259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(dollars in thousands)</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Subscription cost of revenue</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128,724</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subscription revenue</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subscription cost of revenue for the three months ended March 31, 2026 compared to the same period in 2025 was primarily due to the following:</w:t>
        <w:br/>
        <w:t> </w:t>
      </w:r>
    </w:p>
    <w:tbl>
      <w:tblPr>
        <w:tblW w:w="5952" w:type="dxa"/>
        <w:jc w:val="left"/>
        <w:tblInd w:w="0" w:type="dxa"/>
        <w:tblLayout w:type="fixed"/>
        <w:tblCellMar>
          <w:top w:w="28" w:type="dxa"/>
          <w:left w:w="28" w:type="dxa"/>
          <w:bottom w:w="28" w:type="dxa"/>
          <w:right w:w="28" w:type="dxa"/>
        </w:tblCellMar>
      </w:tblPr>
      <w:tblGrid>
        <w:gridCol w:w="4636"/>
        <w:gridCol w:w="267"/>
        <w:gridCol w:w="858"/>
        <w:gridCol w:w="191"/>
      </w:tblGrid>
      <w:tr>
        <w:trPr/>
        <w:tc>
          <w:tcPr>
            <w:tcW w:w="463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and hosting costs</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capitalized software development costs</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technology</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Subscription and hosting costs increased primarily due to growth in our Customer base from 258,258 as of March 31, 2025 to 299,458 as of March 31, 2026. We also incurred higher subscription and hosting costs as we continued to support increased usage of our customer platform and continued investments to expand AI functionality. Amortization of capitalized software development costs increased due to the increased number of developers working on our software platform as we continued to develop new products and increased functionality. Employee-related costs increased as a result of increased headcount as we grew our support organization to support our customer growth and improve service levels and offerings. Allocated overhead expenses increased due to an increase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shared company expenses associated with our systems and infrastructure as we continued to grow our business and slight increase in the proportional allocation of shared company expenses associated with headcount in subscriptions cost of revenue.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8011" w:type="dxa"/>
        <w:jc w:val="left"/>
        <w:tblInd w:w="0" w:type="dxa"/>
        <w:tblLayout w:type="fixed"/>
        <w:tblCellMar>
          <w:top w:w="28" w:type="dxa"/>
          <w:left w:w="28" w:type="dxa"/>
          <w:bottom w:w="28" w:type="dxa"/>
          <w:right w:w="28" w:type="dxa"/>
        </w:tblCellMar>
      </w:tblPr>
      <w:tblGrid>
        <w:gridCol w:w="3916"/>
        <w:gridCol w:w="208"/>
        <w:gridCol w:w="638"/>
        <w:gridCol w:w="272"/>
        <w:gridCol w:w="208"/>
        <w:gridCol w:w="638"/>
        <w:gridCol w:w="256"/>
        <w:gridCol w:w="196"/>
        <w:gridCol w:w="511"/>
        <w:gridCol w:w="146"/>
        <w:gridCol w:w="243"/>
        <w:gridCol w:w="478"/>
        <w:gridCol w:w="301"/>
      </w:tblGrid>
      <w:tr>
        <w:trPr/>
        <w:tc>
          <w:tcPr>
            <w:tcW w:w="39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(dollars in thousands)</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Professional services and other cost of revenue</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16,970</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14,877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professional services and other revenue</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increase in professional services and other cost of revenue for three months ended March 31, 2026 compared to the same period in 2025 was primarily due to the following: </w:t>
        <w:br/>
        <w:t> </w:t>
      </w:r>
    </w:p>
    <w:tbl>
      <w:tblPr>
        <w:tblW w:w="4352" w:type="dxa"/>
        <w:jc w:val="left"/>
        <w:tblInd w:w="0" w:type="dxa"/>
        <w:tblLayout w:type="fixed"/>
        <w:tblCellMar>
          <w:top w:w="28" w:type="dxa"/>
          <w:left w:w="28" w:type="dxa"/>
          <w:bottom w:w="28" w:type="dxa"/>
          <w:right w:w="28" w:type="dxa"/>
        </w:tblCellMar>
      </w:tblPr>
      <w:tblGrid>
        <w:gridCol w:w="3016"/>
        <w:gridCol w:w="282"/>
        <w:gridCol w:w="843"/>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Commerce payment processing fees</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Commerce payment processing fees increased due to higher payment volume and merchant activity. Professional fees increased and employee-related costs decreased as we continue to leverage our Solutions Partners to deliver on-boarding and other professional services. Allocated overhead expenses decreased primarily due to the decreased proportional allocation of shared company expenses associated with headcount in services cost of revenue.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Research and Development</w:t>
      </w:r>
    </w:p>
    <w:tbl>
      <w:tblPr>
        <w:tblW w:w="6277" w:type="dxa"/>
        <w:jc w:val="left"/>
        <w:tblInd w:w="0" w:type="dxa"/>
        <w:tblLayout w:type="fixed"/>
        <w:tblCellMar>
          <w:top w:w="28" w:type="dxa"/>
          <w:left w:w="28" w:type="dxa"/>
          <w:bottom w:w="28" w:type="dxa"/>
          <w:right w:w="28" w:type="dxa"/>
        </w:tblCellMar>
      </w:tblPr>
      <w:tblGrid>
        <w:gridCol w:w="2026"/>
        <w:gridCol w:w="196"/>
        <w:gridCol w:w="691"/>
        <w:gridCol w:w="256"/>
        <w:gridCol w:w="196"/>
        <w:gridCol w:w="691"/>
        <w:gridCol w:w="256"/>
        <w:gridCol w:w="196"/>
        <w:gridCol w:w="601"/>
        <w:gridCol w:w="146"/>
        <w:gridCol w:w="307"/>
        <w:gridCol w:w="414"/>
        <w:gridCol w:w="301"/>
      </w:tblGrid>
      <w:tr>
        <w:trPr/>
        <w:tc>
          <w:tcPr>
            <w:tcW w:w="20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(dollars 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234,193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220,100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research and development expense for the three months ended March 31, 2026 compared to the same period in 2025 was primarily due to the following:</w:t>
      </w:r>
    </w:p>
    <w:tbl>
      <w:tblPr>
        <w:tblW w:w="3807" w:type="dxa"/>
        <w:jc w:val="left"/>
        <w:tblInd w:w="0" w:type="dxa"/>
        <w:tblLayout w:type="fixed"/>
        <w:tblCellMar>
          <w:top w:w="28" w:type="dxa"/>
          <w:left w:w="28" w:type="dxa"/>
          <w:bottom w:w="28" w:type="dxa"/>
          <w:right w:w="28" w:type="dxa"/>
        </w:tblCellMar>
      </w:tblPr>
      <w:tblGrid>
        <w:gridCol w:w="2491"/>
        <w:gridCol w:w="267"/>
        <w:gridCol w:w="858"/>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and services</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Software and services expense increased due to an increase in use of AI tools. Employee-related costs increased as a result of increased headcount as we continued to grow our engineering organization to develop new products, increase functionality and to maintain our existing customer platform. Allocated overhead expenses increased due to an increase in shared company expenses associated with our systems and infrastructure as we continued to grow our business and increased proportional allocation of shared company expenses associated with headcount in research and development. Professional fees increased due to an increase in the use of third party services and contractors as we continued to grow our engineering organization. </w:t>
      </w:r>
    </w:p>
    <w:p>
      <w:pPr>
        <w:pStyle w:val="TextBody"/>
        <w:bidi w:val="0"/>
        <w:spacing w:before="200" w:after="283"/>
        <w:jc w:val="left"/>
        <w:rPr>
          <w:rFonts w:ascii="Times New Roman" w:hAnsi="Times New Roman"/>
          <w:sz w:val="20"/>
        </w:rPr>
      </w:pPr>
      <w:r>
        <w:rPr>
          <w:rFonts w:ascii="Times New Roman" w:hAnsi="Times New Roman"/>
          <w:b/>
          <w:i/>
          <w:color w:val="000000"/>
          <w:sz w:val="20"/>
        </w:rPr>
        <w:t>Sales and Marketing</w:t>
        <w:br/>
      </w:r>
      <w:r>
        <w:rPr>
          <w:rFonts w:ascii="Times New Roman" w:hAnsi="Times New Roman"/>
          <w:color w:val="000000"/>
          <w:sz w:val="20"/>
        </w:rPr>
        <w:t> </w:t>
      </w:r>
    </w:p>
    <w:tbl>
      <w:tblPr>
        <w:tblW w:w="6277" w:type="dxa"/>
        <w:jc w:val="left"/>
        <w:tblInd w:w="0" w:type="dxa"/>
        <w:tblLayout w:type="fixed"/>
        <w:tblCellMar>
          <w:top w:w="28" w:type="dxa"/>
          <w:left w:w="28" w:type="dxa"/>
          <w:bottom w:w="28" w:type="dxa"/>
          <w:right w:w="28" w:type="dxa"/>
        </w:tblCellMar>
      </w:tblPr>
      <w:tblGrid>
        <w:gridCol w:w="2026"/>
        <w:gridCol w:w="196"/>
        <w:gridCol w:w="691"/>
        <w:gridCol w:w="256"/>
        <w:gridCol w:w="196"/>
        <w:gridCol w:w="691"/>
        <w:gridCol w:w="256"/>
        <w:gridCol w:w="196"/>
        <w:gridCol w:w="601"/>
        <w:gridCol w:w="146"/>
        <w:gridCol w:w="243"/>
        <w:gridCol w:w="478"/>
        <w:gridCol w:w="301"/>
      </w:tblGrid>
      <w:tr>
        <w:trPr/>
        <w:tc>
          <w:tcPr>
            <w:tcW w:w="20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(dollars 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386,431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326,697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sales and marketing expense for the three months ended March 31, 2026 compared to the same period in 2025 was primarily due to the following:</w:t>
        <w:br/>
        <w:t> </w:t>
      </w:r>
    </w:p>
    <w:tbl>
      <w:tblPr>
        <w:tblW w:w="3947" w:type="dxa"/>
        <w:jc w:val="left"/>
        <w:tblInd w:w="0" w:type="dxa"/>
        <w:tblLayout w:type="fixed"/>
        <w:tblCellMar>
          <w:top w:w="28" w:type="dxa"/>
          <w:left w:w="28" w:type="dxa"/>
          <w:bottom w:w="28" w:type="dxa"/>
          <w:right w:w="28" w:type="dxa"/>
        </w:tblCellMar>
      </w:tblPr>
      <w:tblGrid>
        <w:gridCol w:w="2611"/>
        <w:gridCol w:w="267"/>
        <w:gridCol w:w="858"/>
        <w:gridCol w:w="211"/>
      </w:tblGrid>
      <w:tr>
        <w:trPr/>
        <w:tc>
          <w:tcPr>
            <w:tcW w:w="261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programs</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and services</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Solutions Partner commissions</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Employee-related costs increased as a result of increased headcount as we expanded our selling and marketing organizations to grow our customer base. Marketing programs increased due to the timing and size of certain marketing efforts as we made investments in attracting new customers. Professional fees increased due to an increase in the use of third party services and contractors for our marketing efforts. Allocated overhead expenses increased due to an increase in shared company expenses associated with our systems and infrastructure to support our business growth. Software and services cost increased due to an increase in the use of third party software and AI-enabled tools to improve productivity. Solutions Partner commissions decreased as we changed the duration and eligibility of commissions for certain Solutions Partners to better align with the value delivered to customers. The decrease from the change in duration and eligibility of commissions was partially offset by increased revenue generated through our Solutions Partners.</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w:t>
      </w:r>
    </w:p>
    <w:tbl>
      <w:tblPr>
        <w:tblW w:w="6121" w:type="dxa"/>
        <w:jc w:val="left"/>
        <w:tblInd w:w="0" w:type="dxa"/>
        <w:tblLayout w:type="fixed"/>
        <w:tblCellMar>
          <w:top w:w="28" w:type="dxa"/>
          <w:left w:w="28" w:type="dxa"/>
          <w:bottom w:w="28" w:type="dxa"/>
          <w:right w:w="28" w:type="dxa"/>
        </w:tblCellMar>
      </w:tblPr>
      <w:tblGrid>
        <w:gridCol w:w="2026"/>
        <w:gridCol w:w="208"/>
        <w:gridCol w:w="638"/>
        <w:gridCol w:w="272"/>
        <w:gridCol w:w="208"/>
        <w:gridCol w:w="638"/>
        <w:gridCol w:w="256"/>
        <w:gridCol w:w="196"/>
        <w:gridCol w:w="511"/>
        <w:gridCol w:w="146"/>
        <w:gridCol w:w="307"/>
        <w:gridCol w:w="414"/>
        <w:gridCol w:w="301"/>
      </w:tblGrid>
      <w:tr>
        <w:trPr/>
        <w:tc>
          <w:tcPr>
            <w:tcW w:w="202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(dollars in thousands)</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85,640</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revenue</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increase in general and administrative expense for the three months ended March 31, 2026 compared to the same period in 2025 was primarily due to the following: </w:t>
        <w:br/>
        <w:t> </w:t>
      </w:r>
    </w:p>
    <w:tbl>
      <w:tblPr>
        <w:tblW w:w="3807" w:type="dxa"/>
        <w:jc w:val="left"/>
        <w:tblInd w:w="0" w:type="dxa"/>
        <w:tblLayout w:type="fixed"/>
        <w:tblCellMar>
          <w:top w:w="28" w:type="dxa"/>
          <w:left w:w="28" w:type="dxa"/>
          <w:bottom w:w="28" w:type="dxa"/>
          <w:right w:w="28" w:type="dxa"/>
        </w:tblCellMar>
      </w:tblPr>
      <w:tblGrid>
        <w:gridCol w:w="2491"/>
        <w:gridCol w:w="303"/>
        <w:gridCol w:w="822"/>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credit card fees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Employee-related costs increased as a result of increased headcount as we grew our business and required additional personnel to support our expanded operations. Customer credit card fees increased due to increased customer transactions as we continued to grow our business. Professional fees increased primarily due to increase in the use of third-party services and contractors. Allocated overhead expenses increased due to an increase in shared company expenses associated with our systems and infrastructure as we continued to grow our business. </w:t>
        <w:br/>
        <w:t>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Restructuring </w:t>
        <w:br/>
      </w:r>
      <w:r>
        <w:rPr>
          <w:rFonts w:ascii="Times New Roman" w:hAnsi="Times New Roman"/>
          <w:color w:val="000000"/>
          <w:sz w:val="20"/>
        </w:rPr>
        <w:t> </w:t>
      </w:r>
    </w:p>
    <w:tbl>
      <w:tblPr>
        <w:tblW w:w="6684" w:type="dxa"/>
        <w:jc w:val="left"/>
        <w:tblInd w:w="0" w:type="dxa"/>
        <w:tblLayout w:type="fixed"/>
        <w:tblCellMar>
          <w:top w:w="28" w:type="dxa"/>
          <w:left w:w="28" w:type="dxa"/>
          <w:bottom w:w="28" w:type="dxa"/>
          <w:right w:w="28" w:type="dxa"/>
        </w:tblCellMar>
      </w:tblPr>
      <w:tblGrid>
        <w:gridCol w:w="2026"/>
        <w:gridCol w:w="301"/>
        <w:gridCol w:w="786"/>
        <w:gridCol w:w="224"/>
        <w:gridCol w:w="301"/>
        <w:gridCol w:w="786"/>
        <w:gridCol w:w="146"/>
        <w:gridCol w:w="323"/>
        <w:gridCol w:w="473"/>
        <w:gridCol w:w="146"/>
        <w:gridCol w:w="371"/>
        <w:gridCol w:w="500"/>
        <w:gridCol w:w="301"/>
      </w:tblGrid>
      <w:tr>
        <w:trPr/>
        <w:tc>
          <w:tcPr>
            <w:tcW w:w="20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revenue</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Restructuring charges in the three months ended March 31, 2026 and 2025 consisted of variable facilities-related costs on unused space. </w:t>
        <w:br/>
        <w:t>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Interest income </w:t>
        <w:br/>
      </w:r>
      <w:r>
        <w:rPr>
          <w:rFonts w:ascii="Times New Roman" w:hAnsi="Times New Roman"/>
          <w:color w:val="000000"/>
          <w:sz w:val="20"/>
        </w:rPr>
        <w:t> </w:t>
      </w:r>
    </w:p>
    <w:tbl>
      <w:tblPr>
        <w:tblW w:w="6876" w:type="dxa"/>
        <w:jc w:val="left"/>
        <w:tblInd w:w="0" w:type="dxa"/>
        <w:tblLayout w:type="fixed"/>
        <w:tblCellMar>
          <w:top w:w="28" w:type="dxa"/>
          <w:left w:w="28" w:type="dxa"/>
          <w:bottom w:w="28" w:type="dxa"/>
          <w:right w:w="28" w:type="dxa"/>
        </w:tblCellMar>
      </w:tblPr>
      <w:tblGrid>
        <w:gridCol w:w="2026"/>
        <w:gridCol w:w="254"/>
        <w:gridCol w:w="780"/>
        <w:gridCol w:w="332"/>
        <w:gridCol w:w="254"/>
        <w:gridCol w:w="780"/>
        <w:gridCol w:w="256"/>
        <w:gridCol w:w="203"/>
        <w:gridCol w:w="593"/>
        <w:gridCol w:w="166"/>
        <w:gridCol w:w="258"/>
        <w:gridCol w:w="613"/>
        <w:gridCol w:w="361"/>
      </w:tblGrid>
      <w:tr>
        <w:trPr/>
        <w:tc>
          <w:tcPr>
            <w:tcW w:w="202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12,884</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revenue</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decrease during the three months ended March 31, 2026 is primarily due to lower average investment balances driven by cash outlays from our 2025 Notes settlement in the first half of 2025, Share Repurchase Programs and lower yields.</w:t>
      </w:r>
    </w:p>
    <w:p>
      <w:pPr>
        <w:pStyle w:val="TextBody"/>
        <w:bidi w:val="0"/>
        <w:spacing w:before="200" w:after="283"/>
        <w:jc w:val="left"/>
        <w:rPr>
          <w:rFonts w:ascii="Times New Roman" w:hAnsi="Times New Roman"/>
          <w:sz w:val="20"/>
        </w:rPr>
      </w:pPr>
      <w:r>
        <w:rPr>
          <w:rFonts w:ascii="Times New Roman" w:hAnsi="Times New Roman"/>
          <w:b/>
          <w:i/>
          <w:color w:val="000000"/>
          <w:sz w:val="20"/>
        </w:rPr>
        <w:t>Interest expense</w:t>
        <w:br/>
      </w:r>
      <w:r>
        <w:rPr>
          <w:rFonts w:ascii="Times New Roman" w:hAnsi="Times New Roman"/>
          <w:color w:val="000000"/>
          <w:sz w:val="20"/>
        </w:rPr>
        <w:t> </w:t>
      </w:r>
    </w:p>
    <w:tbl>
      <w:tblPr>
        <w:tblW w:w="6706" w:type="dxa"/>
        <w:jc w:val="left"/>
        <w:tblInd w:w="0" w:type="dxa"/>
        <w:tblLayout w:type="fixed"/>
        <w:tblCellMar>
          <w:top w:w="28" w:type="dxa"/>
          <w:left w:w="28" w:type="dxa"/>
          <w:bottom w:w="28" w:type="dxa"/>
          <w:right w:w="28" w:type="dxa"/>
        </w:tblCellMar>
      </w:tblPr>
      <w:tblGrid>
        <w:gridCol w:w="2026"/>
        <w:gridCol w:w="329"/>
        <w:gridCol w:w="732"/>
        <w:gridCol w:w="278"/>
        <w:gridCol w:w="329"/>
        <w:gridCol w:w="732"/>
        <w:gridCol w:w="166"/>
        <w:gridCol w:w="272"/>
        <w:gridCol w:w="524"/>
        <w:gridCol w:w="146"/>
        <w:gridCol w:w="294"/>
        <w:gridCol w:w="577"/>
        <w:gridCol w:w="301"/>
      </w:tblGrid>
      <w:tr>
        <w:trPr/>
        <w:tc>
          <w:tcPr>
            <w:tcW w:w="202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revenue</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expense decreased primarily due to conversions of our 2025 Notes in the first quarter of 2025.</w:t>
        <w:br/>
        <w:t> </w:t>
      </w:r>
    </w:p>
    <w:p>
      <w:pPr>
        <w:pStyle w:val="TextBody"/>
        <w:bidi w:val="0"/>
        <w:spacing w:before="200" w:after="283"/>
        <w:jc w:val="left"/>
        <w:rPr>
          <w:rFonts w:ascii="Times New Roman" w:hAnsi="Times New Roman"/>
          <w:sz w:val="20"/>
        </w:rPr>
      </w:pPr>
      <w:r>
        <w:rPr>
          <w:rFonts w:ascii="Times New Roman" w:hAnsi="Times New Roman"/>
          <w:b/>
          <w:i/>
          <w:color w:val="000000"/>
          <w:sz w:val="20"/>
        </w:rPr>
        <w:t>Other expense, net</w:t>
        <w:br/>
      </w:r>
      <w:r>
        <w:rPr>
          <w:rFonts w:ascii="Times New Roman" w:hAnsi="Times New Roman"/>
          <w:color w:val="000000"/>
          <w:sz w:val="20"/>
        </w:rPr>
        <w:t> </w:t>
      </w:r>
    </w:p>
    <w:tbl>
      <w:tblPr>
        <w:tblW w:w="6764" w:type="dxa"/>
        <w:jc w:val="left"/>
        <w:tblInd w:w="0" w:type="dxa"/>
        <w:tblLayout w:type="fixed"/>
        <w:tblCellMar>
          <w:top w:w="28" w:type="dxa"/>
          <w:left w:w="28" w:type="dxa"/>
          <w:bottom w:w="28" w:type="dxa"/>
          <w:right w:w="28" w:type="dxa"/>
        </w:tblCellMar>
      </w:tblPr>
      <w:tblGrid>
        <w:gridCol w:w="2026"/>
        <w:gridCol w:w="276"/>
        <w:gridCol w:w="806"/>
        <w:gridCol w:w="234"/>
        <w:gridCol w:w="276"/>
        <w:gridCol w:w="806"/>
        <w:gridCol w:w="166"/>
        <w:gridCol w:w="220"/>
        <w:gridCol w:w="576"/>
        <w:gridCol w:w="146"/>
        <w:gridCol w:w="258"/>
        <w:gridCol w:w="613"/>
        <w:gridCol w:w="361"/>
      </w:tblGrid>
      <w:tr>
        <w:trPr/>
        <w:tc>
          <w:tcPr>
            <w:tcW w:w="202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net</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(1,288</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revenue</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change in other income (expense) during the three months ended March 31, 2026 is primarily due to the following: </w:t>
        <w:br/>
        <w:t> </w:t>
      </w:r>
    </w:p>
    <w:tbl>
      <w:tblPr>
        <w:tblW w:w="4352" w:type="dxa"/>
        <w:jc w:val="left"/>
        <w:tblInd w:w="0" w:type="dxa"/>
        <w:tblLayout w:type="fixed"/>
        <w:tblCellMar>
          <w:top w:w="28" w:type="dxa"/>
          <w:left w:w="28" w:type="dxa"/>
          <w:bottom w:w="28" w:type="dxa"/>
          <w:right w:w="28" w:type="dxa"/>
        </w:tblCellMar>
      </w:tblPr>
      <w:tblGrid>
        <w:gridCol w:w="3016"/>
        <w:gridCol w:w="303"/>
        <w:gridCol w:w="822"/>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strategic investments</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strategic investments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gains and losses</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decrease in the impairment of strategic investments is due to an impairment of $1.6 million in the first quarter of 2025 compared to $0.9 million in the same period in 2026. The increase in gain on strategic investments is due to gains of $0.7 million from observable price changes in the value of certain strategic investments in the first quarter of 2026 compared to $0.1 million in the same period in 2025. The change in foreign currency gains and losses is primarily attributable to the value of the U.S. Dollar relative to the Euro and British Pound Sterling.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tax expense</w:t>
      </w:r>
    </w:p>
    <w:tbl>
      <w:tblPr>
        <w:tblW w:w="6510" w:type="dxa"/>
        <w:jc w:val="left"/>
        <w:tblInd w:w="0" w:type="dxa"/>
        <w:tblLayout w:type="fixed"/>
        <w:tblCellMar>
          <w:top w:w="28" w:type="dxa"/>
          <w:left w:w="28" w:type="dxa"/>
          <w:bottom w:w="28" w:type="dxa"/>
          <w:right w:w="28" w:type="dxa"/>
        </w:tblCellMar>
      </w:tblPr>
      <w:tblGrid>
        <w:gridCol w:w="1681"/>
        <w:gridCol w:w="242"/>
        <w:gridCol w:w="706"/>
        <w:gridCol w:w="391"/>
        <w:gridCol w:w="242"/>
        <w:gridCol w:w="818"/>
        <w:gridCol w:w="256"/>
        <w:gridCol w:w="220"/>
        <w:gridCol w:w="576"/>
        <w:gridCol w:w="146"/>
        <w:gridCol w:w="258"/>
        <w:gridCol w:w="613"/>
        <w:gridCol w:w="361"/>
      </w:tblGrid>
      <w:tr>
        <w:trPr/>
        <w:tc>
          <w:tcPr>
            <w:tcW w:w="168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Effective tax rate</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decrease in the income tax expense is primarily from a reduction in U.S. tax expense as a result of the pattern in which pre-tax income is realized throughout 2026 as compared to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will continue to maintain a full valuation allowance on our deferred tax assets until there is sufficient evidence to support the reversal of all or some portion of this allowance. However, given our anticipated future earnings, management believes that there is a reasonable possibility that within the next 12 months, sufficient positive evidence may become available to reach a conclusion that all or a portion of the valuation allowance may no longer be needed. Release of the valuation allowance would result in the recognition of certain deferred tax assets and a decrease to income tax expense for the period the release is recorded. The exact timing and amount of the valuation allowance release are subject to change on the basis of the level of profitability that we are able to actually achieve.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principal sources of liquidity to date have been cash and cash equivalents, net accounts receivable, our common stock offerings, our convertible notes offerings, and our available revolving credit facility.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shows cash and cash equivalents, working capital, net cash and cash equivalents provided by operating activities, net cash and cash equivalents provided by investing activities, and net cash and cash equivalents used in financing activities for the three months ended March 31, 2026 and 2025. </w:t>
        <w:br/>
        <w:t> </w:t>
      </w:r>
    </w:p>
    <w:tbl>
      <w:tblPr>
        <w:tblW w:w="8069" w:type="dxa"/>
        <w:jc w:val="left"/>
        <w:tblInd w:w="0" w:type="dxa"/>
        <w:tblLayout w:type="fixed"/>
        <w:tblCellMar>
          <w:top w:w="28" w:type="dxa"/>
          <w:left w:w="28" w:type="dxa"/>
          <w:bottom w:w="28" w:type="dxa"/>
          <w:right w:w="28" w:type="dxa"/>
        </w:tblCellMar>
      </w:tblPr>
      <w:tblGrid>
        <w:gridCol w:w="5206"/>
        <w:gridCol w:w="146"/>
        <w:gridCol w:w="211"/>
        <w:gridCol w:w="841"/>
        <w:gridCol w:w="166"/>
        <w:gridCol w:w="146"/>
        <w:gridCol w:w="211"/>
        <w:gridCol w:w="931"/>
        <w:gridCol w:w="211"/>
      </w:tblGrid>
      <w:tr>
        <w:trP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1,036,775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cash and cash equivalents at March 31, 2026 were held for working capital purposes. At March 31, 2026, $329.5 million of our cash and cash equivalents was held in accounts outside the United States. We do not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Cash from operations could be affected by various risks and uncertainties detailed in the section titled “Risk Factors” included under Part II, Item 1A. However, based on our current business plan and revenue prospects, we believe that our existing cash, cash equivalents and investment balances, and our anticipated cash flows from operations will be sufficient to meet our working capital and operating resource expenditure requirements for the next twelve months.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Net Cash and Cash Equivalents Provided by Operating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and cash equivalents provided by operating activities consist primarily of net income (loss) adjusted for certain non-cash items, including stock-based compensation, depreciation and amortization and other non-cash charges,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cash and cash equivalents provided by operating activities during the three months ended March 31, 2026 primarily reflected our net income of $32.6 million, $40.2 million of depreciation and amortization, $115.7 million in stock-based compensation, $2.5 million of unrealized currency translation, impairments of strategic investments of $0.9 million, and $0.1 million of amortization of debt discount and issuance costs, offset by non-cash expenses that included $6.8 million accretion of bond discounts, gains on strategic investments of $0.7 million, and $0.1 million of benefit from deferred income taxes. Working capital sources of cash and cash equivalents primarily included a $58.4 million decrease in accounts receivable related to increased collection, $38.4 million increase in deferred revenue primarily resulting from the growth in the number of customers invoiced during the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$31.3 million increase in accounts payable related to timing of bill payments, and $7.4 million decrease in right-of-use asset. These sources of cash and cash equivalents were offset by $60.5 million increase in prepaid expenses and other assets, $24.7 million decrease in accrued expenses and other liabilities, $22.1 million increase in deferred commissions, and $13.9 million decrease in operating lease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and cash equivalents provided by operating activities during the three months ended March 31, 2025, primarily reflected our net loss of $21.8 million, $28.8 million of depreciation and amortization, $116.7 million in stock-based compensation and an impairment of strategic investments of $1.6 million, $0.5 million of amortization of debt discount and issuance costs, offset by non-cash expenses that included $14.0 million accretion of bond discounts, and $2.7 million of unrealized currency translation. Working capital sources of cash and cash equivalents primarily included a $39.4 million increase in deferred revenue primarily resulting from the growth in the number of customers invoiced during the period, a $45.7 million decrease in accounts receivable related to increased collection, a $18.0 million increase in accounts payable related to timing of bill payments, and a $6.4 million decrease in right-of-use asset. These sources of cash and cash equivalents were offset by a $26.4 million increase in prepaid expenses and other assets, a $7.5 million decrease in operating lease liabilities, a $27.2 million increase in deferred commissions, and $1.2 million decrease in accrued expenses and other liabilities.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Net Cash and Cash Equivalents Provided by Investing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investing activities have consisted primarily of purchases and maturities of investments, property and equipment purchases, purchases of intangible assets, purchases of strategic investments, capitalization of software development costs, and business acquisitions. Capitalized software development costs are related to new products or improvements to our existing software platform that expand the functionality for our customers.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and cash equivalents provided by investing activities during the three months ended March 31, 2026 consisted primarily of $487.7 million received related to the maturity of investments, offset by $358.7 million purchases of investments, $15.4 million of purchased property and equipment, $5.8 million purchases of strategic investments, $34.3 million of capitalized software development costs, $8.3 million related to business acquisitions, and $0.5 million purchases of intangible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cash and cash equivalents provided by investing activities during the three months ended March 31, 2025, consisted primarily of $674.4 million purchases of investments, $13.3 million of purchased property and equipment, $11.0 million purchases of strategic investments, $51.4 million related to business acquisitions, and $30.4 million of capitalized software development costs. These uses of cash were offset by $803.1 million received related to the maturity of investments.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Net Cash and Cash Equivalents Used in Financing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financing activities have consisted primarily of the repayment of our 2025 Notes, repurchases of our common stock, payment of debt issuance costs, the issuance of common stock under our stock plans, and payments of employee taxes related to the net share settlement of stock-based awards.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March 31, 2026 cash used in financing activities consisted of $206.7 million used for repurchases of our common stock, $3.2 million used for payment of employee taxes related to the net share settlement of stock-based awards, and $2.6 for payment of debt issuance costs, offset by $16.3 million of proceeds related to issuance of common stock under stock plans.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March 31, 2025, cash provided in financing activities consisted of $19.3 million of proceeds related to issuance of common stock under stock plans, offset by $9.1 million used for payment of employee taxes related to the net share settlement of stock-based awards and $90.6 million for repayments of the 2025 Notes attributable to the principal.</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Liquidity and Capital Resources Considerations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Contractual Obligations and Commitments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Contractual obligations are cash that we are obligated to pay as part of certain contracts that we have entered during our course of business. Our contractual obligations consist of operating lease liabilities that are included in our consolidated balance sheet and vendor commitments associated with agreements that are legally binding. As of March 31, 2026, the total obligation for operating leases was $296.6 million, of which $54.4 million is expected in the next twelve months. As of March 31, 2026, our vendor commitment was $415.1 million, of which $248.1 million is expected in the next twelve months. See Note 12 for all obligations the Company is committed to in the notes to the consolidated financial statements included elsewhere in this Quarterly Report on Form 10-Q.</w:t>
      </w:r>
    </w:p>
    <w:p>
      <w:pPr>
        <w:pStyle w:val="TextBody"/>
        <w:bidi w:val="0"/>
        <w:spacing w:before="200" w:after="100"/>
        <w:jc w:val="left"/>
        <w:rPr>
          <w:rFonts w:ascii="Times New Roman" w:hAnsi="Times New Roman"/>
          <w:i/>
          <w:color w:val="000000"/>
          <w:sz w:val="20"/>
        </w:rPr>
      </w:pPr>
      <w:r>
        <w:rPr>
          <w:rFonts w:ascii="Times New Roman" w:hAnsi="Times New Roman"/>
          <w:i/>
          <w:color w:val="000000"/>
          <w:sz w:val="20"/>
        </w:rPr>
        <w:t>Share Repurchase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February 2026, our Board of Directors authorized the 2026 Share Repurchase Program for the repurchase of shares of the Company’s common stock, in an aggregate amount of up to $1 billion, over a period of 24 months. Repurchases under the Share Repurchase Programs may be made under a variety of methods, including privately negotiated or open market trades, pursuant to 10b5-1 plans. The share repurchase program does not obligate us to acquire a specified number of shares, and may be suspended, modified, or terminated at any time and will be funded using our cash and cash equivalents. Consideration paid for the shares repurchased is recorded as a reduction to stockholders’ equity on the consolidated balance sheets.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three months ended March 31, 2026, we repurchased 0.8 million shares of our common stock at an average price of $249.74 per share, for an aggregate repurchase amount of $211.0 million. See Note 14 of the notes to consolidated financial statements included elsewhere in this Quarterly Report on Form 10-Q.</w:t>
      </w:r>
    </w:p>
    <w:p>
      <w:pPr>
        <w:pStyle w:val="TextBody"/>
        <w:bidi w:val="0"/>
        <w:spacing w:before="200" w:after="100"/>
        <w:jc w:val="left"/>
        <w:rPr>
          <w:rFonts w:ascii="Times New Roman" w:hAnsi="Times New Roman"/>
          <w:i/>
          <w:color w:val="000000"/>
          <w:sz w:val="20"/>
        </w:rPr>
      </w:pPr>
      <w:r>
        <w:rPr>
          <w:rFonts w:ascii="Times New Roman" w:hAnsi="Times New Roman"/>
          <w:i/>
          <w:color w:val="000000"/>
          <w:sz w:val="20"/>
        </w:rPr>
        <w:t>Letters of Credit</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As of March 31, 2026, we had a total of $2.7 million in letters of credit outstanding for office space. These irrevocable letters of credit are expected to remain in effect, in some cases, until 2029.</w:t>
      </w:r>
    </w:p>
    <w:p>
      <w:pPr>
        <w:pStyle w:val="TextBody"/>
        <w:bidi w:val="0"/>
        <w:spacing w:before="100" w:after="100"/>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In February 2026, we entered into the Revolving Credit Agreement. As of March 31, 2026, there were no outstanding borrowings under the revolving credit facility. The Company's obligations under the Revolving Credit Agreement are secured by substantially all of the Company's assets. The Revolving Credit Agreement contains customary representations and warranties, customary affirmative and negative covenants, and, during periods when the Company does not maintain investment-grade credit ratings, a financial covenant that is tested quarterly and requires the Company to maintain a certain consolidated leverage ratio, and customary events of default. As of March 31, 2026, we were in compliance with all financial covenants under the Revolving Credit Agreement.</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Off-Balance Sheet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no material off-balance sheet arrangements as of March 31, 2026 exclusive of items described above and indemnifications of officers, directors and employees for certain events or occurrences while the officer, director or employee is, or was, serving at our request in such capacity.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have been no significant changes in our critical accounting policies and estimates during the three months ended March 31, 2026 as compared to the critical accounting policies and estimates disclosed in our Annual Report on Form 10-K for the year ended December 31,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For information on recent accounting pronouncements, see </w:t>
      </w:r>
      <w:r>
        <w:rPr>
          <w:rFonts w:ascii="Times New Roman" w:hAnsi="Times New Roman"/>
          <w:i/>
          <w:color w:val="000000"/>
          <w:sz w:val="20"/>
        </w:rPr>
        <w:t>Recent Accounting Pronouncements</w:t>
      </w:r>
      <w:r>
        <w:rPr>
          <w:rFonts w:ascii="Times New Roman" w:hAnsi="Times New Roman"/>
          <w:color w:val="000000"/>
          <w:sz w:val="20"/>
        </w:rPr>
        <w:t xml:space="preserve"> in the notes to the consolidated financial statements appearing elsewhere in this Quarterly Report on Form 10-Q.</w:t>
      </w:r>
    </w:p>
    <w:p>
      <w:pPr>
        <w:pStyle w:val="TextBody"/>
        <w:bidi w:val="0"/>
        <w:spacing w:before="200" w:after="283"/>
        <w:jc w:val="left"/>
        <w:rPr/>
      </w:pPr>
      <w:r>
        <w:rPr/>
        <w:t> </w:t>
      </w:r>
    </w:p>
    <w:p>
      <w:pPr>
        <w:pStyle w:val="TextBody"/>
        <w:bidi w:val="0"/>
        <w:spacing w:before="24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foreign currency risks related to our revenue, cost of revenue, and operating expenses denominated in currencies other than the U.S. dollar. Since we translate foreign currencies into U.S. dollars for financial reporting purposes, currency fluctuations can have an impact on our financial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experienced and will continue to experience fluctuations in our net (loss) income as a result of transaction gains or losses related to revaluing monetary assets and liabilities that are denominated in currencies other than the functional currency of the entities in which they are recorded. Our hedging program allows us to mitigate foreign exchange impacts, such as exposure to currency exchange rates in connection with significant transactions denominated in currencies other than the U.S. dollar, by entering into derivatives transactions such as foreign exchange forwards. See Note 6 in the notes to the consolidated financial statements appearing elsewhere in this Quarterly Report on Form 10-Q for impact of the hedging program to our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Rate Sensitivity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Our cash and cash equivalents and short- and long-term investments are subject to market risk due to changes in interest rates. Fixed rate securities may have their market value adversely affected due to a rise in interest rates. As our short- and long-term investments are classified as available-for-sale, no gains or losses are recognized in our consolidated statements of operations due to changes in interest rates unless such securities are sold prior to maturity or the decline in fair value is caused by expected credit losses. As of March 31, 2026, a hypothetical increase of 100-basis points in interest rates would not have a material impact on the value of our cash and cash equivalents or short- and long-term investments in our consolidated financial statements. This estimate is based on a sensitivity model that measures market value changes when changes in interest rates occur. We do not currently hedge our interest rate exposure and do not enter into financial instruments for trading or speculative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exposed to the impact of changes in interest rates in connection with borrowings under the Revolving Credit Facility. Borrowings under the Revolving Credit Facility may be drawn as either Base Rate Loans or Term SOFR Loans. Base Rate Loans bear interest at the highest of the federal funds rate plus 0.50%, the Bank of America prime rate, or one-month Term SOFR plus 1.00%, in each case subject to a 1.00% floor, plus an applicable margin ranging from 0.125% to 0.875%. Term SOFR Loans bear interest at SOFR plus an applicable margin ranging from 1.125% to 1.875%. Consequently, our interest expense would fluctuate if we were to borrow any amounts under the Revolving Credit Facility as a result of the floating interest rates applicable to such borrowings and potential changes in the applicable margin resulting from changes to our total consolidated leverage ratio. As of March 31, 2026, there were no outstanding borrowings under the revolving credit facility.</w:t>
      </w:r>
    </w:p>
    <w:p>
      <w:pPr>
        <w:pStyle w:val="TextBody"/>
        <w:bidi w:val="0"/>
        <w:spacing w:before="240" w:after="283"/>
        <w:jc w:val="left"/>
        <w:rPr>
          <w:rFonts w:ascii="Times New Roman" w:hAnsi="Times New Roman"/>
          <w:color w:val="000000"/>
          <w:sz w:val="20"/>
        </w:rPr>
      </w:pPr>
      <w:bookmarkStart w:id="12" w:name="item_4_controls_procedures"/>
      <w:bookmarkEnd w:id="12"/>
      <w:r>
        <w:rPr>
          <w:rFonts w:ascii="Times New Roman" w:hAnsi="Times New Roman"/>
          <w:color w:val="000000"/>
          <w:sz w:val="20"/>
        </w:rPr>
        <w:t>Item 4. Controls and Procedures</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Evaluation of Disclosure Controls and Procedures</w:t>
      </w:r>
      <w:r>
        <w:rPr>
          <w:rFonts w:ascii="Times New Roman" w:hAnsi="Times New Roman"/>
          <w:color w:val="000000"/>
          <w:sz w:val="20"/>
        </w:rPr>
        <w:t>. 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Changes in Internal Control Over Financial Reporting</w:t>
      </w:r>
      <w:r>
        <w:rPr>
          <w:rFonts w:ascii="Times New Roman" w:hAnsi="Times New Roman"/>
          <w:color w:val="000000"/>
          <w:sz w:val="20"/>
        </w:rPr>
        <w:t xml:space="preserve">. 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Inherent Limitations of Internal Controls</w:t>
      </w:r>
      <w:r>
        <w:rPr>
          <w:rFonts w:ascii="Times New Roman" w:hAnsi="Times New Roman"/>
          <w:color w:val="000000"/>
          <w:sz w:val="20"/>
        </w:rPr>
        <w:t>. 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13" w:name="part_ii"/>
      <w:bookmarkEnd w:id="1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240" w:after="283"/>
        <w:jc w:val="left"/>
        <w:rPr/>
      </w:pPr>
      <w:r>
        <w:rPr/>
        <w:t> </w:t>
      </w:r>
    </w:p>
    <w:p>
      <w:pPr>
        <w:pStyle w:val="TextBody"/>
        <w:bidi w:val="0"/>
        <w:spacing w:before="20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An investment in our common stock involves a high degree of risk. You should carefully consider the risks described below and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Quarterly Report on Form 10-Q and in our other public filings. The trading price of our common stock could decline due to any of these risks, and, as a result, you may lose all or part of your investment.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br/>
        <w:t>Risks Related to Our Business and Strategy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dependent upon customer renewals, the addition of new customers, increased revenue from existing customers and the continued growth of the market for a customer platform.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derive, and expect to continue to derive, a substantial portion of our revenue from the sale of subscriptions to our customer platform. The market for marketing, sales, service, operations, commerce and customer management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or strategically choose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and our recent seats-based and consumption-based pricing model changes) intended to provide opportunities to increase the value of our customer relationships over time, including as customers expand their use of our platform, or we sell to other parts of their organizations, cross-sell additional products and seats through touchless or low touch in product purchases, and upsell additional offerings and features. Our consumption-based pricing strategies are novel and evolving. Due to customer flexibility in the timing of their use of our platform, we could have less predictability from our consumption-based products than we do for our subscription-based products, and there is a risk that customers could use our consumption-based products at lower levels than we expect. If our scalable pricing and cross-selling efforts are unsuccessful or if our existing customers do not expand their use of our platform or adopt additional offerings and features, or if the anticipated benefits from scalable pricing take longer to realize or are not realized at all, our revenue and operating results may suffer.</w:t>
      </w:r>
    </w:p>
    <w:p>
      <w:pPr>
        <w:pStyle w:val="TextBody"/>
        <w:bidi w:val="0"/>
        <w:jc w:val="left"/>
        <w:rPr>
          <w:rFonts w:ascii="Times New Roman" w:hAnsi="Times New Roman"/>
          <w:b/>
          <w:i/>
          <w:color w:val="000000"/>
          <w:sz w:val="20"/>
        </w:rPr>
      </w:pPr>
      <w:r>
        <w:rPr>
          <w:rFonts w:ascii="Times New Roman" w:hAnsi="Times New Roman"/>
          <w:b/>
          <w:i/>
          <w:color w:val="000000"/>
          <w:sz w:val="20"/>
        </w:rPr>
        <w:t>Our subscription renewal rates may decrease, and any decrease could harm our future revenue and operating results.</w:t>
      </w:r>
    </w:p>
    <w:p>
      <w:pPr>
        <w:pStyle w:val="TextBody"/>
        <w:bidi w:val="0"/>
        <w:jc w:val="left"/>
        <w:rPr>
          <w:rFonts w:ascii="Times New Roman" w:hAnsi="Times New Roman"/>
          <w:color w:val="000000"/>
          <w:sz w:val="20"/>
        </w:rPr>
      </w:pPr>
      <w:r>
        <w:rPr>
          <w:rFonts w:ascii="Times New Roman" w:hAnsi="Times New Roman"/>
          <w:color w:val="000000"/>
          <w:sz w:val="20"/>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In addition, we do not record deferred revenue beyond amounts invoiced as a liability on our consolidated balance sheets.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 </w:t>
      </w:r>
    </w:p>
    <w:p>
      <w:pPr>
        <w:pStyle w:val="TextBody"/>
        <w:bidi w:val="0"/>
        <w:jc w:val="left"/>
        <w:rPr>
          <w:rFonts w:ascii="Times New Roman" w:hAnsi="Times New Roman"/>
          <w:b/>
          <w:i/>
          <w:color w:val="000000"/>
          <w:sz w:val="20"/>
        </w:rPr>
      </w:pPr>
      <w:r>
        <w:rPr>
          <w:rFonts w:ascii="Times New Roman" w:hAnsi="Times New Roman"/>
          <w:b/>
          <w:i/>
          <w:color w:val="000000"/>
          <w:sz w:val="20"/>
        </w:rPr>
        <w:t>We face significant competition from both established and new companies in the software market in which we operate, which may harm our ability to add new customers, retain existing customers and grow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The software market in which we operate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 </w:t>
      </w:r>
    </w:p>
    <w:p>
      <w:pPr>
        <w:pStyle w:val="TextBody"/>
        <w:bidi w:val="0"/>
        <w:jc w:val="left"/>
        <w:rPr>
          <w:rFonts w:ascii="Times New Roman" w:hAnsi="Times New Roman"/>
          <w:color w:val="000000"/>
          <w:sz w:val="20"/>
        </w:rPr>
      </w:pPr>
      <w:r>
        <w:rPr>
          <w:rFonts w:ascii="Times New Roman" w:hAnsi="Times New Roman"/>
          <w:color w:val="000000"/>
          <w:sz w:val="20"/>
        </w:rPr>
        <w:t>We face intense competition from other software companies in the market we operate that provide interactive marketing services. Competition could significantly impede our ability to sell subscriptions to our customer platform on terms favorable to us. Our current and potential competitors may develop and market new technologies including as a result of new or better use of evolving AI technologies, whether through greater investments in AI development, access to higher quality training datasets, or more advanced AI models, that render our existing or future products less competitive, or obsolete. We may also face greater competition from non-specialist solutions relying on generic large language models (“LLMs”), generative AI and general-purpose agents to address a broad range of business needs. As we attempt to sell our products and solutions to new and existing customers, we must convince them that our products and solutions are superior to other solutions available to their organizations, including generic LLMs, software created using natural language prompts and generative AI (referred to as vibe coding) and other emerging technologies.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pStyle w:val="TextBody"/>
        <w:bidi w:val="0"/>
        <w:jc w:val="left"/>
        <w:rPr>
          <w:rFonts w:ascii="Times New Roman" w:hAnsi="Times New Roman"/>
          <w:color w:val="000000"/>
          <w:sz w:val="20"/>
        </w:rPr>
      </w:pPr>
      <w:r>
        <w:rPr>
          <w:rFonts w:ascii="Times New Roman" w:hAnsi="Times New Roman"/>
          <w:color w:val="000000"/>
          <w:sz w:val="20"/>
        </w:rPr>
        <w:t>Our competitors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cloud-based marketing automation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email marketing software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force automation and CRM software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large-scale enterprise suites;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service software providers;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content management systems.</w:t>
      </w:r>
    </w:p>
    <w:p>
      <w:pPr>
        <w:pStyle w:val="TextBody"/>
        <w:bidi w:val="0"/>
        <w:jc w:val="left"/>
        <w:rPr>
          <w:rFonts w:ascii="Times New Roman" w:hAnsi="Times New Roman"/>
          <w:color w:val="000000"/>
          <w:sz w:val="20"/>
        </w:rPr>
      </w:pPr>
      <w:r>
        <w:rPr>
          <w:rFonts w:ascii="Times New Roman" w:hAnsi="Times New Roman"/>
          <w:color w:val="000000"/>
          <w:sz w:val="20"/>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sales and CRM offerings. Some of these companies have acquired social media marketing and other marketing software providers to integrate with their broader offerings.</w:t>
      </w:r>
    </w:p>
    <w:p>
      <w:pPr>
        <w:pStyle w:val="TextBody"/>
        <w:bidi w:val="0"/>
        <w:jc w:val="left"/>
        <w:rPr>
          <w:rFonts w:ascii="Times New Roman" w:hAnsi="Times New Roman"/>
          <w:color w:val="000000"/>
          <w:sz w:val="20"/>
        </w:rPr>
      </w:pPr>
      <w:r>
        <w:rPr>
          <w:rFonts w:ascii="Times New Roman" w:hAnsi="Times New Roman"/>
          <w:color w:val="000000"/>
          <w:sz w:val="20"/>
        </w:rPr>
        <w:t xml:space="preserve">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a customer platform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customer platform could substantially decline.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if one or more of our competitors were to merge or partner with another of our competitors, our ability to compete effectively could be adversely affected. Our competitors may also establish or strengthen cooperative relationships with our current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 </w:t>
      </w:r>
    </w:p>
    <w:p>
      <w:pPr>
        <w:pStyle w:val="TextBody"/>
        <w:bidi w:val="0"/>
        <w:jc w:val="left"/>
        <w:rPr>
          <w:rFonts w:ascii="Times New Roman" w:hAnsi="Times New Roman"/>
          <w:b/>
          <w:i/>
          <w:color w:val="000000"/>
          <w:sz w:val="20"/>
        </w:rPr>
      </w:pPr>
      <w:r>
        <w:rPr>
          <w:rFonts w:ascii="Times New Roman" w:hAnsi="Times New Roman"/>
          <w:b/>
          <w:i/>
          <w:color w:val="000000"/>
          <w:sz w:val="20"/>
        </w:rPr>
        <w:t>We have experienced significant growth and organizational change in prior periods and may continue to experience growth of headcount and operations over the long-term. Such historical trends, including growth rates, may not continue in the future, and if we fail to manage growth and organizational change effectively, we may be unable to execute our business plan, maintain high levels of service or address competitive challenges adequately.</w:t>
      </w:r>
    </w:p>
    <w:p>
      <w:pPr>
        <w:pStyle w:val="TextBody"/>
        <w:bidi w:val="0"/>
        <w:jc w:val="left"/>
        <w:rPr>
          <w:rFonts w:ascii="Times New Roman" w:hAnsi="Times New Roman"/>
          <w:color w:val="000000"/>
          <w:sz w:val="20"/>
        </w:rPr>
      </w:pPr>
      <w:r>
        <w:rPr>
          <w:rFonts w:ascii="Times New Roman" w:hAnsi="Times New Roman"/>
          <w:color w:val="000000"/>
          <w:sz w:val="20"/>
        </w:rPr>
        <w:t>Our headcount and operations have grown and may continue to grow. For example, we had 9,021 full-time employees as of March 31, 2026 and 8,882 as of December 31, 2025. To date, we have opened several international offices. This growth has placed, and may continue to place, a significant strain on our management, administrative, operational and financial infrastructure. Although we have experienced significant growth in headcount and operations historically, we may not sustain our current growth rates, which could adversely affect our business performance and operating results. Our success will depend in part upon our ability to recruit, hire, train, manage and integrate qualified managers, technical personnel and employees in specialized roles within our company, including in technology, sales and marketing. Advances in automation and AI may also alter the skills required of our workforce and could reduce demand for certain roles, creating challenges in workforce management, employee relations, and reputational risk. We may be required to make significant investments in retraining and workforce transition programs, and failure to effectively manage these changes could impair our ability to attract and retain talent, disrupt operations, and adversely affect our business. Furthermore, as many of our employees work remotely from geographic areas across jurisdictions where we have offices pursuant to our hybrid workplace model, which provides our employees with the option to be fully remote, work full-time from one of our offices, or have the flexibility to work both in the office and remotely, we may need to reallocate our investment of resources and closely monitor a variety of local regulations and requirements, including local tax laws. We may experience unpredictability in our expenses and employee work culture. If we experience any of these effects in connection with future growth, if our new employees perform poorly, or if we are unsuccessful in recruiting, hiring, training, managing and integrating new employees, or retaining our existing employees, it could materially impair our ability to attract new customers, retain existing customers and expand their use of our platform, all of which would materially and adversely affect our business,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Failure to effectively develop and expand our customer platform capabilities could harm our ability to increase our customer base and achieve broader market acceptance of our platform.</w:t>
      </w:r>
    </w:p>
    <w:p>
      <w:pPr>
        <w:pStyle w:val="TextBody"/>
        <w:bidi w:val="0"/>
        <w:jc w:val="left"/>
        <w:rPr>
          <w:rFonts w:ascii="Times New Roman" w:hAnsi="Times New Roman"/>
          <w:color w:val="000000"/>
          <w:sz w:val="20"/>
        </w:rPr>
      </w:pPr>
      <w:r>
        <w:rPr>
          <w:rFonts w:ascii="Times New Roman" w:hAnsi="Times New Roman"/>
          <w:color w:val="000000"/>
          <w:sz w:val="20"/>
        </w:rPr>
        <w:t>To increase customers and achieve broader market acceptance of our customer platform, we will need to continue to expand our customer platform capabilities, including our sales force and third-party channel partners. We will continue to dedicate significant resources to sales and marketing programs. The effectiveness of our sales and marketing and third-party channel partners has varied over time and may vary in the future and depends on our ability to maintain and improve our customer platform including with respect to AI and machine learning.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pStyle w:val="TextBody"/>
        <w:bidi w:val="0"/>
        <w:jc w:val="left"/>
        <w:rPr>
          <w:rFonts w:ascii="Times New Roman" w:hAnsi="Times New Roman"/>
          <w:b/>
          <w:i/>
          <w:color w:val="212529"/>
          <w:sz w:val="20"/>
        </w:rPr>
      </w:pPr>
      <w:r>
        <w:rPr>
          <w:rFonts w:ascii="Times New Roman" w:hAnsi="Times New Roman"/>
          <w:b/>
          <w:i/>
          <w:color w:val="212529"/>
          <w:sz w:val="20"/>
        </w:rPr>
        <w:t>The rate of growth of our business depends on the continued participation and level of service of our Solutions Partners.</w:t>
      </w:r>
    </w:p>
    <w:p>
      <w:pPr>
        <w:pStyle w:val="TextBody"/>
        <w:bidi w:val="0"/>
        <w:jc w:val="left"/>
        <w:rPr>
          <w:rFonts w:ascii="Times New Roman" w:hAnsi="Times New Roman"/>
          <w:color w:val="000000"/>
          <w:sz w:val="20"/>
        </w:rPr>
      </w:pPr>
      <w:r>
        <w:rPr>
          <w:rFonts w:ascii="Times New Roman" w:hAnsi="Times New Roman"/>
          <w:color w:val="000000"/>
          <w:sz w:val="20"/>
        </w:rPr>
        <w:t>We rely on our Solutions Partners to provide certain services to our customers, as well as pursue sales of our customer platform to customers. To the extent we do not attract new Solutions Partners, or existing or new Solutions Partners do not refer a growing number of customers to us, due to changes in our Solutions Partner relationship models or otherwise,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maintain our thought leadership position, our business may suffer.</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maintaining our thought leadership position in the customer platform space is an important element in attracting new customers. We devote significant resources to develop and maintain our thought leadership position, with a focus on identifying and interpreting emerging trends, shaping and guiding industry dialog and creating and sharing the best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marketing, sales, services, operations, commerce and content management, and the loss of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key employees in this area could harm our competitive position and reputation. If we fail to successfully grow and maintain our thought leadership position, we may not attract enough new customers or retain our existing customers, and our business could suffer.</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further enhance our brand and maintain our existing strong brand awareness, our ability to expand our customer base will be impaired and our financial condition may suffer.</w:t>
      </w:r>
    </w:p>
    <w:p>
      <w:pPr>
        <w:pStyle w:val="TextBody"/>
        <w:bidi w:val="0"/>
        <w:jc w:val="left"/>
        <w:rPr>
          <w:rFonts w:ascii="Times New Roman" w:hAnsi="Times New Roman"/>
          <w:color w:val="000000"/>
          <w:sz w:val="20"/>
        </w:rPr>
      </w:pPr>
      <w:r>
        <w:rPr>
          <w:rFonts w:ascii="Times New Roman" w:hAnsi="Times New Roman"/>
          <w:color w:val="000000"/>
          <w:sz w:val="20"/>
        </w:rPr>
        <w:t>We believe that our development of the HubSpot brand is critical to achieving widespread awareness of our existing and future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customer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adapt and respond effectively to rapidly changing technology, evolving industry standards and changing customer needs or requirements, our customer platform may become less competitive.</w:t>
      </w:r>
    </w:p>
    <w:p>
      <w:pPr>
        <w:pStyle w:val="TextBody"/>
        <w:bidi w:val="0"/>
        <w:jc w:val="left"/>
        <w:rPr>
          <w:rFonts w:ascii="Times New Roman" w:hAnsi="Times New Roman"/>
          <w:color w:val="000000"/>
          <w:sz w:val="20"/>
        </w:rPr>
      </w:pPr>
      <w:r>
        <w:rPr>
          <w:rFonts w:ascii="Times New Roman" w:hAnsi="Times New Roman"/>
          <w:color w:val="000000"/>
          <w:sz w:val="20"/>
        </w:rPr>
        <w:t>Our future success depends on our ability to adapt and innovate our customer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including AI and machine learning, which will increase our research and development costs. Further, any third-party AI</w:t>
      </w:r>
    </w:p>
    <w:p>
      <w:pPr>
        <w:pStyle w:val="TextBody"/>
        <w:bidi w:val="0"/>
        <w:jc w:val="left"/>
        <w:rPr>
          <w:rFonts w:ascii="Times New Roman" w:hAnsi="Times New Roman"/>
          <w:color w:val="000000"/>
          <w:sz w:val="20"/>
        </w:rPr>
      </w:pPr>
      <w:r>
        <w:rPr>
          <w:rFonts w:ascii="Times New Roman" w:hAnsi="Times New Roman"/>
          <w:color w:val="000000"/>
          <w:sz w:val="20"/>
        </w:rPr>
        <w:t>technologies leveraged in our products and services may not be available on commercially reasonable terms or at all and any loss of rights to use such technologies may significantly increase our expenses or otherwise disrupt or delay the provisioning of</w:t>
      </w:r>
    </w:p>
    <w:p>
      <w:pPr>
        <w:pStyle w:val="TextBody"/>
        <w:bidi w:val="0"/>
        <w:jc w:val="left"/>
        <w:rPr>
          <w:rFonts w:ascii="Times New Roman" w:hAnsi="Times New Roman"/>
          <w:color w:val="000000"/>
          <w:sz w:val="20"/>
        </w:rPr>
      </w:pPr>
      <w:r>
        <w:rPr>
          <w:rFonts w:ascii="Times New Roman" w:hAnsi="Times New Roman"/>
          <w:color w:val="000000"/>
          <w:sz w:val="20"/>
        </w:rPr>
        <w:t>our products and services to customers. If we are unable to develop, license or acquire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customer platform is provided via the cloud, which, itself, was disruptive to the previous enterprise software model. If new technologies emerge that are able to deliver marketing software and related applications at lower prices, more efficiently, more conveniently or more securely, such technologies could adversely affect our ability to compete.</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offer high-quality customer support, our business and reputation may suffer.</w:t>
      </w:r>
    </w:p>
    <w:p>
      <w:pPr>
        <w:pStyle w:val="TextBody"/>
        <w:bidi w:val="0"/>
        <w:jc w:val="left"/>
        <w:rPr>
          <w:rFonts w:ascii="Times New Roman" w:hAnsi="Times New Roman"/>
          <w:color w:val="000000"/>
          <w:sz w:val="20"/>
        </w:rPr>
      </w:pPr>
      <w:r>
        <w:rPr>
          <w:rFonts w:ascii="Times New Roman" w:hAnsi="Times New Roman"/>
          <w:color w:val="000000"/>
          <w:sz w:val="20"/>
        </w:rPr>
        <w:t>High-quality education, training and customer support are important for the successful marketing, sale and use of our customer platform and for the renewal of existing customers. Providing this education, training and support requires that our personnel who manage our online training resource, HubSpot Academy, or provide customer support have specific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customer platform and provide effective ongoing support, our ability to sell additional functionality and services to, or to retain, existing customers may suffer and our reputation with existing or potential customers may be harmed.</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able to scale our business quickly enough to meet our customers’ growing needs and if we are not able to grow efficiently, our operating results could be harmed.</w:t>
      </w:r>
    </w:p>
    <w:p>
      <w:pPr>
        <w:pStyle w:val="TextBody"/>
        <w:bidi w:val="0"/>
        <w:jc w:val="left"/>
        <w:rPr>
          <w:rFonts w:ascii="Times New Roman" w:hAnsi="Times New Roman"/>
          <w:color w:val="000000"/>
          <w:sz w:val="20"/>
        </w:rPr>
      </w:pPr>
      <w:r>
        <w:rPr>
          <w:rFonts w:ascii="Times New Roman" w:hAnsi="Times New Roman"/>
          <w:color w:val="000000"/>
          <w:sz w:val="20"/>
        </w:rPr>
        <w:t xml:space="preserve">As usage of our customer platform grows and as customers use our platform for additional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customer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w:t>
      </w:r>
    </w:p>
    <w:p>
      <w:pPr>
        <w:pStyle w:val="TextBody"/>
        <w:bidi w:val="0"/>
        <w:jc w:val="left"/>
        <w:rPr>
          <w:rFonts w:ascii="Times New Roman" w:hAnsi="Times New Roman"/>
          <w:sz w:val="20"/>
        </w:rPr>
      </w:pPr>
      <w:r>
        <w:rPr>
          <w:rFonts w:ascii="Times New Roman" w:hAnsi="Times New Roman"/>
          <w:b/>
          <w:i/>
          <w:color w:val="000000"/>
          <w:sz w:val="20"/>
        </w:rPr>
        <w:t>Our ability to introduce new products and features, including new products and features that utilize AI,</w:t>
      </w:r>
      <w:r>
        <w:rPr>
          <w:rFonts w:ascii="Times New Roman" w:hAnsi="Times New Roman"/>
          <w:color w:val="000000"/>
          <w:sz w:val="20"/>
        </w:rPr>
        <w:t xml:space="preserve"> </w:t>
      </w:r>
      <w:r>
        <w:rPr>
          <w:rFonts w:ascii="Times New Roman" w:hAnsi="Times New Roman"/>
          <w:b/>
          <w:i/>
          <w:color w:val="000000"/>
          <w:sz w:val="20"/>
        </w:rPr>
        <w:t>is dependent on adequate research and development resources. If we do not adequately fund our research and development efforts, we may not be able to compete effectively and our business and operating results may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remain competitive, we must continue to develop new product offerings, applications, features and enhancements to our existing customer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including recruiting and retaining highly qualified personnel, (particularly with AI and machine learning backgrounds), or to compete effectively with the research and development programs of our competitors could materially adversely affect our business.</w:t>
      </w:r>
    </w:p>
    <w:p>
      <w:pPr>
        <w:pStyle w:val="TextBody"/>
        <w:bidi w:val="0"/>
        <w:jc w:val="left"/>
        <w:rPr>
          <w:rFonts w:ascii="Times New Roman" w:hAnsi="Times New Roman"/>
          <w:color w:val="000000"/>
          <w:sz w:val="20"/>
        </w:rPr>
      </w:pPr>
      <w:r>
        <w:rPr>
          <w:rFonts w:ascii="Times New Roman" w:hAnsi="Times New Roman"/>
          <w:color w:val="000000"/>
          <w:sz w:val="20"/>
        </w:rPr>
        <w:t>The development of next-generation solutions that utilize new and advanced features, including AI and machine learning, such as Breeze, involves making predictions regarding the willingness of the market to adopt such technologies over legacy solutions. The Company may be required to commit significant resources to developing new products, software and services, such as Breeze, before knowing whether such investment will result in products or services that the market will accept.</w:t>
      </w:r>
    </w:p>
    <w:p>
      <w:pPr>
        <w:pStyle w:val="TextBody"/>
        <w:bidi w:val="0"/>
        <w:jc w:val="left"/>
        <w:rPr>
          <w:rFonts w:ascii="Times New Roman" w:hAnsi="Times New Roman"/>
          <w:color w:val="000000"/>
          <w:sz w:val="20"/>
        </w:rPr>
      </w:pPr>
      <w:r>
        <w:rPr>
          <w:rFonts w:ascii="Times New Roman" w:hAnsi="Times New Roman"/>
          <w:color w:val="000000"/>
          <w:sz w:val="20"/>
        </w:rPr>
        <w:t>The Company’s inability, for technological, legal or other reasons, some of which may be beyond the Company’s control, to enhance, develop, introduce and monetize products and services in a timely manner, or at all, in response to changing market conditions or customer requirements could have a material adverse effect on the Company’s business, results of operations and financial condition or could result in its products and services not achieving market acceptance or becoming obsolete. In addition, if the Company fails to deliver a compelling customer experience or accurately predict emerging technological trends and the changing needs of customers and end users, or if the features of its new products and services do not meet the demands of its customers or are not sufficiently differentiated from those of its competitors, the Company’s business, results of operations and financial condition could be materially harmed.</w:t>
      </w:r>
    </w:p>
    <w:p>
      <w:pPr>
        <w:pStyle w:val="TextBody"/>
        <w:bidi w:val="0"/>
        <w:jc w:val="left"/>
        <w:rPr>
          <w:rFonts w:ascii="Times New Roman" w:hAnsi="Times New Roman"/>
          <w:color w:val="000000"/>
          <w:sz w:val="20"/>
        </w:rPr>
      </w:pPr>
      <w:r>
        <w:rPr>
          <w:rFonts w:ascii="Times New Roman" w:hAnsi="Times New Roman"/>
          <w:color w:val="000000"/>
          <w:sz w:val="20"/>
        </w:rPr>
        <w:t>Uncertainty around new and emerging AI applications such as agentic AI technologies and generative AI content creation, including Breeze, may require additional investment in the development or acquisition of proprietary datasets, machine learning models and other AI systems to test for accuracy, bias and other variables, which are often complex. Development of new approaches and processes to provide attribution or remuneration to content creators and building and/or integrating systems that enable creatives to have greater control over the use of their work in the development of AI may be costly and could impact our profit margin if we are unable to monetize such assets. In addition, AI technologies, including agentic and generative AI tools, may create content, analyses or recommendations without human intervention that take or suggest actions based on incomplete or inaccurate data, “hallucinatory” inferences, or flawed training inputs, or contain copyrighted or other protected material, and if our customers or others use this flawed or protected content or materials to their detriment, we may be exposed to brand or reputational harm, competitive harm, and/or legal liability. Developing, testing and deploying AI systems may also increase the cost profile of our offerings due to the nature of the computing costs involved in such systems.</w:t>
      </w:r>
    </w:p>
    <w:p>
      <w:pPr>
        <w:pStyle w:val="TextBody"/>
        <w:bidi w:val="0"/>
        <w:jc w:val="left"/>
        <w:rPr>
          <w:rFonts w:ascii="Times New Roman" w:hAnsi="Times New Roman"/>
          <w:b/>
          <w:i/>
          <w:color w:val="000000"/>
          <w:sz w:val="20"/>
        </w:rPr>
      </w:pPr>
      <w:r>
        <w:rPr>
          <w:rFonts w:ascii="Times New Roman" w:hAnsi="Times New Roman"/>
          <w:b/>
          <w:i/>
          <w:color w:val="000000"/>
          <w:sz w:val="20"/>
        </w:rPr>
        <w:t>Changes in the sizes or types of businesses that purchase our platform or in the applications within our customer platform purchased or used by our customers could negatively affect our operating results.</w:t>
      </w:r>
    </w:p>
    <w:p>
      <w:pPr>
        <w:pStyle w:val="TextBody"/>
        <w:bidi w:val="0"/>
        <w:jc w:val="left"/>
        <w:rPr>
          <w:rFonts w:ascii="Times New Roman" w:hAnsi="Times New Roman"/>
          <w:sz w:val="20"/>
        </w:rPr>
      </w:pPr>
      <w:r>
        <w:rPr>
          <w:rFonts w:ascii="Times New Roman" w:hAnsi="Times New Roman"/>
          <w:color w:val="000000"/>
          <w:sz w:val="20"/>
        </w:rPr>
        <w:t>Our strategy is to sell subscriptions to our customer platform to mid-sized businesses, but we have sold and will continue to sell to organizations ranging from small businesses to enterprises. Our gross margins can vary depending on numerous factors related to the implementation and use of our customer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br/>
      </w:r>
      <w:r>
        <w:rPr>
          <w:rFonts w:ascii="Times New Roman" w:hAnsi="Times New Roman"/>
          <w:color w:val="000000"/>
          <w:sz w:val="24"/>
        </w:rPr>
        <w:br/>
      </w:r>
      <w:r>
        <w:rPr>
          <w:rFonts w:ascii="Times New Roman" w:hAnsi="Times New Roman"/>
          <w:b/>
          <w:i/>
          <w:color w:val="000000"/>
          <w:sz w:val="20"/>
        </w:rPr>
        <w:t>We have in the past completed acquisitions and may continue to acquire or invest in other companies or technologies in the future, which could divert management’s attention, fail to meet our expectations, result in additional dilution to our stockholders, increase expenses, disrupt our operations or harm our operating results.</w:t>
      </w:r>
    </w:p>
    <w:p>
      <w:pPr>
        <w:pStyle w:val="TextBody"/>
        <w:bidi w:val="0"/>
        <w:jc w:val="left"/>
        <w:rPr>
          <w:rFonts w:ascii="Times New Roman" w:hAnsi="Times New Roman"/>
          <w:color w:val="000000"/>
          <w:sz w:val="20"/>
        </w:rPr>
      </w:pPr>
      <w:r>
        <w:rPr>
          <w:rFonts w:ascii="Times New Roman" w:hAnsi="Times New Roman"/>
          <w:color w:val="000000"/>
          <w:sz w:val="20"/>
        </w:rPr>
        <w:t>We have in the past acquired, and we may in the future acquire or invest in, businesses, products or technologies that we believe could complement or expand our platform, enhance our technical capabilities or otherwise offer growth opportunities. For example, in April 2026, we acquired 100% of the membership interests of Futurepedia. We may not be able to fully realize the anticipated benefits of historical or any future acquisitions. The pursuit of potential acquisitions may divert the attention of management and cause us to incur various expenses related to identifying, investigating and pursuing suitable acquisitions, whether or not they are consummated.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the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and use of substantial portions of our available cash or the incurrence of debt to consummate the acquisition. Acquisitions also increase the risk of unforeseen legal and compliance liabilities, including for potential violations of applicable law or industry rules and regulations, arising from prior or ongoing acts or omissions by the acquired businesses which are not discovered by due diligence during the acquisition process, including data handling, cybersecurity risks and privacy violations.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 </w:t>
      </w:r>
    </w:p>
    <w:p>
      <w:pPr>
        <w:pStyle w:val="TextBody"/>
        <w:bidi w:val="0"/>
        <w:spacing w:before="0" w:after="160"/>
        <w:jc w:val="both"/>
        <w:rPr>
          <w:rFonts w:ascii="Times New Roman" w:hAnsi="Times New Roman"/>
          <w:sz w:val="20"/>
        </w:rPr>
      </w:pPr>
      <w:r>
        <w:rPr>
          <w:rFonts w:ascii="Times New Roman" w:hAnsi="Times New Roman"/>
          <w:b/>
          <w:i/>
          <w:color w:val="000000"/>
          <w:sz w:val="20"/>
        </w:rPr>
        <w:t>We are subject to risks associated with our strategic investments, including partial or complete loss of invested capital. Significant changes in the fair value of this portfolio, including changes in the valuation of our investments in privately held companies, could negatively impact our financial results.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made, and expect in the future to make, strategic investments in privately held companies and private limited partnerships. While we invest in companies that we believe have the potential to transform their industries, improve customer experiences, help us expand our solution ecosystem or support other corporate initiatives, we may still experience unforeseen brand or reputational harm associated with our investments. We may also experience challenges from regulatory authorities in connection with our investments, including from antitrust authorities who are increasingly scrutinizing technology investments, and which may lead to unforeseen expenditures or which may block, delay or impose undesirable conditions on transactions involving our investment portfolio. Our investments range from early-stage companies to more mature companies with established revenue streams and business models. Many such companies generate net losses and the market for their products, services or technologies may be slow to develop, and, therefore, they are dependent on the availability of later rounds of financing from banks or investors on favorable terms to continue their operations. Investments in early-stage companies are inherently speculative, as these companies may not yet be revenue-generating and could still be in the process of developing their products and services at the time of our investment. The financial success of our investment in any company or partnership is typically dependent on a liquidity event, such as a public offering, acquisition or other favorable market event reflecting appreciation to the cost of our initial investment. In certain cases, our ability to sell these investments may be impacted by contractual obligations to hold the securities for a set period of time after a public offering. All of our investments are subject to a risk of partial or total loss of invested capital.</w:t>
      </w:r>
    </w:p>
    <w:p>
      <w:pPr>
        <w:pStyle w:val="TextBody"/>
        <w:bidi w:val="0"/>
        <w:jc w:val="left"/>
        <w:rPr>
          <w:rFonts w:ascii="Times New Roman" w:hAnsi="Times New Roman"/>
          <w:color w:val="000000"/>
          <w:sz w:val="20"/>
        </w:rPr>
      </w:pPr>
      <w:r>
        <w:rPr>
          <w:rFonts w:ascii="Times New Roman" w:hAnsi="Times New Roman"/>
          <w:color w:val="000000"/>
          <w:sz w:val="20"/>
        </w:rPr>
        <w:t>We may experience future volatility in our consolidated statements of operations due to changes in market prices, observable price changes and impairments of our strategic investments. The resulting gains or losses could be material depending on market conditions and events, particularly in periods with economic uncertainty, inflation, geopolitical conflict, volatile public equity markets or unsettled global market conditions.</w:t>
      </w:r>
    </w:p>
    <w:p>
      <w:pPr>
        <w:pStyle w:val="TextBody"/>
        <w:bidi w:val="0"/>
        <w:jc w:val="left"/>
        <w:rPr>
          <w:rFonts w:ascii="Times New Roman" w:hAnsi="Times New Roman"/>
          <w:b/>
          <w:i/>
          <w:color w:val="000000"/>
          <w:sz w:val="20"/>
        </w:rPr>
      </w:pPr>
      <w:r>
        <w:rPr>
          <w:rFonts w:ascii="Times New Roman" w:hAnsi="Times New Roman"/>
          <w:b/>
          <w:i/>
          <w:color w:val="000000"/>
          <w:sz w:val="20"/>
        </w:rPr>
        <w:t>Because our long-term growth strategy involves further expansion of our sales to customers outside the United States, our business will be susceptible to risks associated with international operations.</w:t>
      </w:r>
    </w:p>
    <w:p>
      <w:pPr>
        <w:pStyle w:val="TextBody"/>
        <w:bidi w:val="0"/>
        <w:jc w:val="left"/>
        <w:rPr>
          <w:rFonts w:ascii="Times New Roman" w:hAnsi="Times New Roman"/>
          <w:color w:val="000000"/>
          <w:sz w:val="20"/>
        </w:rPr>
      </w:pPr>
      <w:r>
        <w:rPr>
          <w:rFonts w:ascii="Times New Roman" w:hAnsi="Times New Roman"/>
          <w:color w:val="000000"/>
          <w:sz w:val="20"/>
        </w:rPr>
        <w:t>A component of our growth strategy involves the further expansion of our operations and customer base internationally. We have formed several international entities and may plan to form additional entities in the future. These international operations focus primarily on sales, professional services and support, and select international locations have development teams. Our current international operations and future initiatives will involve a variety of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maintaining our company culture with a dispersed and distant workforce;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stringent regulations relating to data security and the unauthorized use of, or access to, commercial and personal data, particularly in the European Union;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regulatory requirements, taxes or trade laws, including tariffs or other trade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labor regulations, especially in the European Union, where labor laws are generally more advantageous to employees as compared to the United States, including deemed hourly wage and overtime regulations in these locations;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inherent in efficiently managing an increased number of employees over large geographic distances, including the need to implement appropriate systems, policies, benefits and compliance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managing a business in new markets with diverse cultures, languages, customs, legal systems, alternative dispute systems and regulatory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currency exchange rate fluctuations and the resulting effect on our revenue and expenses, and the cost and risk of entering into hedging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uncertainty caused by global political events, including changes in trade policies, including trade wars, tariffs or other trade restrictions or the threat of such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ability to reinvest earnings from operations in one country to fund the capital needs of our operations in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or insufficient intellectual property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perceptions of U.S.-based companies in the regions where we operate or plan to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perceptions of regions or governments in the regions where we operate or plan to operate, resulting in negative publicity or reputational harm;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international disputes, wars, political instability or terrorist activities, including the conflict in Iran, the Russia-Ukraine conflict, the Israel-Hamas conflict and recent events in Venezuela, and resulting economic instability;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tax burdens and foreign exchange controls that could make it difficult to repatriate earnings and cash.</w:t>
      </w:r>
    </w:p>
    <w:p>
      <w:pPr>
        <w:pStyle w:val="TextBody"/>
        <w:bidi w:val="0"/>
        <w:jc w:val="left"/>
        <w:rPr>
          <w:rFonts w:ascii="Times New Roman" w:hAnsi="Times New Roman"/>
          <w:color w:val="000000"/>
          <w:sz w:val="20"/>
        </w:rPr>
      </w:pPr>
      <w:r>
        <w:rPr>
          <w:rFonts w:ascii="Times New Roman" w:hAnsi="Times New Roman"/>
          <w:color w:val="000000"/>
          <w:sz w:val="20"/>
        </w:rPr>
        <w:t>Our limited experience in operating our business internationally increases the risk that any potential future expansion efforts that we may undertake will not be successful. If in the future,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pStyle w:val="TextBody"/>
        <w:bidi w:val="0"/>
        <w:jc w:val="left"/>
        <w:rPr>
          <w:rFonts w:ascii="Times New Roman" w:hAnsi="Times New Roman"/>
          <w:sz w:val="20"/>
        </w:rPr>
      </w:pPr>
      <w:r>
        <w:rPr>
          <w:rFonts w:ascii="Times New Roman" w:hAnsi="Times New Roman"/>
          <w:b/>
          <w:i/>
          <w:color w:val="000000"/>
          <w:sz w:val="20"/>
        </w:rPr>
        <w:t>Social and ethical issues relating to the use of new and evolving technologies, such as AI, in our offerings may result in reputational harm and liability.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Social and ethical issues relating to the use of new and evolving technologies such as AI in our offerings, may result in reputational harm and liability, and may cause us to incur additional research and development costs to resolve such issues. We are increasingly building AI into many of our offerings, including early-stage agentic and generative AI features. As with many innovations, AI presents risks and challenges that could affect its adoption, and therefore our business. If we enable or offer solutions that draw controversy due to their perceived or actual impact on human rights, privacy, employment, or in other social contexts,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rapid evolution of AI will require the application of resources to develop, test and maintain our products and services to help ensure that AI is implemented ethically in order to minimize unintended, harmful impact.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Employee Matters</w:t>
      </w:r>
    </w:p>
    <w:p>
      <w:pPr>
        <w:pStyle w:val="TextBody"/>
        <w:bidi w:val="0"/>
        <w:jc w:val="left"/>
        <w:rPr>
          <w:rFonts w:ascii="Times New Roman" w:hAnsi="Times New Roman"/>
          <w:b/>
          <w:i/>
          <w:color w:val="000000"/>
          <w:sz w:val="20"/>
        </w:rPr>
      </w:pPr>
      <w:r>
        <w:rPr>
          <w:rFonts w:ascii="Times New Roman" w:hAnsi="Times New Roman"/>
          <w:b/>
          <w:i/>
          <w:color w:val="000000"/>
          <w:sz w:val="20"/>
        </w:rPr>
        <w:t>If we cannot maintain our company culture as we experience changes in our workforce, we could lose the innovation, teamwork, passion and focus on execution that we believe contribute to our success and our business may be harmed.</w:t>
      </w:r>
    </w:p>
    <w:p>
      <w:pPr>
        <w:pStyle w:val="TextBody"/>
        <w:bidi w:val="0"/>
        <w:jc w:val="left"/>
        <w:rPr>
          <w:rFonts w:ascii="Times New Roman" w:hAnsi="Times New Roman"/>
          <w:color w:val="000000"/>
          <w:sz w:val="20"/>
        </w:rPr>
      </w:pPr>
      <w:r>
        <w:rPr>
          <w:rFonts w:ascii="Times New Roman" w:hAnsi="Times New Roman"/>
          <w:color w:val="000000"/>
          <w:sz w:val="20"/>
        </w:rPr>
        <w:t>We believe that a critical component to our success has been our company culture, which is based on transparency and personal autonomy. We have invested substantial time and resources in building our team within this company culture. We offer a hybrid workplace model, which means our employees have the option to be fully remote, work full-time from one of our offices, or work both in the office and remotely. Preservation of our corporate culture has been made more difficult as the majority of our workforce works from home. Any failure to preserve our culture could negatively affect our ability to retain and recruit personnel and to effectively focus on and pursue our corporate objectives. As we grow and continue to develop our company infrastructure, and experience organizational change, we may find it difficult to maintain these important aspects of our company culture and our business may be adversely impacted.</w:t>
      </w:r>
    </w:p>
    <w:p>
      <w:pPr>
        <w:pStyle w:val="TextBody"/>
        <w:bidi w:val="0"/>
        <w:jc w:val="left"/>
        <w:rPr>
          <w:rFonts w:ascii="Times New Roman" w:hAnsi="Times New Roman"/>
          <w:b/>
          <w:i/>
          <w:color w:val="000000"/>
          <w:sz w:val="20"/>
        </w:rPr>
      </w:pPr>
      <w:r>
        <w:rPr>
          <w:rFonts w:ascii="Times New Roman" w:hAnsi="Times New Roman"/>
          <w:b/>
          <w:i/>
          <w:color w:val="000000"/>
          <w:sz w:val="20"/>
        </w:rPr>
        <w:t>We rely on our management team and other key employees, and the loss of one or more key employees could harm our business.</w:t>
      </w:r>
    </w:p>
    <w:p>
      <w:pPr>
        <w:pStyle w:val="TextBody"/>
        <w:bidi w:val="0"/>
        <w:jc w:val="left"/>
        <w:rPr>
          <w:rFonts w:ascii="Times New Roman" w:hAnsi="Times New Roman"/>
          <w:color w:val="000000"/>
          <w:sz w:val="20"/>
        </w:rPr>
      </w:pPr>
      <w:r>
        <w:rPr>
          <w:rFonts w:ascii="Times New Roman" w:hAnsi="Times New Roman"/>
          <w:color w:val="000000"/>
          <w:sz w:val="20"/>
        </w:rPr>
        <w:t>Our success and future growth depend upon the continued services of our management team, including our co-founder, Dharmesh Shah, our chief executive officer, Yamini Rangan, and other key employees in the areas of research and development, marketing, sales, services, operations,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The failure to attract and retain additional qualified personnel could prevent us from executing our business strategy.</w:t>
      </w:r>
    </w:p>
    <w:p>
      <w:pPr>
        <w:pStyle w:val="TextBody"/>
        <w:bidi w:val="0"/>
        <w:jc w:val="left"/>
        <w:rPr>
          <w:rFonts w:ascii="Times New Roman" w:hAnsi="Times New Roman"/>
          <w:color w:val="000000"/>
          <w:sz w:val="20"/>
        </w:rPr>
      </w:pPr>
      <w:r>
        <w:rPr>
          <w:rFonts w:ascii="Times New Roman" w:hAnsi="Times New Roman"/>
          <w:color w:val="000000"/>
          <w:sz w:val="20"/>
        </w:rPr>
        <w:t>To execute our business strategy, we must attract and retain highly qualified personnel. In particular, we compete with many other companies for software developers with high levels of experience in designing, developing and managing cloud-based software, or with AI and machine learning backgrounds, as well as for skilled information technology, marketing, sales and operations professionals, and we may not be successful in attracting and retaining the professionals we need. Also, our customer platform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worldwide, particularly for engineers with experience in AI. Many of the companies with which we compete for experienced personnel have greater resources than we do. Other companies that continue to offer a remote or hybrid work environment may increase the competition for such employees from employers outside of our traditional office locations. In addition, if we choose to no longer offer a remote or hybrid work environment, we may face more difficulty in retaining our workforce. Further, labor is subject to external factors that are beyond our control, including our industry’s highly competitive market for skilled workers and leaders, cost inflation, and workforce participation rates. In addition, if our reputation were to be harmed, whether as a result of media, legislative, or regulatory scrutiny or otherwise, it could make it more difficult to attract and retain personnel that are critical to the success of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in making employment decisions, particularly in the software industry, job candidates often consider the value of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br/>
        <w:t>Risks Related to Global Economic Conditions</w:t>
      </w:r>
    </w:p>
    <w:p>
      <w:pPr>
        <w:pStyle w:val="TextBody"/>
        <w:bidi w:val="0"/>
        <w:jc w:val="left"/>
        <w:rPr>
          <w:rFonts w:ascii="Times New Roman" w:hAnsi="Times New Roman"/>
          <w:b/>
          <w:i/>
          <w:color w:val="000000"/>
          <w:sz w:val="20"/>
        </w:rPr>
      </w:pPr>
      <w:r>
        <w:rPr>
          <w:rFonts w:ascii="Times New Roman" w:hAnsi="Times New Roman"/>
          <w:b/>
          <w:i/>
          <w:color w:val="000000"/>
          <w:sz w:val="20"/>
        </w:rPr>
        <w:br/>
        <w:t>We are exposed to fluctuations in currency exchange rates that could adversely affect our financial results.</w:t>
      </w:r>
    </w:p>
    <w:p>
      <w:pPr>
        <w:pStyle w:val="TextBody"/>
        <w:bidi w:val="0"/>
        <w:jc w:val="left"/>
        <w:rPr>
          <w:rFonts w:ascii="Times New Roman" w:hAnsi="Times New Roman"/>
          <w:color w:val="000000"/>
          <w:sz w:val="20"/>
        </w:rPr>
      </w:pPr>
      <w:r>
        <w:rPr>
          <w:rFonts w:ascii="Times New Roman" w:hAnsi="Times New Roman"/>
          <w:color w:val="000000"/>
          <w:sz w:val="20"/>
        </w:rPr>
        <w:t xml:space="preserve">We face exposure to movements in currency exchange rates, which may cause our revenue and operating results to differ materially from expectations. As we have expanded our international operations, our exposure to exchange rate fluctuations has increased. Fluctuations in the value of the U.S. dollar versus foreign currencies may impact our operating results when translated into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U.S. dollars. Thus, our results of operations and cash flows are subject to fluctuations due to changes in foreign currency exchange rates and may be adversely affected in the future due to changes in foreign currency exchange rates.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In the first quarter of 2024, we implemented a hedging program intended to allow us to mitigate foreign exchange impacts, such as exposure to currency exchange rates in connection with significant transactions denominated in currencies other than the U.S. dollar, by entering into derivatives transactions such as foreign exchange forwards. We may also employ certain other strategies in the future to mitigate foreign currency risk. There can be no guarantee or assurance that such hedging program and the strategies we employ pursuant thereto will be effective to reduce or eliminate our exposure to foreign exchange rate fluctuations to the extent we anticipate, or at all. Furthermore, the hedging program and the derivatives transactions employed as part thereof involve costs and risks of their own, including ongoing management time and expertise, external costs to implement the programs and strategies, potential counterparty credit risk and liquidity risk, and potential accounting implications. Additionally, as we anticipate growing our business further outside of the United States, the effects of movements in currency exchange rates will increase as our transaction volume outside of the United States increases.</w:t>
      </w:r>
    </w:p>
    <w:p>
      <w:pPr>
        <w:pStyle w:val="TextBody"/>
        <w:bidi w:val="0"/>
        <w:jc w:val="left"/>
        <w:rPr>
          <w:rFonts w:ascii="Times New Roman" w:hAnsi="Times New Roman"/>
          <w:b/>
          <w:i/>
          <w:color w:val="000000"/>
          <w:sz w:val="20"/>
        </w:rPr>
      </w:pPr>
      <w:r>
        <w:rPr>
          <w:rFonts w:ascii="Times New Roman" w:hAnsi="Times New Roman"/>
          <w:b/>
          <w:i/>
          <w:color w:val="000000"/>
          <w:sz w:val="20"/>
        </w:rPr>
        <w:t>Weakened global economic conditions may harm our industry, business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volatility in the banking sector, changes in the labor market, supply chain disruptions, bankruptcies, inflation and overall uncertainty with respect to the economy, including with respect to trade issues, such as trade wars, tariffs or other trade restrictions or the threat of such actions. For example, on October 1, 2025, the U.S. federal government shut down through November 12, 2025, suspending services deemed non-essential as a result of the failure by Congress to enact regular appropriations for the 2026 fiscal year. If we experience another government shutdown, it could result in increased uncertainty and volatility in the global economy and financial markets which could have an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 Further, weak market conditions have, and could in the future, result in impairment of our investments and long-lived assets.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the economies of countries in Europe have been experiencing weakness associated with high sovereign debt levels, weakness in the banking sector, uncertainty over the future of the Eurozone and volatility in the value of the pound sterling and the Euro and instability resulting from the ongoing conflicts between Russia and Ukraine and in Israel, Gaza, Iran, and in Venezuela. The effects of such conflicts, including any resulting sanctions, export controls or other restrictive actions that may be imposed against governmental or other entities in, for example, Russia, have in the past contributed and may in the future contribute to disruption, instability and volatility in the global markets, including global supply chains and energy markets. We have operations, as well as current and potential new customers, throughout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 </w:t>
      </w:r>
    </w:p>
    <w:p>
      <w:pPr>
        <w:pStyle w:val="TextBody"/>
        <w:bidi w:val="0"/>
        <w:jc w:val="left"/>
        <w:rPr>
          <w:rFonts w:ascii="Times New Roman" w:hAnsi="Times New Roman"/>
          <w:color w:val="000000"/>
          <w:sz w:val="20"/>
        </w:rPr>
      </w:pPr>
      <w:r>
        <w:rPr>
          <w:rFonts w:ascii="Times New Roman" w:hAnsi="Times New Roman"/>
          <w:color w:val="000000"/>
          <w:sz w:val="20"/>
        </w:rPr>
        <w:t>More recently, global inflation rates have increased to levels not seen in several decades, which may result in decreased demand for our products and services, increases in our operating costs, including our labor costs, constrained credit and liquidity, reduced government spending and volatility in financial markets. The Federal Reserve and other international government agencies have raised, and may again raise, interest rates in response to concerns over inflation risk. Increases in interest rates on credit and debt that would increase the cost of any borrowing that we may make from time to time and could impact our ability to access the capital markets.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and services at or above the rate at which our costs increase, which could/would reduce our profit margins and have a material adverse effect on our financial results and net income. We also may experience lower than expected sales and potential adverse impacts on our competitive position if there is a decrease in consumer spending or a negative reaction to our pricing. A reduction in our revenue would be detrimental to our profitability and financial condition and could also have an adverse impact on our future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continues to be uncertainty in the changing market and economic conditions, including the possibility of additional measures that could be taken by the Federal Reserve and other domestic and international government agencies, related to concerns over inflation risk. A sharp rise in interest rates could have an adverse impact on the fair market value of certain securities in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portfolio and investments in some financial instruments could pose risks arising from market liquidity and credit concerns, which could adversely affect our financial results</w:t>
      </w:r>
    </w:p>
    <w:p>
      <w:pPr>
        <w:pStyle w:val="TextBody"/>
        <w:bidi w:val="0"/>
        <w:jc w:val="left"/>
        <w:rPr>
          <w:rFonts w:ascii="Times New Roman" w:hAnsi="Times New Roman"/>
          <w:b/>
          <w:i/>
          <w:color w:val="000000"/>
          <w:sz w:val="20"/>
        </w:rPr>
      </w:pPr>
      <w:r>
        <w:rPr>
          <w:rFonts w:ascii="Times New Roman" w:hAnsi="Times New Roman"/>
          <w:b/>
          <w:i/>
          <w:color w:val="000000"/>
          <w:sz w:val="20"/>
        </w:rPr>
        <w:t>Economic uncertainty may lead to decreased demand for our products and services and otherwise harm our business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Our overall performance depends, in part, on worldwide economic conditions. Impacts of economic weakness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falling overall demand for goods and services, leading to reduced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credit availability;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 borrowing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liquidity;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labor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chain disruptions;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volatility in credit, equity and foreign exchange markets;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bankruptcies. </w:t>
      </w:r>
    </w:p>
    <w:p>
      <w:pPr>
        <w:pStyle w:val="TextBody"/>
        <w:bidi w:val="0"/>
        <w:jc w:val="left"/>
        <w:rPr>
          <w:rFonts w:ascii="Times New Roman" w:hAnsi="Times New Roman"/>
          <w:color w:val="000000"/>
          <w:sz w:val="20"/>
        </w:rPr>
      </w:pPr>
      <w:r>
        <w:rPr>
          <w:rFonts w:ascii="Times New Roman" w:hAnsi="Times New Roman"/>
          <w:color w:val="000000"/>
          <w:sz w:val="20"/>
        </w:rPr>
        <w:t>Economic weakness could lead to inflation, higher interest rates, and uncertainty about business continuity, which may adversely affect our business and our results of operations. As our customers react to global economic conditions and the potential for a global recession, we may see them reduce spending on our products and take additional precautionary measures to limit or delay expenditures and preserve capital and liquidity. Reductions in spending on our solutions, delays in purchasing decisions, lack of renewals, inability to attract new customers, as well as pressure for extended billing terms or pricing discounts, would limit our ability to grow our business and could negatively affect our operating results and financial condition.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Technical Operations Infrastructure and Dependence on Third Parties</w:t>
      </w:r>
    </w:p>
    <w:p>
      <w:pPr>
        <w:pStyle w:val="TextBody"/>
        <w:bidi w:val="0"/>
        <w:jc w:val="left"/>
        <w:rPr>
          <w:rFonts w:ascii="Times New Roman" w:hAnsi="Times New Roman"/>
          <w:b/>
          <w:i/>
          <w:color w:val="000000"/>
          <w:sz w:val="20"/>
        </w:rPr>
      </w:pPr>
      <w:r>
        <w:rPr>
          <w:rFonts w:ascii="Times New Roman" w:hAnsi="Times New Roman"/>
          <w:b/>
          <w:i/>
          <w:color w:val="000000"/>
          <w:sz w:val="20"/>
        </w:rPr>
        <w:b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serve the majority of our platform functions from third-party data center hosting facilities operated by Amazon Web Services (“AWS”) in the United States and Europe. We also have several colocations which host certain critical services (for example, VPN access) in various locations around the world. In addition, we use Cloudflare Global CDN to optimize content delivery across our locations. </w:t>
      </w:r>
    </w:p>
    <w:p>
      <w:pPr>
        <w:pStyle w:val="TextBody"/>
        <w:bidi w:val="0"/>
        <w:jc w:val="left"/>
        <w:rPr>
          <w:rFonts w:ascii="Times New Roman" w:hAnsi="Times New Roman"/>
          <w:color w:val="000000"/>
          <w:sz w:val="20"/>
        </w:rPr>
      </w:pPr>
      <w:r>
        <w:rPr>
          <w:rFonts w:ascii="Times New Roman" w:hAnsi="Times New Roman"/>
          <w:color w:val="000000"/>
          <w:sz w:val="20"/>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geopolitical conflict, vandalism or sabotage, a disruptive cyber-attack, a decision to close a facility without adequate notice, power or telecommunications failures or other unanticipated problems at a facility could result in lengthy interruptions in the availability of our on-demand software. Similarly, security vulnerabilities or data breaches with our third-party providers could impact the security and availability of our platform. In the event that any of our third-party facilities arrangements is terminated, or if there is a lapse of service or damage to a facility, we could experience interruptions in our platform as well as delays and additional expenses in arranging new facilities and services.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If our customer platform has outages or fails due to defects or similar problems, and if we fail to correct any defect or other software problems, we could lose customers, become subject to service performance or warranty claims or incur significant costs.</w:t>
      </w:r>
    </w:p>
    <w:p>
      <w:pPr>
        <w:pStyle w:val="TextBody"/>
        <w:bidi w:val="0"/>
        <w:jc w:val="left"/>
        <w:rPr>
          <w:rFonts w:ascii="Times New Roman" w:hAnsi="Times New Roman"/>
          <w:color w:val="000000"/>
          <w:sz w:val="20"/>
        </w:rPr>
      </w:pPr>
      <w:r>
        <w:rPr>
          <w:rFonts w:ascii="Times New Roman" w:hAnsi="Times New Roman"/>
          <w:color w:val="000000"/>
          <w:sz w:val="20"/>
        </w:rPr>
        <w:t xml:space="preserve">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pStyle w:val="TextBody"/>
        <w:bidi w:val="0"/>
        <w:jc w:val="left"/>
        <w:rPr>
          <w:rFonts w:ascii="Times New Roman" w:hAnsi="Times New Roman"/>
          <w:color w:val="000000"/>
          <w:sz w:val="20"/>
        </w:rPr>
      </w:pPr>
      <w:r>
        <w:rPr>
          <w:rFonts w:ascii="Times New Roman" w:hAnsi="Times New Roman"/>
          <w:color w:val="000000"/>
          <w:sz w:val="20"/>
        </w:rPr>
        <w:t>In addition, third-party applications and features on our customer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pStyle w:val="TextBody"/>
        <w:bidi w:val="0"/>
        <w:jc w:val="left"/>
        <w:rPr>
          <w:rFonts w:ascii="Times New Roman" w:hAnsi="Times New Roman"/>
          <w:sz w:val="20"/>
        </w:rPr>
      </w:pPr>
      <w:r>
        <w:rPr>
          <w:rFonts w:ascii="Times New Roman" w:hAnsi="Times New Roman"/>
          <w:b/>
          <w:i/>
          <w:color w:val="000000"/>
          <w:sz w:val="20"/>
        </w:rPr>
        <w:t>If our information technology systems, including our customer platform, have outages or fail due to defects or similar problems, and if we fail to correct any defect or other software problems, it could disrupt our internal operations or services provided to customers, and could reduce our revenue, increase our expenses, damage our reputation and adversely affect our cash flows and stock price.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our information technology systems, including the sustained and uninterrupted performance of our customer platform, to manage numerous aspects of our business, including marketing, sales, content management, customer service and other internal operations. Our information technology systems are an essential component of our business and any disruption could significantly limit our ability to manage and operate our business efficiently. </w:t>
      </w:r>
    </w:p>
    <w:p>
      <w:pPr>
        <w:pStyle w:val="TextBody"/>
        <w:bidi w:val="0"/>
        <w:jc w:val="left"/>
        <w:rPr>
          <w:rFonts w:ascii="Times New Roman" w:hAnsi="Times New Roman"/>
          <w:color w:val="000000"/>
          <w:sz w:val="20"/>
        </w:rPr>
      </w:pPr>
      <w:r>
        <w:rPr>
          <w:rFonts w:ascii="Times New Roman" w:hAnsi="Times New Roman"/>
          <w:color w:val="000000"/>
          <w:sz w:val="20"/>
        </w:rPr>
        <w:t>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While we seek to implement secure development practices, we cannot eliminate the risk that our applications may have vulnerabilities. From time to time, we find defects in our software and may discover in the future additional defects, outages, delays or cessations of service, performance and quality problems or may produce errors in connection with systems integrations, migration work or other causes, which could result in business disruptions and the process of remediating them could be more expensive, time-consuming, disruptive and resource intensive than planned. Such disruptions could adversely impact our internal operations and interrupt other processes. Delayed sales, lower margins or lost customers resulting from these disruptions could reduce our revenue, increase our expenses, damage our reputation and adversely affect our cash flows and stock price.</w:t>
      </w:r>
    </w:p>
    <w:p>
      <w:pPr>
        <w:pStyle w:val="TextBody"/>
        <w:bidi w:val="0"/>
        <w:jc w:val="left"/>
        <w:rPr>
          <w:rFonts w:ascii="Times New Roman" w:hAnsi="Times New Roman"/>
          <w:b/>
          <w:i/>
          <w:color w:val="000000"/>
          <w:sz w:val="20"/>
        </w:rPr>
      </w:pPr>
      <w:r>
        <w:rPr>
          <w:rFonts w:ascii="Times New Roman" w:hAnsi="Times New Roman"/>
          <w:b/>
          <w:i/>
          <w:color w:val="000000"/>
          <w:sz w:val="20"/>
        </w:rPr>
        <w:t>We are dependent on the continued availability of third-party data hosting and transmission services.</w:t>
      </w:r>
    </w:p>
    <w:p>
      <w:pPr>
        <w:pStyle w:val="TextBody"/>
        <w:bidi w:val="0"/>
        <w:jc w:val="left"/>
        <w:rPr>
          <w:rFonts w:ascii="Times New Roman" w:hAnsi="Times New Roman"/>
          <w:color w:val="000000"/>
          <w:sz w:val="20"/>
        </w:rPr>
      </w:pPr>
      <w:r>
        <w:rPr>
          <w:rFonts w:ascii="Times New Roman" w:hAnsi="Times New Roman"/>
          <w:color w:val="000000"/>
          <w:sz w:val="20"/>
        </w:rPr>
        <w:t>A significant portion of our operating cost is from our third-party data hosting and transmission services, including AWS, which hosts the substantial majority of our products and platform. If the costs for such services increase due to vendor consolidation, regulation, contract renegotiation, or otherwise, we may not be able to increase the fees for our customer platform or services to cover the changes, which could have a negative impact on our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Moreover, as a result of the increasing use and deployment of AI technologies, infrastructure capacity requirements, including network capacity and, computing power and energy requirements, may increase which could lead to an increase in service interruptions we experience. In some instances, including because we do not control our service providers, we may not be able to identify the cause or causes of these problems within a period of time acceptable to our customers. Additionally, as our business continues to grow, to the extent that we do not effectively address capacity constraints, through our providers of cloud infrastructure, our results of operations may be adversely affected. In addition, any changes in service levels from our service providers may adversely affect our ability to meet our customers’ requirements, result in negative publicity which could harm our reputation and brand and may adversely affect the usage of our platform.</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or cannot maintain the compatibility of our customer platform with third-party applications that our customers use in their businesses, our revenue will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significant percentage of our customers choose to integrate our platform with certain capabilities provided by third-party application providers using application programming interfaces (“APIs”) published by these providers. The functionality and popularity of our customer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operations, commerce,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rely on data provided by third parties, the loss of which could limit the functionality of our platform and disrupt our business.</w:t>
      </w:r>
    </w:p>
    <w:p>
      <w:pPr>
        <w:pStyle w:val="TextBody"/>
        <w:bidi w:val="0"/>
        <w:jc w:val="left"/>
        <w:rPr>
          <w:rFonts w:ascii="Times New Roman" w:hAnsi="Times New Roman"/>
          <w:color w:val="000000"/>
          <w:sz w:val="20"/>
        </w:rPr>
      </w:pPr>
      <w:r>
        <w:rPr>
          <w:rFonts w:ascii="Times New Roman" w:hAnsi="Times New Roman"/>
          <w:color w:val="000000"/>
          <w:sz w:val="20"/>
        </w:rPr>
        <w:t>Select functionality of our customer platform depends on our ability to deliver data, including search engine results and social media updates, provided by unaffiliated third parties, such as Meta, Google, LinkedIn and X.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pStyle w:val="TextBody"/>
        <w:bidi w:val="0"/>
        <w:jc w:val="left"/>
        <w:rPr>
          <w:rFonts w:ascii="Times New Roman" w:hAnsi="Times New Roman"/>
          <w:b/>
          <w:i/>
          <w:color w:val="000000"/>
          <w:sz w:val="20"/>
        </w:rPr>
      </w:pPr>
      <w:r>
        <w:rPr>
          <w:rFonts w:ascii="Times New Roman" w:hAnsi="Times New Roman"/>
          <w:b/>
          <w:i/>
          <w:color w:val="000000"/>
          <w:sz w:val="20"/>
        </w:rPr>
        <w:t>Privacy concerns and end users’ acceptance of Internet behavior tracking may limit the applicability, use and adoption of our customer platform.</w:t>
      </w:r>
    </w:p>
    <w:p>
      <w:pPr>
        <w:pStyle w:val="TextBody"/>
        <w:bidi w:val="0"/>
        <w:jc w:val="left"/>
        <w:rPr>
          <w:rFonts w:ascii="Times New Roman" w:hAnsi="Times New Roman"/>
          <w:color w:val="000000"/>
          <w:sz w:val="20"/>
        </w:rPr>
      </w:pPr>
      <w:r>
        <w:rPr>
          <w:rFonts w:ascii="Times New Roman" w:hAnsi="Times New Roman"/>
          <w:color w:val="000000"/>
          <w:sz w:val="20"/>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customer platform and reduce overall demand for it, or lead to significant fines, penalties or liabilities for any noncompliance or loss of any such action.</w:t>
      </w:r>
    </w:p>
    <w:p>
      <w:pPr>
        <w:pStyle w:val="TextBody"/>
        <w:bidi w:val="0"/>
        <w:jc w:val="left"/>
        <w:rPr>
          <w:rFonts w:ascii="Times New Roman" w:hAnsi="Times New Roman"/>
          <w:b/>
          <w:i/>
          <w:color w:val="000000"/>
          <w:sz w:val="20"/>
        </w:rPr>
      </w:pPr>
      <w:r>
        <w:rPr>
          <w:rFonts w:ascii="Times New Roman" w:hAnsi="Times New Roman"/>
          <w:b/>
          <w:i/>
          <w:color w:val="000000"/>
          <w:sz w:val="20"/>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pStyle w:val="TextBody"/>
        <w:bidi w:val="0"/>
        <w:jc w:val="left"/>
        <w:rPr>
          <w:rFonts w:ascii="Times New Roman" w:hAnsi="Times New Roman"/>
          <w:color w:val="000000"/>
          <w:sz w:val="20"/>
        </w:rPr>
      </w:pPr>
      <w:r>
        <w:rPr>
          <w:rFonts w:ascii="Times New Roman" w:hAnsi="Times New Roman"/>
          <w:color w:val="000000"/>
          <w:sz w:val="20"/>
        </w:rPr>
        <w:t xml:space="preserve">Our operations involve the storage and transmission of data of our customers and their customers, including personal data. Our storage is typically the sole source of record for portions of our customers’ businesses and end user data, such as initial contact information and online interactions. While we have security measures in place designed to protect our production and development environments and other systems, maintain the integrity of customer, company, and employee information, and prevent data loss, misappropriation and other security incidents and breaches, there can be no assurance that such security measures will be effective, security incidents or data breaches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or those of our service providers, are compromised as a result of third-party action, employee, vendor or customer error or wrongful conduct, malfeasance, stolen or fraudulently obtained log-in credentials or otherwise, our reputation could be damaged, our business may be harmed and we could incur significant liability. Additionally,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or our service providers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widely known and recognized, we may become more of a target for third parties seeking to compromise our security systems or gain unauthorized access to our customers’ data. Additionally, we provide our employees with limited access restricted via just-in-time-access controls and least privilege access models to our databases, which store our customer data, and to our APIs to facilitate our rapid pace of product development and to support our customers. If such access, unauthorized access or our own operations, cause damage, destruction or loss (including, without limitation, because of actions by a bad actor, attempts to exfiltrate customer data which attempts we have experienced in the past and could experience in the future), our systems being compromised or unintentional or accidental disclosure, or destruction of our customers’ business data, their sales, lead generation, support and other business operations may be permanently harmed. As a result, our customers may bring claims against us for lost profits and other damages, or such concerns may cause us to further limit access by our development team. Additionally, in certain of our subscription agreements with our customers, we agree to indemnify these customers against claims by a third party alleging our breach of confidentiality obligations or our misuse of customer data in violation of the subscription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Cyber-attacks, denial-of-service attacks, ransomware attacks, supply chain attacks, business email compromises, computer malware, viruses, wrongful intrusions, data breaches social engineering (including phishing), and other compromises are prevalent in our industry, the industries of certain of our service providers and our customers' industries. Like other companies in our industry, we and our third party vendors have in the past experienced threats and security incidents related to our data and systems, and we may in the future experience other threats, compromises, breaches, or incidents. Attempts to disrupt or gain unauthorized access to our and our third-party vendors’ information systems from malicious third parties or insider threats may incorporate widely varying and frequently changing tactics, which may be enhanced or facilitated by AI. Our internal computer systems and those of our current and any future strategic collaborators, vendors, and other contractors or consultants are vulnerable to damage from cyber-attacks, attacks enhanced or facilitated by AI, computer viruses, unauthorized access, natural disasters, cybersecurity threats, terrorism, geopolitical conflict, war and telecommunication and electrical failures. Accordingly, if our cybersecurity measures or those of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 Cyber incidents have been increasing in sophistication and frequency and can include third parties gaining access to employee or customer data using stolen or inferred credentials, computer malware, viruses, spamming, phishing attacks, ransomware, vulnerabilities in first- or third-party code, card skimming code, and other deliberate attacks and attempts to gain unauthorized access. These attacks and activity are also being facilitated or enhanced by evolving technologies, including AI. This risk is increased by the difficulty of balancing rapid vulnerability patching and system availability in a large and rapidly-changing production environment. At times, we may be unable to patch all of our systems in a manner that strictly adheres to our internally prescribed timelines.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Additionally, with the expansion of remote work and resource access, there is an increased risk that we may experience cybersecurity-related events such as phishing attacks, exploitation of any cybersecurity flaws that may exist, an increase in the number of cybersecurity threats or attacks, and other security challenges as a result of most of our employees and our service providers continuing to work remotely from non-corporate managed networks. There is also a risk of potential increase in such attacks due to cyberwarfare in connection with the ongoing global conflicts, such as the conflict in Iran, the Russia-Ukraine conflict, the Israel-Hamas conflict, and recent events in Venezuela, which could adversely affect our and our suppliers' ability to maintain or enhance key cybersecurity and data protection measures. We believe we have previously been, and may in the future become, the target of cyber-attacks, incidents, or compromises by third parties seeking unauthorized access to our or our customers' data, systems, or infrastructure, or to disrupt our operations or ability to provide our services. </w:t>
      </w:r>
    </w:p>
    <w:p>
      <w:pPr>
        <w:pStyle w:val="TextBody"/>
        <w:bidi w:val="0"/>
        <w:jc w:val="left"/>
        <w:rPr>
          <w:rFonts w:ascii="Times New Roman" w:hAnsi="Times New Roman"/>
          <w:color w:val="000000"/>
          <w:sz w:val="20"/>
        </w:rPr>
      </w:pPr>
      <w:r>
        <w:rPr>
          <w:rFonts w:ascii="Times New Roman" w:hAnsi="Times New Roman"/>
          <w:color w:val="000000"/>
          <w:sz w:val="20"/>
        </w:rPr>
        <w:t>Additionally, it is also possible that unauthorized access to sensitive customer and business data may be obtained through inadequate use of security controls by our customers, suppliers or other vendors, using social engineering to cause an employee or contractor to install malware or exploiting known vulnerabilities. Like other businesses, we rely on hardware and software supplied by third-parties and, therefore, are susceptible to supply chain attacks. Such attacks are becoming increasingly common, and we may not be able to anticipate and prevent negative impacts from such an attack. If we are impacted by a supply chain attack, we could incur liability, our competitive position could be harmed and the further development and commercialization of our product and services could be hindered or delayed.</w:t>
      </w:r>
    </w:p>
    <w:p>
      <w:pPr>
        <w:pStyle w:val="TextBody"/>
        <w:bidi w:val="0"/>
        <w:jc w:val="left"/>
        <w:rPr>
          <w:rFonts w:ascii="Times New Roman" w:hAnsi="Times New Roman"/>
          <w:color w:val="000000"/>
          <w:sz w:val="20"/>
        </w:rPr>
      </w:pPr>
      <w:r>
        <w:rPr>
          <w:rFonts w:ascii="Times New Roman" w:hAnsi="Times New Roman"/>
          <w:color w:val="000000"/>
          <w:sz w:val="20"/>
        </w:rPr>
        <w:t xml:space="preserve">Recent cybersecurity incidents and compromises affecting large institutions, including an incident that affected us in 2024, suggest that the risk of such events is significant, even if privacy protection and security measures are implemented and enforced. A cyber-attack, incident, or compromise 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malicious insiders, and/or advanced persistent threat groups). In addition, we may experience intrusions on our physical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premises by any of these threat actors. To the extent that any compromise, disruption or security breach were to result in a loss of, or damage to, our data or applications, or inappropriate disclosure of confidential or proprietary information, we could incur liability, incur significant costs associated with remediation and the implementation of additional security measures, including costs to deploy additional personnel and protection technologies, train employees, and engage third-party experts and consultants, and our competitive position could be harmed. Any breach, loss, or compromise of personal data may also subject us to civil fines and penalties, or claims for damages either under the General Data Protection Regulation (the “EU GDPR”), the EU GDPR as incorporated into United Kingdom law, and relevant member state law in the European Union, other foreign laws, and other relevant state and federal privacy laws in the United States.</w:t>
      </w:r>
    </w:p>
    <w:p>
      <w:pPr>
        <w:pStyle w:val="TextBody"/>
        <w:bidi w:val="0"/>
        <w:jc w:val="left"/>
        <w:rPr>
          <w:rFonts w:ascii="Times New Roman" w:hAnsi="Times New Roman"/>
          <w:color w:val="000000"/>
          <w:sz w:val="20"/>
        </w:rPr>
      </w:pPr>
      <w:r>
        <w:rPr>
          <w:rFonts w:ascii="Times New Roman" w:hAnsi="Times New Roman"/>
          <w:color w:val="000000"/>
          <w:sz w:val="20"/>
        </w:rPr>
        <w:t>Many governments have enacted laws requiring companies to notify individuals of security incidents, including unauthorized access and transfers of certain types of personal data. In addition, the data processing agreement we execute with our customers contractually requires us to notify them of any personal data breach. Under payment card network rules and our contracts with our payment processors, if there is a data breach of payment resulting in the compromise of cardholder payment information that is stored by our direct payment card processing vendors, we could be liable to the payment card issuing banks for their cost of issuing new cards and related expenses depending on the cause of such data breach. Data breaches and other data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pStyle w:val="TextBody"/>
        <w:bidi w:val="0"/>
        <w:jc w:val="left"/>
        <w:rPr>
          <w:rFonts w:ascii="Times New Roman" w:hAnsi="Times New Roman"/>
          <w:color w:val="000000"/>
          <w:sz w:val="20"/>
        </w:rPr>
      </w:pPr>
      <w:r>
        <w:rPr>
          <w:rFonts w:ascii="Times New Roman" w:hAnsi="Times New Roman"/>
          <w:color w:val="000000"/>
          <w:sz w:val="20"/>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insurance coverage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jc w:val="left"/>
        <w:rPr>
          <w:rFonts w:ascii="Times New Roman" w:hAnsi="Times New Roman"/>
          <w:b/>
          <w:i/>
          <w:color w:val="000000"/>
          <w:sz w:val="20"/>
        </w:rPr>
      </w:pPr>
      <w:r>
        <w:rPr>
          <w:rFonts w:ascii="Times New Roman" w:hAnsi="Times New Roman"/>
          <w:b/>
          <w:i/>
          <w:color w:val="000000"/>
          <w:sz w:val="20"/>
        </w:rPr>
        <w:br/>
        <w:t>Our business may suffer if it is alleged or determined that our technology infringes the intellectual property rights of others.</w:t>
      </w:r>
    </w:p>
    <w:p>
      <w:pPr>
        <w:pStyle w:val="TextBody"/>
        <w:bidi w:val="0"/>
        <w:jc w:val="left"/>
        <w:rPr>
          <w:rFonts w:ascii="Times New Roman" w:hAnsi="Times New Roman"/>
          <w:color w:val="000000"/>
          <w:sz w:val="20"/>
        </w:rPr>
      </w:pPr>
      <w:r>
        <w:rPr>
          <w:rFonts w:ascii="Times New Roman" w:hAnsi="Times New Roman"/>
          <w:color w:val="000000"/>
          <w:sz w:val="20"/>
        </w:rPr>
        <w:t>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against their use. Claims of intellectual property infringement, even those without merit, could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customer platform if they are concerned that they may infringe third-party intellectual property rights. The occurrence of any of these events may have a material adverse effect on our business.</w:t>
      </w:r>
    </w:p>
    <w:p>
      <w:pPr>
        <w:pStyle w:val="TextBody"/>
        <w:bidi w:val="0"/>
        <w:jc w:val="left"/>
        <w:rPr>
          <w:rFonts w:ascii="Times New Roman" w:hAnsi="Times New Roman"/>
          <w:color w:val="000000"/>
          <w:sz w:val="20"/>
        </w:rPr>
      </w:pPr>
      <w:r>
        <w:rPr>
          <w:rFonts w:ascii="Times New Roman" w:hAnsi="Times New Roman"/>
          <w:color w:val="000000"/>
          <w:sz w:val="20"/>
        </w:rPr>
        <w:t>In our subscription agreements with customers, we agree to indemnify them against claims by a third party alleging infringement of a valid patent, registered copyright or registered trademark. Customers can also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adequately protect our proprietary rights, in the United States and abroad, our competitive position could be impaired and we may lose valuable assets, experience reduced revenue and incur costly litigation to protect our rights.</w:t>
      </w:r>
    </w:p>
    <w:p>
      <w:pPr>
        <w:pStyle w:val="TextBody"/>
        <w:bidi w:val="0"/>
        <w:jc w:val="left"/>
        <w:rPr>
          <w:rFonts w:ascii="Times New Roman" w:hAnsi="Times New Roman"/>
          <w:color w:val="000000"/>
          <w:sz w:val="20"/>
        </w:rPr>
      </w:pPr>
      <w:r>
        <w:rPr>
          <w:rFonts w:ascii="Times New Roman" w:hAnsi="Times New Roman"/>
          <w:color w:val="000000"/>
          <w:sz w:val="20"/>
        </w:rPr>
        <w:t>Our success is dependent, in part, upon protecting our proprietary technology. We rely on a combination of patents,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Additionally, the intellectual property ownership and license rights surrounding AI technologies, which we are increasingly building into our product offerings, have not been fully addressed by U.S. courts or other federal, state or international laws or regulations, and the use or adoption of AI technologies in our products and services may expose us to claims of copyright infringement or other intellectual property infringement or misappropriation, violation of applicable laws or regulations, or breach of contractual obligations to which we are or may become subject.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pStyle w:val="TextBody"/>
        <w:bidi w:val="0"/>
        <w:jc w:val="left"/>
        <w:rPr>
          <w:rFonts w:ascii="Times New Roman" w:hAnsi="Times New Roman"/>
          <w:color w:val="000000"/>
          <w:sz w:val="20"/>
        </w:rPr>
      </w:pPr>
      <w:r>
        <w:rPr>
          <w:rFonts w:ascii="Times New Roman" w:hAnsi="Times New Roman"/>
          <w:color w:val="000000"/>
          <w:sz w:val="20"/>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pStyle w:val="TextBody"/>
        <w:bidi w:val="0"/>
        <w:jc w:val="left"/>
        <w:rPr>
          <w:rFonts w:ascii="Times New Roman" w:hAnsi="Times New Roman"/>
          <w:color w:val="000000"/>
          <w:sz w:val="20"/>
        </w:rPr>
      </w:pPr>
      <w:r>
        <w:rPr>
          <w:rFonts w:ascii="Times New Roman" w:hAnsi="Times New Roman"/>
          <w:color w:val="000000"/>
          <w:sz w:val="20"/>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pStyle w:val="TextBody"/>
        <w:bidi w:val="0"/>
        <w:jc w:val="left"/>
        <w:rPr>
          <w:rFonts w:ascii="Times New Roman" w:hAnsi="Times New Roman"/>
          <w:b/>
          <w:i/>
          <w:color w:val="000000"/>
          <w:sz w:val="20"/>
        </w:rPr>
      </w:pPr>
      <w:r>
        <w:rPr>
          <w:rFonts w:ascii="Times New Roman" w:hAnsi="Times New Roman"/>
          <w:b/>
          <w:i/>
          <w:color w:val="000000"/>
          <w:sz w:val="20"/>
        </w:rPr>
        <w:t>Our use of “open source” software could negatively affect our ability to offer our platform and subject us to possible litigation.</w:t>
      </w:r>
    </w:p>
    <w:p>
      <w:pPr>
        <w:pStyle w:val="TextBody"/>
        <w:bidi w:val="0"/>
        <w:jc w:val="left"/>
        <w:rPr>
          <w:rFonts w:ascii="Times New Roman" w:hAnsi="Times New Roman"/>
          <w:color w:val="000000"/>
          <w:sz w:val="20"/>
        </w:rPr>
      </w:pPr>
      <w:r>
        <w:rPr>
          <w:rFonts w:ascii="Times New Roman" w:hAnsi="Times New Roman"/>
          <w:color w:val="000000"/>
          <w:sz w:val="20"/>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pStyle w:val="TextBody"/>
        <w:bidi w:val="0"/>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business lines, and thereby decrease our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handling of data across our products and services is subject to a variety of laws and regulations, including regulation by various government agencies, including the U.S. Federal Trade Commission ("FTC"), and various state, local and foreign agencies. We collect personal data and other data from our customers, prospects, partners, third-party providers and publicly available sources. We also handle personal data about our customers’ customers. We use this information to provide services to our customers, to support, expand and improve our business. We may also share customers’ personal data with third parties as authorized by the customer or as described in our privacy policy.</w:t>
      </w:r>
    </w:p>
    <w:p>
      <w:pPr>
        <w:pStyle w:val="TextBody"/>
        <w:bidi w:val="0"/>
        <w:jc w:val="left"/>
        <w:rPr>
          <w:rFonts w:ascii="Times New Roman" w:hAnsi="Times New Roman"/>
          <w:color w:val="000000"/>
          <w:sz w:val="20"/>
        </w:rPr>
      </w:pPr>
      <w:r>
        <w:rPr>
          <w:rFonts w:ascii="Times New Roman" w:hAnsi="Times New Roman"/>
          <w:color w:val="000000"/>
          <w:sz w:val="20"/>
        </w:rPr>
        <w:t>The U.S. federal and various state and foreign governments have adopted or proposed limitations on the collection, processing, distribution, use, storage and safeguarding of personal data. In the U.S., the FTC and many state attorneys general are applying federal and state privacy and consumer protection laws to impose standards for the online collection, use and dissemination of personal and other data. However, these obligations may be interpreted and applied in a manner that is inconsistent from one jurisdiction to another and may conflict with other requirements or our practices. Any failure or perceived failure by us to comply with privacy or data security laws, policies, legal obligations or industry standards or any security incident that results in the unauthorized, disclosure, release or transfer of personal data or other customer data may result in governmental enforcement actions, litigation, fines and penalties and/or adverse publicity, and could cause our customers to lose trust in us, which could have an adverse effect on our reputation and business.</w:t>
      </w:r>
    </w:p>
    <w:p>
      <w:pPr>
        <w:pStyle w:val="TextBody"/>
        <w:bidi w:val="0"/>
        <w:jc w:val="left"/>
        <w:rPr>
          <w:rFonts w:ascii="Times New Roman" w:hAnsi="Times New Roman"/>
          <w:color w:val="000000"/>
          <w:sz w:val="20"/>
        </w:rPr>
      </w:pPr>
      <w:r>
        <w:rPr>
          <w:rFonts w:ascii="Times New Roman" w:hAnsi="Times New Roman"/>
          <w:color w:val="000000"/>
          <w:sz w:val="20"/>
        </w:rPr>
        <w:t>Laws and regulations governing privacy, data protection, cybersecurity, and online safety are rapidly evolving, and changes to such laws and regulations could require us to change features of our platform or restrict our customers’ ability to collect and use email addresses, page viewing data and other personal data, which may reduce demand for our platform or inhibit our improvement and development of our platform or its features, including AI models. Our failure to comply with federal, state and foreign privacy and cybersecurity laws and regulations could harm our ability to successfully operate our business and pursue our business goals.</w:t>
      </w:r>
    </w:p>
    <w:p>
      <w:pPr>
        <w:pStyle w:val="TextBody"/>
        <w:bidi w:val="0"/>
        <w:jc w:val="left"/>
        <w:rPr>
          <w:rFonts w:ascii="Times New Roman" w:hAnsi="Times New Roman"/>
          <w:color w:val="000000"/>
          <w:sz w:val="20"/>
        </w:rPr>
      </w:pPr>
      <w:r>
        <w:rPr>
          <w:rFonts w:ascii="Times New Roman" w:hAnsi="Times New Roman"/>
          <w:color w:val="000000"/>
          <w:sz w:val="20"/>
        </w:rPr>
        <w:t>For example, the California Consumer Privacy Act, as amended by the California Privacy Rights Act (collectively, the “CCPA”), among other things, requires covered companies to provide disclosures to California residents and afford such individuals the ability to opt out of the sales or sharing of their personal data. New and proposed regulations implementing the CCPA continue to evolve the standards of protection required by the CCPA. In addition to increasing our potential exposure to regulatory enforcement, the CCPA also provides for violations and a limited private right of action, which may increase our exposure to civil litigation.</w:t>
      </w:r>
    </w:p>
    <w:p>
      <w:pPr>
        <w:pStyle w:val="TextBody"/>
        <w:bidi w:val="0"/>
        <w:jc w:val="left"/>
        <w:rPr>
          <w:rFonts w:ascii="Times New Roman" w:hAnsi="Times New Roman"/>
          <w:color w:val="000000"/>
          <w:sz w:val="20"/>
        </w:rPr>
      </w:pPr>
      <w:r>
        <w:rPr>
          <w:rFonts w:ascii="Times New Roman" w:hAnsi="Times New Roman"/>
          <w:color w:val="000000"/>
          <w:sz w:val="20"/>
        </w:rPr>
        <w:t>Recently, plaintiffs’ attorneys have initiated a wave of demand letters, claims and class action lawsuits alleging companies’ use of online trackers, such as cookies and pixels, constitutes a violation of state wiretapping laws, primarily the California Invasion of Privacy Act (“CIPA”). Plaintiffs’ attorneys have also expanded their claims and threatened claims to other privacy-related statutes that provide for private rights of action, including statutes governing text messaging and other commercial communications. So far, most of these claims have settled outside the courthouse, though a risk of costly litigation now exists for business practices that are common. We have been subject to these actions and may become subject to additional such actions in the future.</w:t>
      </w:r>
    </w:p>
    <w:p>
      <w:pPr>
        <w:pStyle w:val="TextBody"/>
        <w:bidi w:val="0"/>
        <w:jc w:val="left"/>
        <w:rPr>
          <w:rFonts w:ascii="Times New Roman" w:hAnsi="Times New Roman"/>
          <w:color w:val="000000"/>
          <w:sz w:val="20"/>
        </w:rPr>
      </w:pPr>
      <w:r>
        <w:rPr>
          <w:rFonts w:ascii="Times New Roman" w:hAnsi="Times New Roman"/>
          <w:color w:val="000000"/>
          <w:sz w:val="20"/>
        </w:rPr>
        <w:t>The landscape of privacy and cybersecurity regulation in the U.S. is increasingly complex. Numerous states have passed comprehensive privacy and data security laws, which impose obligations on covered businesses similar – but not identical – to those under the CCPA, and some states have passed privacy and cybersecurity laws governing specific sectors, technologies, or categories of personal data, such as laws regulating health data, children’s data, and online chatbots. Many of those states have also passed – or proposed to pass – laws and regulations that amend the standard of protection required by such laws. A number of other states have proposed similar privacy legislation, and the U.S. Congress has considered – and may reintroduce – federal privacy and cybersecurity legislation that may or may not preempt some or all of such U.S. state privacy laws, and may provide a private right of action. Through executive and legislative action, the federal government has also taken steps to restrict data transactions involving persons affiliated with China, Russia, Venezuela, Iran, and other countries of concern. For example, the Department of Justice January 8, 2025 rule on "Preventing Access to U.S. Sensitive Personal Data and Government-Related Data by Countries of Concern or Covered Persons,” prohibits the sharing of certain sensitive personal data categories to countries of concern. The regulations also restrict certain investment agreements, employment agreements and vendor agreements involving such data and countries of concern, absent specified cybersecurity controls. Actual or alleged violations of these regulations are punishable by criminal and/or civil sanctions. The evolving complexity of privacy and data security legislation in the U.S. may complicate our compliance efforts and further increase our risk of regulatory enforcement, penalties and litigation.</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many foreign jurisdictions in which we do business, including the European Union, Japan, United Kingdom, Canada, Australia, and others have laws and regulations dealing with the collection and use of personal data obtained from their residents, which are more restrictive in certain respects than those in the U.S. Laws and regulations in these jurisdictions apply broadly to the collection, use, storage, disclosure and security of personal data that identifies or may be used to identify an individual. In relevant part, these foreign laws and regulations may affect our ability to engage in lead generation activities by imposing heightened requirements, such as affirmative opt-ins or other consent prior to sending commercial correspondence, obtaining leads or engaging in electronic tracking activities that aid our marketing and business intelligence. We may be required to modify our policies, procedures,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and data processing measures in order to address requirements under these or other privacy, data protection, or cyber security regimes, and may face claims, litigation, investigations, or other proceedings regarding them and may incur related liabilities, expenses, costs, and operational losses.</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operation of some of our business lines, such as business intelligence and AI services, we collect, process and share personal data, such as business contact information or other personal data individuals make available in their professional capacity. We may be subject to additional requirements under privacy and data protection laws that could lead to additional compliance costs, regulatory scrutiny, claims, and reputational risks that may affect our business. For example, we may be required to send notifications to individuals and respond to higher volumes of data privacy requests, which may require substantial costs and expenses, or reduce the potential value of our business intelligence services. We may also receive data from third-party vendors (e.g., data brokers) in connection with such services. While we have implemented certain contractual measures with such vendors to protect our interests, we are ultimately unable to verify with complete certainty the source of such data, how it was received, and that such information was collected and is being shared with us in compliance with all applicable data privacy laws. Furthermore, the uncertain and shifting regulatory environment and trust climate may cause concerns regarding data privacy and may cause our vendors, customers, users, or our customers’ customers to decline to provide the data necessary to allow us to offer some of our services to our customers and users effectively, or could prompt individuals to opt out of our collection of their personal data. Concern regarding our use of the personal data collected when performing our services could keep prospective customers from subscribing to our services. </w:t>
      </w:r>
    </w:p>
    <w:p>
      <w:pPr>
        <w:pStyle w:val="TextBody"/>
        <w:bidi w:val="0"/>
        <w:jc w:val="left"/>
        <w:rPr>
          <w:rFonts w:ascii="Times New Roman" w:hAnsi="Times New Roman"/>
          <w:color w:val="000000"/>
          <w:sz w:val="20"/>
        </w:rPr>
      </w:pPr>
      <w:r>
        <w:rPr>
          <w:rFonts w:ascii="Times New Roman" w:hAnsi="Times New Roman"/>
          <w:color w:val="000000"/>
          <w:sz w:val="20"/>
        </w:rPr>
        <w:t>Within the European Union, the EU GDPR, and in the United Kingdom, the EU GDPR as incorporated into the laws of the United Kingdom ("UK") (the “UK GDPR” together with the EU GDPR, the “GDPR”), impose heightened obligations and risk upon our business and substantially increases the penalties to which we could be subject in the event of any non-compliance. Non-compliance with the GDPR and the related national data protection laws of the European Union Member States may result in monetary penalties of up to €20 million (£17.5 million) or 4% of worldwide annual revenue, whichever is higher.</w:t>
      </w:r>
    </w:p>
    <w:p>
      <w:pPr>
        <w:pStyle w:val="TextBody"/>
        <w:bidi w:val="0"/>
        <w:jc w:val="left"/>
        <w:rPr>
          <w:rFonts w:ascii="Times New Roman" w:hAnsi="Times New Roman"/>
          <w:color w:val="000000"/>
          <w:sz w:val="20"/>
        </w:rPr>
      </w:pPr>
      <w:r>
        <w:rPr>
          <w:rFonts w:ascii="Times New Roman" w:hAnsi="Times New Roman"/>
          <w:color w:val="000000"/>
          <w:sz w:val="20"/>
        </w:rPr>
        <w:t>The proliferation of privacy and data protection laws has heightened risks and uncertainties concerning cross-border transfers of personal data and other data, which could impose significant compliance costs and expenses on our business, increase our potential exposure to regulatory enforcement and/or litigation, and have a negative effect on our existing business and on our ability to attract and retain new customers. To enable the transfer of personal data outside of the European Union or United Kingdom, adequate safeguards must be implemented in compliance with data protection laws. On June 4, 2021, the European Commission published new versions of its Standard Contractual Clauses (“SCCs”), which are required for all transfers of personal data from the European Union to third countries (including the U.S). The United Kingdom is not subject to the new SCCs but has its own equivalent, being the international data transfer agreement and/or UK Addendum (“IDTAs”). Our customer agreements include the updated SCCs and UK IDTAs. Under the new SCCs and IDTAs, companies are also required to assess the risk of a data transfer on a case-by-case basis by undertaking a transfer impact assessment, and may be required to adopt additional measures to accomplish transfers of personal data to the United States and other third countries. There continue to be concerns about whether the SCCs will face additional challenges.</w:t>
      </w:r>
    </w:p>
    <w:p>
      <w:pPr>
        <w:pStyle w:val="TextBody"/>
        <w:bidi w:val="0"/>
        <w:jc w:val="left"/>
        <w:rPr>
          <w:rFonts w:ascii="Times New Roman" w:hAnsi="Times New Roman"/>
          <w:color w:val="000000"/>
          <w:sz w:val="20"/>
        </w:rPr>
      </w:pPr>
      <w:r>
        <w:rPr>
          <w:rFonts w:ascii="Times New Roman" w:hAnsi="Times New Roman"/>
          <w:color w:val="000000"/>
          <w:sz w:val="20"/>
        </w:rPr>
        <w:t>On July 10, 2023, the European Commission approved the EU-U.S. Data Privacy Framework (“DPF”) to support transfers of personal data from the EU to companies in the U.S. Because we have maintained our certification under the previously invalidated Privacy Shield, we have now automatically become subject to the DPF and are required to maintain policies and procedures to comply with the DPF principles. We may be subject to regulatory enforcement by the FTC if we are found to be noncompliant with any of the DPF principles, and this regulatory enforcement may lead to significant civil penalties.</w:t>
      </w:r>
    </w:p>
    <w:p>
      <w:pPr>
        <w:pStyle w:val="TextBody"/>
        <w:bidi w:val="0"/>
        <w:jc w:val="left"/>
        <w:rPr>
          <w:rFonts w:ascii="Times New Roman" w:hAnsi="Times New Roman"/>
          <w:color w:val="000000"/>
          <w:sz w:val="20"/>
        </w:rPr>
      </w:pPr>
      <w:r>
        <w:rPr>
          <w:rFonts w:ascii="Times New Roman" w:hAnsi="Times New Roman"/>
          <w:color w:val="000000"/>
          <w:sz w:val="20"/>
        </w:rPr>
        <w:t>Until the remaining legal uncertainties regarding SCCs, DPF and other transfer mechanisms are settled, we will continue to face uncertainty as to whether our customers will be permitted to transfer personal data to the United States for processing by us as part of our platform services. Our customers may view data transfer mechanisms as being too costly, too burdensome, too legally uncertain or otherwise objectionable and therefore decide not to do business with us.</w:t>
      </w:r>
    </w:p>
    <w:p>
      <w:pPr>
        <w:pStyle w:val="TextBody"/>
        <w:bidi w:val="0"/>
        <w:jc w:val="left"/>
        <w:rPr>
          <w:rFonts w:ascii="Times New Roman" w:hAnsi="Times New Roman"/>
          <w:color w:val="000000"/>
          <w:sz w:val="20"/>
        </w:rPr>
      </w:pPr>
      <w:r>
        <w:rPr>
          <w:rFonts w:ascii="Times New Roman" w:hAnsi="Times New Roman"/>
          <w:color w:val="000000"/>
          <w:sz w:val="20"/>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If our privacy or data security measures fail to comply with current or future laws and regulations, we may be subject to claims, legal proceedings or other actions by individuals or governmental authorities based on privacy or data protection regulations and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commitments to customers or others, as well as negative publicity and a potential loss of business. Moreover, if future laws and regulations limit our subscribers’ ability to use and share personal data or our ability to store, process and share personal data, demand for our solutions could decrease, our costs could increase, and our business, results of operations and financial condition could be harmed.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use of new and evolving technologies, such as AI,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pStyle w:val="TextBody"/>
        <w:bidi w:val="0"/>
        <w:jc w:val="left"/>
        <w:rPr>
          <w:rFonts w:ascii="Times New Roman" w:hAnsi="Times New Roman"/>
          <w:color w:val="000000"/>
          <w:sz w:val="20"/>
        </w:rPr>
      </w:pPr>
      <w:r>
        <w:rPr>
          <w:rFonts w:ascii="Times New Roman" w:hAnsi="Times New Roman"/>
          <w:color w:val="000000"/>
          <w:sz w:val="20"/>
        </w:rPr>
        <w:t>We currently use and integrate AI technologies into our business processes and services. Development, use, and deployment of these technologies could pose cybersecurity, data privacy, IT, intellectual property, regulatory, legal, operational, competitive, reputational, and other risks and challenges that could affect our business.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 If we enable or use solutions that draw controversy due to perceived or actual negative societal impact or otherwise cause harm, we may experience brand or reputational harm, competitive harm, legal liability, and defensive costs and expenses.</w:t>
      </w:r>
    </w:p>
    <w:p>
      <w:pPr>
        <w:pStyle w:val="TextBody"/>
        <w:bidi w:val="0"/>
        <w:jc w:val="left"/>
        <w:rPr>
          <w:rFonts w:ascii="Times New Roman" w:hAnsi="Times New Roman"/>
          <w:color w:val="000000"/>
          <w:sz w:val="20"/>
        </w:rPr>
      </w:pPr>
      <w:r>
        <w:rPr>
          <w:rFonts w:ascii="Times New Roman" w:hAnsi="Times New Roman"/>
          <w:color w:val="000000"/>
          <w:sz w:val="20"/>
        </w:rPr>
        <w:t xml:space="preserve">A growing number of legislators and regulators are adopting laws and regulations addressing, and have focused enforcement efforts on the development and adoption of AI technologies and use of such technologies in compliance with ethical standards and societal expectations. Several states, including Colorado, California, and Texas passed laws that have taken or will take effect in 2026 to regulate various uses of AI, from making consequential decisions to requiring companies to disclose sources of training data for AI technologies, among other requirements. In addition, U.S. states and the federal government have a wide variety of measures to regulate various facets of AI development, deployment, and use in recent years, and it is possible that new laws and regulations will be adopted in the near future, or that existing laws and regulations may be interpreted in ways that would affect our business and the ways in which we and our customers use our AI technologies, our financial condition and our results of operations, including as a result of the cost to comply with such laws or regulations. The Trump Administration has endorsed a federal moratorium on the enforcement of certain state AI laws, including through a December 11, 2025 Executive Order on “Ensuring a National Policy Framework for Artificial Intelligence.” On March 20, 2026 the Trump Administration also issued a National Policy Framework setting forth non-binding policy priorities for federal AI regulation. So far, these efforts have not been successful in curtailing state action on AI regulation, contributing to a complicated legislative patchwork, which may be litigated in state and federal courts.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Outside the U.S., lawmaking and regulation relating to AI is proceeding at a similar pace. In Europe, for example, the EU’s Artificial Intelligence Act (“AI Act”) entered into force on August 1, 2024 and, with some exceptions, and potentially evolving implementation timelines with the Digital Omnibus Regulation proposal, will begin to apply as of August 2, 2026. This legislation imposes significant obligations on providers and deployers of high-risk AI systems, and encourages providers and deployers of AI systems to account for EU ethical principles in their development and use of these systems. As we continue to develop and use AI systems, which may be governed by the AI Act or other emerging regulations, we may be required to ensure higher standards of data quality, transparency, and human oversight, as well as adhere to specific ethical, accountability, and administrative requirements, some of which may increase our costs and compliance obligations. Further, potential government regulation related to AI use and ethics may also increase the cost of research and development in this area, and failure to properly remediate AI usage or ethics issues may cause public confidence in AI to be undermined, which could slow adoption of AI in our products and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rapid evolution of AI technologies and regulatory frameworks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The use of certain AI technologies can also give rise to intellectual property risks, including the disclosure or compromise of our confidential information or other proprietary intellectual property through the use of agentic and generative AI tools, or the ability to assert or defend ownership rights in intellectual property created with the use of agentic and generative AI tools.</w:t>
      </w:r>
    </w:p>
    <w:p>
      <w:pPr>
        <w:pStyle w:val="TextBody"/>
        <w:bidi w:val="0"/>
        <w:jc w:val="left"/>
        <w:rPr>
          <w:rFonts w:ascii="Times New Roman" w:hAnsi="Times New Roman"/>
          <w:color w:val="000000"/>
          <w:sz w:val="20"/>
        </w:rPr>
      </w:pPr>
      <w:r>
        <w:rPr>
          <w:rFonts w:ascii="Times New Roman" w:hAnsi="Times New Roman"/>
          <w:color w:val="000000"/>
          <w:sz w:val="20"/>
        </w:rPr>
        <w:t xml:space="preserve">Our vendors have in turn incorporated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Use of generative AI models in our internal or third-party systems may create new attack surfaces or methods for adversaries, which could impact us and our vendors. The integration of AI systems, by us or by our vendors, may increase cybersecurity risk. Any of these effects could damage our reputation, result in the loss of valuable property and information, cause us to breach applicable laws and regulations, and adversely impact our business.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could face liability, or our reputation might be harmed, as a result of the activities of our customers, the content of their websites or the data they store on our servers.</w:t>
      </w:r>
    </w:p>
    <w:p>
      <w:pPr>
        <w:pStyle w:val="TextBody"/>
        <w:bidi w:val="0"/>
        <w:jc w:val="left"/>
        <w:rPr>
          <w:rFonts w:ascii="Times New Roman" w:hAnsi="Times New Roman"/>
          <w:color w:val="000000"/>
          <w:sz w:val="20"/>
        </w:rPr>
      </w:pPr>
      <w:r>
        <w:rPr>
          <w:rFonts w:ascii="Times New Roman" w:hAnsi="Times New Roman"/>
          <w:color w:val="000000"/>
          <w:sz w:val="20"/>
        </w:rPr>
        <w:t>As a provider of a cloud-based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customer platform that may violate our policy on acceptable use which prohibits content that is threatening, abusive, harassing, deceptive, false, misleading, vulgar, obscene, or indecent. While such content may not be illegal, use of our customer platform for such content could harm our reputation resulting in a loss of business.</w:t>
      </w:r>
    </w:p>
    <w:p>
      <w:pPr>
        <w:pStyle w:val="TextBody"/>
        <w:bidi w:val="0"/>
        <w:jc w:val="left"/>
        <w:rPr>
          <w:rFonts w:ascii="Times New Roman" w:hAnsi="Times New Roman"/>
          <w:color w:val="000000"/>
          <w:sz w:val="20"/>
        </w:rPr>
      </w:pPr>
      <w:r>
        <w:rPr>
          <w:rFonts w:ascii="Times New Roman" w:hAnsi="Times New Roman"/>
          <w:color w:val="000000"/>
          <w:sz w:val="20"/>
        </w:rPr>
        <w:t>Several U.S. federal statutes may apply to us with respect to various customer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Digital Millennium Copyright Act of 1998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Communications Decency Act of 1996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CDA, the Securing the Protection of our Enduring and Established Constitutional Heritage Act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our end-to-end payment solution, as well as our Stripe payment processing integration (“Payments”), are both built within Commerce Hub and are susceptible to potentially illegal or improper uses, including money laundering, terrorist financing, fraudulent or illegal sales of goods or services, piracy of software, movies, music, and other copyrighted or trademarked information, bank fraud, securities fraud, pyramid or ponzi schemes, or the facilitation of other illegal or improper activity. While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engage a third party as our registered payment facilitator, the use of Payments for illegal or improper uses may subject us to claims (including claims brought by our third-party payment processor), government and regulatory requests, inquiries, or investigations that could result in liability, and harm our reputation. Moreover, certain activity that may be legal in one jurisdiction may be illegal in another jurisdiction, and a merchant may be found responsible for intentionally or inadvertently importing or exporting illegal goods, resulting in liability for us. Owners of intellectual property rights or government authorities may seek to bring legal action against providers of payments solutions, including Payments, that are peripherally involved in the sale of infringing or allegedly infringing items. Any threatened or resulting claims could result in reputational harm, and any resulting liabilities, loss of transaction volume, or increased costs could harm our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If Payments is used for illegal or improper uses, we may incur substantial losses as a result of claims from merchants and their buyers, including consumers. Allowances for transaction losses that we have established may be insufficient to cover incurred losses. Moreover, if measures to detect and reduce the risk of fraud are not effective and our loss rate is higher than anticipated, Payments and our business could be negatively impacted. </w:t>
      </w:r>
    </w:p>
    <w:p>
      <w:pPr>
        <w:pStyle w:val="TextBody"/>
        <w:bidi w:val="0"/>
        <w:jc w:val="left"/>
        <w:rPr>
          <w:rFonts w:ascii="Times New Roman" w:hAnsi="Times New Roman"/>
          <w:b/>
          <w:i/>
          <w:color w:val="000000"/>
          <w:sz w:val="20"/>
        </w:rPr>
      </w:pPr>
      <w:r>
        <w:rPr>
          <w:rFonts w:ascii="Times New Roman" w:hAnsi="Times New Roman"/>
          <w:b/>
          <w:i/>
          <w:color w:val="000000"/>
          <w:sz w:val="20"/>
        </w:rPr>
        <w:t>The standards that private entities use to regulate the use of email have in the past interfered with, and may in the future interfere with, the effectiveness of our customer platform and our ability to conduct business.</w:t>
      </w:r>
    </w:p>
    <w:p>
      <w:pPr>
        <w:pStyle w:val="TextBody"/>
        <w:bidi w:val="0"/>
        <w:jc w:val="left"/>
        <w:rPr>
          <w:rFonts w:ascii="Times New Roman" w:hAnsi="Times New Roman"/>
          <w:color w:val="000000"/>
          <w:sz w:val="20"/>
        </w:rPr>
      </w:pPr>
      <w:r>
        <w:rPr>
          <w:rFonts w:ascii="Times New Roman" w:hAnsi="Times New Roman"/>
          <w:color w:val="000000"/>
          <w:sz w:val="20"/>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pStyle w:val="TextBody"/>
        <w:bidi w:val="0"/>
        <w:jc w:val="left"/>
        <w:rPr>
          <w:rFonts w:ascii="Times New Roman" w:hAnsi="Times New Roman"/>
          <w:color w:val="000000"/>
          <w:sz w:val="20"/>
        </w:rPr>
      </w:pPr>
      <w:r>
        <w:rPr>
          <w:rFonts w:ascii="Times New Roman" w:hAnsi="Times New Roman"/>
          <w:color w:val="000000"/>
          <w:sz w:val="20"/>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customer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Existing federal, state and foreign laws regulate Internet tracking software, commercial emails and text messages, website owners and other activities, and could impact the use of our customer platform and potentially subject us to regulatory enforcement or private litigation.</w:t>
      </w:r>
    </w:p>
    <w:p>
      <w:pPr>
        <w:pStyle w:val="TextBody"/>
        <w:bidi w:val="0"/>
        <w:jc w:val="left"/>
        <w:rPr>
          <w:rFonts w:ascii="Times New Roman" w:hAnsi="Times New Roman"/>
          <w:color w:val="000000"/>
          <w:sz w:val="20"/>
        </w:rPr>
      </w:pPr>
      <w:r>
        <w:rPr>
          <w:rFonts w:ascii="Times New Roman" w:hAnsi="Times New Roman"/>
          <w:color w:val="000000"/>
          <w:sz w:val="20"/>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 entry into force of state law requirements to implement Universal Opt-Out Mechanisms (UOOMs) may require us to adapt our data collection, processing, and retention practices to ensure compliance with evolving privacy regulations. We are actively monitoring these developments and assessing the potential operational and financial impact of implementing the necessary technical and organizational measures to support UOOM functionality across our platforms.</w:t>
      </w:r>
    </w:p>
    <w:p>
      <w:pPr>
        <w:pStyle w:val="TextBody"/>
        <w:bidi w:val="0"/>
        <w:jc w:val="left"/>
        <w:rPr>
          <w:rFonts w:ascii="Times New Roman" w:hAnsi="Times New Roman"/>
          <w:color w:val="000000"/>
          <w:sz w:val="20"/>
        </w:rPr>
      </w:pPr>
      <w:r>
        <w:rPr>
          <w:rFonts w:ascii="Times New Roman" w:hAnsi="Times New Roman"/>
          <w:color w:val="000000"/>
          <w:sz w:val="20"/>
        </w:rPr>
        <w:t xml:space="preserve">Related regulations may restrict the use or disclosure of consumer information without sufficient consent.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third-party websites. These policies could have a significant impact on the operation of our customer platform, impair our attractiveness to customers, and lead to claims or threatened claims, which would harm our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contractual terms to satisfy customer and regulatory requirements, or could cause the demand for and sales of our customer platform to decrease and adversely impact our financial results.</w:t>
      </w:r>
    </w:p>
    <w:p>
      <w:pPr>
        <w:pStyle w:val="TextBody"/>
        <w:bidi w:val="0"/>
        <w:jc w:val="left"/>
        <w:rPr>
          <w:rFonts w:ascii="Times New Roman" w:hAnsi="Times New Roman"/>
          <w:color w:val="000000"/>
          <w:sz w:val="20"/>
        </w:rPr>
      </w:pPr>
      <w:r>
        <w:rPr>
          <w:rFonts w:ascii="Times New Roman" w:hAnsi="Times New Roman"/>
          <w:color w:val="000000"/>
          <w:sz w:val="20"/>
        </w:rPr>
        <w:t>In addition, the Controlling the Assault of Non-Solicited Pornography and Marketing Act of 2003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customer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pStyle w:val="TextBody"/>
        <w:bidi w:val="0"/>
        <w:jc w:val="left"/>
        <w:rPr>
          <w:rFonts w:ascii="Times New Roman" w:hAnsi="Times New Roman"/>
          <w:color w:val="000000"/>
          <w:sz w:val="20"/>
        </w:rPr>
      </w:pPr>
      <w:r>
        <w:rPr>
          <w:rFonts w:ascii="Times New Roman" w:hAnsi="Times New Roman"/>
          <w:color w:val="000000"/>
          <w:sz w:val="20"/>
        </w:rPr>
        <w:t>While these laws and regulations generally govern our customers’ use of our customer platform, we may be subject to certain laws as a data processor on behalf of, or as a business associate of, our customers. For example, laws and regulations governing the collection, use and disclosure of personal data include, in the United States, rules and regulations promulgated under the authority of the Federal Trade Commission, the Health Insurance Portability and Accountability Act of 1996, the Gramm-Leach-Bliley Act of 1999 and state breach notification laws, and internationally, the GDPR and other privacy and data protection laws.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governmental export controls and economic sanctions laws that could impair our ability to compete in international markets and subject us to liability if we are not in full compliance with applicable laws.</w:t>
      </w:r>
    </w:p>
    <w:p>
      <w:pPr>
        <w:pStyle w:val="TextBody"/>
        <w:bidi w:val="0"/>
        <w:jc w:val="left"/>
        <w:rPr>
          <w:rFonts w:ascii="Times New Roman" w:hAnsi="Times New Roman"/>
          <w:color w:val="000000"/>
          <w:sz w:val="20"/>
        </w:rPr>
      </w:pPr>
      <w:r>
        <w:rPr>
          <w:rFonts w:ascii="Times New Roman" w:hAnsi="Times New Roman"/>
          <w:color w:val="000000"/>
          <w:sz w:val="20"/>
        </w:rPr>
        <w:t>Our business activities are subject to various restrictions under U.S. and other global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license(s), for a particular transaction may be time-consuming, is not guaranteed, and may result in the delay or loss of sales opportunities. Furthermore, export control laws and economic sanctions laws prohibit certain transactions with embargoed or sanctioned countries, governments, persons and entities. These sanctions laws with which we must comply may also change rapidly from time to time as a result of geopolitical events, such as the imposition of sanctions on Russia as a result of the conflict between Russia and Ukraine. Although we take precautions to prevent unlawful transactions and business relationships with sanction targets, the possibility exists that we could inadvertently provide our products and services to persons or entities prohibited by U.S. and other global sanctions regimes. This could result in negative consequences to us, including government investigations, enforcement actions resulting in civil and/or criminal penalties and reputational harm.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b/>
          <w:color w:val="000000"/>
          <w:sz w:val="20"/>
        </w:rPr>
        <w:t>Risks Related to Taxation</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additional obligations to collect and remit sales tax and other taxes, and we may be subject to tax liability for past sales, which could harm our business.</w:t>
      </w:r>
    </w:p>
    <w:p>
      <w:pPr>
        <w:pStyle w:val="TextBody"/>
        <w:bidi w:val="0"/>
        <w:jc w:val="left"/>
        <w:rPr>
          <w:rFonts w:ascii="Times New Roman" w:hAnsi="Times New Roman"/>
          <w:color w:val="000000"/>
          <w:sz w:val="20"/>
        </w:rPr>
      </w:pPr>
      <w:r>
        <w:rPr>
          <w:rFonts w:ascii="Times New Roman" w:hAnsi="Times New Roman"/>
          <w:color w:val="000000"/>
          <w:sz w:val="20"/>
        </w:rPr>
        <w:t>State, local, and non-U.S. jurisdictions have differing rules and regulations governing sales, use, value added, digital service, and other taxes, and these rules and regulations are subject to varying interpretations that may change over time. In particular, the applicability of such taxes to our customer platform in various jurisdictions can be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pStyle w:val="TextBody"/>
        <w:bidi w:val="0"/>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could increase the costs of our customer platform and adversely impact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New income, sales, use or other tax laws, statutes, rules, regulations or ordinances could be enacted at any time. For example, on July 4, 2025, tax reform legislation included in the One Big Beautiful Bill Act was enacted in the United States. Key corporate tax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provisions include the restoration of 100% bonus depreciation, allowing for the immediate expensing of domestic research and experimental expenditures, changes to Section 163(j) interest limitations, updates to Global Intangible Low-Taxed Income and Foreign-Derived Intangible Income rules, amendments to energy credits, and expanded aggregation requirements for the Section 162(m) limitation on executive compensation. Any new tax laws could adversely affect our current tax position,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Additionally, new, changed, modified or newly interpreted or applied tax laws could increase our customers’ and our compliance, operating and other costs, as well as the costs of our platform. Any or all of these events could adversely impact our business, cash flows and financial performance. Furthermore, as our employees continue to work remotely from geographic locations across the United States and internationally, we may become subject to additional taxes and our compliance burdens with respect to the tax laws of additional jurisdictions may increase.</w:t>
      </w:r>
    </w:p>
    <w:p>
      <w:pPr>
        <w:pStyle w:val="TextBody"/>
        <w:bidi w:val="0"/>
        <w:jc w:val="left"/>
        <w:rPr>
          <w:rFonts w:ascii="Times New Roman" w:hAnsi="Times New Roman"/>
          <w:b/>
          <w:i/>
          <w:color w:val="000000"/>
          <w:sz w:val="20"/>
        </w:rPr>
      </w:pPr>
      <w:r>
        <w:rPr>
          <w:rFonts w:ascii="Times New Roman" w:hAnsi="Times New Roman"/>
          <w:b/>
          <w:i/>
          <w:color w:val="000000"/>
          <w:sz w:val="20"/>
        </w:rPr>
        <w:t>We are a multinational organization faced with increasingly complex tax issues in many jurisdictions, and we could be obligated to pay additional taxes in various jurisdictions.</w:t>
      </w:r>
    </w:p>
    <w:p>
      <w:pPr>
        <w:pStyle w:val="TextBody"/>
        <w:bidi w:val="0"/>
        <w:jc w:val="left"/>
        <w:rPr>
          <w:rFonts w:ascii="Times New Roman" w:hAnsi="Times New Roman"/>
          <w:color w:val="000000"/>
          <w:sz w:val="20"/>
        </w:rPr>
      </w:pPr>
      <w:r>
        <w:rPr>
          <w:rFonts w:ascii="Times New Roman" w:hAnsi="Times New Roman"/>
          <w:color w:val="000000"/>
          <w:sz w:val="20"/>
        </w:rPr>
        <w:t xml:space="preserve">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or challenges to our tax positions by tax authorities, any of which could have a material adverse effect on our liquidity, financial condition or operating results. We also may invest in companies located in jurisdictions outside the United States, and these investments may result in complex U.S. or non-U.S. tax consequences. New global tax developments may have a material impact to our business, cash flows, or financial results. Such developments, may include certain Organization for Economic Co-operation and Development's proposals including the implementation of global minimum tax under the Pillar Two model rules, and the European Commission’s and certain major jurisdictions’ heightened interest in and taxation of companies participating in the digital economy.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or assert that we are subject to tax in a jurisdiction where we believe we have not established a taxable nexus, often referred to as a “permanent establishment” under international tax treaties, any of which could have a material impact on us, our financial condition or our operating results. </w:t>
      </w:r>
    </w:p>
    <w:p>
      <w:pPr>
        <w:pStyle w:val="TextBody"/>
        <w:bidi w:val="0"/>
        <w:jc w:val="left"/>
        <w:rPr>
          <w:rFonts w:ascii="Times New Roman" w:hAnsi="Times New Roman"/>
          <w:sz w:val="20"/>
        </w:rPr>
      </w:pPr>
      <w:r>
        <w:rPr>
          <w:rFonts w:ascii="Times New Roman" w:hAnsi="Times New Roman"/>
          <w:b/>
          <w:i/>
          <w:color w:val="000000"/>
          <w:sz w:val="20"/>
        </w:rPr>
        <w:t>We may not be able to utilize a significant portion of our net operating loss carryforwards, which could adversely affect our profitability.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As of December 31, 2025, we had $1.1 billion of U.S. federal and $866.1 million of state net operating loss carryforwards. U.S. federal net operating losses generated in taxable years beginning after December 31, 2017 have an indefinite carryforward and may be used to offset up to 80% of taxable income. State net operating loss carryforwards are subject to varying carryforward periods with certain states beginning to expire as early as 2026 and others conforming to an indefinite carryforward period. A portion of our state net operating loss carryforwards could expire unused and be unavailable to offset future income tax liabilities, which could adversely affect our profitability. In addition, under Section 382 and Section 383 of the Internal Revenue Code of 1986,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(by value) within a rolling three-year period. Similar rules may apply under state tax laws. We may have experienced an ownership change in the past, and future issuances of our stock or other transactions could cause an ownership change. It is possible that any such ownership change could have a material effect on the use of our net operating loss carryforwards or other tax attributes accrued prior to such ownership change, which could adversely affect our profitability.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Operating Results and Financial Condition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a history of losses and may not become consistently profitable or maintain or increase profitability in the future.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generated net income of $32.6 million for the three months ended March 31, 2026 and net losses of $21.8 million for the three months ended March 31, 2025. As of March 31, 2026 we had an accumulated deficit of $721.3 million. We will need to generate and sustain increased revenue levels in future periods to become consistently profitable, and, even if we do, we may not be able to maintain or increase our level of profitability. We have spent and intend to continue to expend significant funds on our marketing, sales, customer service, and general and administrative operations, the development and enhancement of our customer platform,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scaling our data center infrastructure and services capabilities and expanding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Quarterly Report on Form 10-K, and unforeseen expenses, difficulties, complications and delays and other unknown events. If we are unable to achieve and sustain profitability, the market price of our common stock may decrease significantly.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From time to time, we may invest funds in social impact investment funds, and may receive no return on our investment or lose our entire investment.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we may invest in social impact investment funds. As of March 31, 2026, we have invested $12.2 million in the National Strategic Investments Impact Fund (f/k/a the Black Economic Development Fund) and $7.5 million in support of Minority Depository Institutions to help close the racial wealth, health and opportunity gap.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bidi w:val="0"/>
        <w:jc w:val="left"/>
        <w:rPr>
          <w:rFonts w:ascii="Times New Roman" w:hAnsi="Times New Roman"/>
          <w:color w:val="000000"/>
          <w:sz w:val="20"/>
        </w:rPr>
      </w:pPr>
      <w:r>
        <w:rPr>
          <w:rFonts w:ascii="Times New Roman" w:hAnsi="Times New Roman"/>
          <w:color w:val="000000"/>
          <w:sz w:val="20"/>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Quarterly Report on Form 10-Q, factors that may affect our quarterly operating results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spending on software by our current or prospective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 our customer platform subscriptions effectively so that we are able to attract and retain customers without compromising our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attracting new customers for our customer platform, increasing our existing customers’ use of our customer platform and providing our customers with excellent customer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renewal rates and the amounts for which agreements are renewed;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awareness of our thought leadership and brand;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competitive dynamics of our market, including consolidation among competitors or customers and the introduction of new products or product enhancements;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the commission plans, quotas and other compensation-related metrics for our sales representatives;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payment for operating expenses, particularly research and development, sales and marketing expenses and employee benefit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costs associated with recruiting, training and integrating new employees while maintaining our company culture;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our existing business and future growth, including increases in the number of customers on our platform and the introduction and adoption of our customer platform in new markets outside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related to the expansion of our business, operations and infrastructure, including disruptions in our hosting network infrastructure and privacy and data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exchange rate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rising inflation in the economies in which we operate and our ability to control costs, including operating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and political conditions in our domestic and international markets, including economic sanctions, trade policy changes and restrictions, trade wars, tariffs, or the threat posed by such actions.</w:t>
      </w:r>
    </w:p>
    <w:p>
      <w:pPr>
        <w:pStyle w:val="TextBody"/>
        <w:bidi w:val="0"/>
        <w:jc w:val="left"/>
        <w:rPr>
          <w:rFonts w:ascii="Times New Roman" w:hAnsi="Times New Roman"/>
          <w:color w:val="000000"/>
          <w:sz w:val="20"/>
        </w:rPr>
      </w:pPr>
      <w:r>
        <w:rPr>
          <w:rFonts w:ascii="Times New Roman" w:hAnsi="Times New Roman"/>
          <w:color w:val="000000"/>
          <w:sz w:val="20"/>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bidi w:val="0"/>
        <w:jc w:val="left"/>
        <w:rPr>
          <w:rFonts w:ascii="Times New Roman" w:hAnsi="Times New Roman"/>
          <w:color w:val="000000"/>
          <w:sz w:val="20"/>
        </w:rPr>
      </w:pPr>
      <w:r>
        <w:rPr>
          <w:rFonts w:ascii="Times New Roman" w:hAnsi="Times New Roman"/>
          <w:color w:val="000000"/>
          <w:sz w:val="20"/>
        </w:rPr>
        <w:t>Our customers have no obligation to renew their subscriptions for our services after the expiration of their contractual subscription period and some customers have elected not to renew. In addition, our customers may renew for fewer subscriptions, renew for shorter contract lengths or switch to lower cost offerings of our services. It is difficult to predict attrition rates given our varied customer base. Our attrition rates may increase or fluctuate as a result of various factors, including customer dissatisfaction with our services, customers’ spending levels, mix of customer base, competition, pricing increases or changes in the macroeconomic environment. If customers do not renew their subscriptions, do not purchase additional features or enhanced subscriptions or if attrition rates increase our operating results in future reporting periods may be significantly below the expectations of the public market, equity research analysts or investors, which could harm the price of our common stock.</w:t>
      </w:r>
    </w:p>
    <w:p>
      <w:pPr>
        <w:pStyle w:val="TextBody"/>
        <w:bidi w:val="0"/>
        <w:jc w:val="left"/>
        <w:rPr>
          <w:rFonts w:ascii="Times New Roman" w:hAnsi="Times New Roman"/>
          <w:sz w:val="20"/>
        </w:rPr>
      </w:pPr>
      <w:r>
        <w:rPr>
          <w:rFonts w:ascii="Times New Roman" w:hAnsi="Times New Roman"/>
          <w:b/>
          <w:i/>
          <w:color w:val="000000"/>
          <w:sz w:val="20"/>
        </w:rPr>
        <w:t>Changes in accounting standards and subjective assumptions, estimates and judgments by management related to complex accounting matters could significantly affect our financial condition and results of operations.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apply accounting principles and related pronouncements, implementation guidelines and interpretations to a wide range of matters that are relevant to our business, are highly complex and involve subjective assumptions, estimates and judgments by our management. Changes in these rules or their interpretation, or changes in underlying assumptions, estimates or judgments by our management, could significantly change our reported or expected financial performance.</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Indebtedness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credit facility provides our lenders with a first-priority lien against substantially all of our assets, and contains financial covenants and other restrictions on our actions, which could limit our operational flexibility and otherwise adversely affect our financial condition.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credit facility restricts our ability to,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 our accounts receivable, inventory, trademarks and most of our other assets as security in other borrowings or transactions, unless the value of the assets subject thereto does not exceed a certain threshold;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liens upon our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dispose of certain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declare dividends or make certain distributions;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undergo a merger or consolidation or other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credit facility also requires that our Consolidated Leverage Ratio (as defined in the Revolving Credit Agreement) not exceed specified levels during periods when we do not maintain investment-grade credit ratings. Our ability to comply with these and other covenants is dependent upon several factors, some of which are beyond our control.</w:t>
      </w:r>
    </w:p>
    <w:p>
      <w:pPr>
        <w:pStyle w:val="TextBody"/>
        <w:bidi w:val="0"/>
        <w:jc w:val="left"/>
        <w:rPr>
          <w:rFonts w:ascii="Times New Roman" w:hAnsi="Times New Roman"/>
          <w:color w:val="000000"/>
          <w:sz w:val="20"/>
        </w:rPr>
      </w:pPr>
      <w:r>
        <w:rPr>
          <w:rFonts w:ascii="Times New Roman" w:hAnsi="Times New Roman"/>
          <w:color w:val="000000"/>
          <w:sz w:val="20"/>
        </w:rPr>
        <w:t xml:space="preserve">Our failure to comply with the covenants or payment requirements, or the occurrence of other events specified in our credit facility, could result in an event of default under the credit facility, which would give our lenders the right to terminate their commitments to provide additional loans under the credit facility and to declare all borrowings outstanding, together with accrued and unpaid interest and fees, to be immediately due and payable. In addition, we have granted our lenders first-priority liens against all of our assets as collateral. Failure to comply with the covenants or other restrictions in the credit facility could result in a default. If the debt under our credit facility was to be accelerated, we may not have sufficient cash on hand or be able to sell sufficient collateral to repay it, which would have an immediate adverse effect on our business and operating results.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Our stock price may be volatile and you may be unable to sell your shares at or above the price you purchased them.</w:t>
      </w:r>
    </w:p>
    <w:p>
      <w:pPr>
        <w:pStyle w:val="TextBody"/>
        <w:bidi w:val="0"/>
        <w:jc w:val="left"/>
        <w:rPr>
          <w:rFonts w:ascii="Times New Roman" w:hAnsi="Times New Roman"/>
          <w:color w:val="000000"/>
          <w:sz w:val="20"/>
        </w:rPr>
      </w:pPr>
      <w:r>
        <w:rPr>
          <w:rFonts w:ascii="Times New Roman" w:hAnsi="Times New Roman"/>
          <w:color w:val="000000"/>
          <w:sz w:val="20"/>
        </w:rPr>
        <w:t xml:space="preserve">The trading prices of the securities of technology companies, including providers of software via the cloud-based model, have been highly volatile. Since shares of our common stock were sold in our initial public offering in October 2014 at a price of $25.00 per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share, our stock price has ranged from $25.79 to $881.13 through March 31, 2026. The market price of our common stock may fluctuate significantly in response to numerous factors, many of which are beyond our control,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revenue and other operating results, including as a result of the addition or loss of any number of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technical innovations, acquisitions, strategic partnerships,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projections we may provide to the public, any changes in these projections or our failure to meet these projections;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operating performance and stock market valuations of cloud-based software or other technology companies, or those in our industry in particular;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volume fluctuations in the trading of our common stock and in the overall stock market, including as a result of trends in the economy as a whole;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large blocks of our common stock or the dilutive effect of our Notes or any other equity or equity-linked financings;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laws or regulations or new interpretations of existing laws or regulations applicable to our business or industry, including data privacy and data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lawsuits threatened or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key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events or factors, including changes in general economic, industry and market conditions and trends, international disputes, wars, and political stability. </w:t>
      </w:r>
    </w:p>
    <w:p>
      <w:pPr>
        <w:pStyle w:val="TextBody"/>
        <w:bidi w:val="0"/>
        <w:jc w:val="left"/>
        <w:rPr>
          <w:rFonts w:ascii="Times New Roman" w:hAnsi="Times New Roman"/>
          <w:color w:val="000000"/>
          <w:sz w:val="20"/>
        </w:rPr>
      </w:pPr>
      <w:r>
        <w:rPr>
          <w:rFonts w:ascii="Times New Roman" w:hAnsi="Times New Roman"/>
          <w:color w:val="000000"/>
          <w:sz w:val="20"/>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pStyle w:val="TextBody"/>
        <w:bidi w:val="0"/>
        <w:jc w:val="left"/>
        <w:rPr>
          <w:rFonts w:ascii="Times New Roman" w:hAnsi="Times New Roman"/>
          <w:color w:val="000000"/>
          <w:sz w:val="20"/>
        </w:rPr>
      </w:pPr>
      <w:r>
        <w:rPr>
          <w:rFonts w:ascii="Times New Roman" w:hAnsi="Times New Roman"/>
          <w:color w:val="000000"/>
          <w:sz w:val="20"/>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As a public company we are subject to the reporting requirements of the Securities Exchange Act of 1934, as amended (the “Exchange Act”), the Sarbanes-Oxley Act of 2002 (the “Sarbanes-Oxley Act”), the Dodd-Frank Wall Street Reform and Consumer Protection Act (the “Dodd-Frank Act”), and the rules and regulations of the New York Stock Exchange (the “NYSE”). We expect that compliance with these rules and regulations will continue to increase our legal, accounting and financial compliance costs, make some activities more difficult, time consuming and costly, and place significant strain on our personnel, systems and resources. </w:t>
      </w:r>
    </w:p>
    <w:p>
      <w:pPr>
        <w:pStyle w:val="TextBody"/>
        <w:bidi w:val="0"/>
        <w:jc w:val="left"/>
        <w:rPr>
          <w:rFonts w:ascii="Times New Roman" w:hAnsi="Times New Roman"/>
          <w:color w:val="000000"/>
          <w:sz w:val="20"/>
        </w:rPr>
      </w:pPr>
      <w:r>
        <w:rPr>
          <w:rFonts w:ascii="Times New Roman" w:hAnsi="Times New Roman"/>
          <w:color w:val="000000"/>
          <w:sz w:val="20"/>
        </w:rPr>
        <w:t>The Sarbanes-Oxley Act requires, among other things, that we assess the effectiveness of our internal control over financial reporting annually and the effectiveness of our disclosure controls and procedures quarterly. In particular, Section 404 of the Sarbanes-Oxley Act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expenses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our hybrid culture, many of our employees – including those critical to maintaining an effective system of disclosure controls and internal control over financial reporting – are working, and are expected to continue to work, in a remote environment and not in the office environment from which they have historically performed their duties. While we have experience maintaining effective control systems with our employees working in remote environments, and risks that we have not contemplated may arise and result in our failure to maintain effective disclosure controls or internal control over financial reporting.</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cannot guarantee that our share repurchase program will be fully consummated or will enhance long-term stockholder value, and share repurchases could increase the volatility of the trading price of our common stock and diminish our cash reserves.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7, 2026, our Board of Directors authorized a share repurchase program under which we are authorized to purchase up to $1.0 billion of our common stock from time to time (the “2026 Share Repurchase Program”). As of May 1, 2026, a total of $600.3 million remained available for repurchase under the share repurchase program. Repurchases under the 2026 Share Repurchase Program will be made in the open market, through privately negotiated transactions or other means, including pursuant to 10b5-1 plans, and in compliance with applicable securities laws and other requirements. The timing, manner, price, and amount of the 2026 Share Repurchase Program is subject to the discretion of our management. The 2026 Share Repurchase Program does not obligate us to acquire a specified number of shares, and may be suspended, modified, or terminated at any time, without prior notice. There can be no assurance that we will repurchase shares at favorable prices. Further, our share repurchases could affect the trading price of our common stock, increase its volatility, reduce our cash reserves, and may be suspended or terminated at any time, which may result in a lower market valuation of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Anti-takeover provisions in our charter documents and Delaware law may delay or prevent an acquisition of our company.</w:t>
      </w:r>
    </w:p>
    <w:p>
      <w:pPr>
        <w:pStyle w:val="TextBody"/>
        <w:bidi w:val="0"/>
        <w:jc w:val="left"/>
        <w:rPr>
          <w:rFonts w:ascii="Times New Roman" w:hAnsi="Times New Roman"/>
          <w:color w:val="000000"/>
          <w:sz w:val="20"/>
        </w:rPr>
      </w:pPr>
      <w:r>
        <w:rPr>
          <w:rFonts w:ascii="Times New Roman" w:hAnsi="Times New Roman"/>
          <w:color w:val="000000"/>
          <w:sz w:val="20"/>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“blank check” preferred stock, which could be issued by the board of directors without stockholder approval and may contain voting, liquidation, dividend and other rights superior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the chairperson of the board of directors, the chief executive officer or the president;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be removed only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no stockholder is permitted to cumulate votes at any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modify, alter or repeal our amended and restated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 majority vote of the holders of our outstanding common stock to amend specified provisions of our charter documents.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w:t>
      </w:r>
    </w:p>
    <w:p>
      <w:pPr>
        <w:pStyle w:val="TextBody"/>
        <w:bidi w:val="0"/>
        <w:jc w:val="left"/>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pStyle w:val="TextBody"/>
        <w:bidi w:val="0"/>
        <w:jc w:val="left"/>
        <w:rPr>
          <w:rFonts w:ascii="Times New Roman" w:hAnsi="Times New Roman"/>
          <w:color w:val="000000"/>
          <w:sz w:val="20"/>
        </w:rPr>
      </w:pPr>
      <w:r>
        <w:rPr>
          <w:rFonts w:ascii="Times New Roman" w:hAnsi="Times New Roman"/>
          <w:color w:val="000000"/>
          <w:sz w:val="20"/>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jc w:val="left"/>
        <w:rPr>
          <w:rFonts w:ascii="Times New Roman" w:hAnsi="Times New Roman"/>
          <w:b/>
          <w:color w:val="000000"/>
          <w:sz w:val="20"/>
        </w:rPr>
      </w:pPr>
      <w:r>
        <w:rPr>
          <w:rFonts w:ascii="Times New Roman" w:hAnsi="Times New Roman"/>
          <w:b/>
          <w:color w:val="000000"/>
          <w:sz w:val="20"/>
        </w:rPr>
        <w:t>General Risks</w:t>
      </w:r>
    </w:p>
    <w:p>
      <w:pPr>
        <w:pStyle w:val="TextBody"/>
        <w:bidi w:val="0"/>
        <w:jc w:val="left"/>
        <w:rPr>
          <w:rFonts w:ascii="Times New Roman" w:hAnsi="Times New Roman"/>
          <w:b/>
          <w:i/>
          <w:color w:val="000000"/>
          <w:sz w:val="20"/>
        </w:rPr>
      </w:pPr>
      <w:r>
        <w:rPr>
          <w:rFonts w:ascii="Times New Roman" w:hAnsi="Times New Roman"/>
          <w:b/>
          <w:i/>
          <w:color w:val="000000"/>
          <w:sz w:val="20"/>
        </w:rPr>
        <w:t>Failure to comply with laws and regulations could harm our business.</w:t>
      </w:r>
    </w:p>
    <w:p>
      <w:pPr>
        <w:pStyle w:val="TextBody"/>
        <w:bidi w:val="0"/>
        <w:jc w:val="left"/>
        <w:rPr>
          <w:rFonts w:ascii="Times New Roman" w:hAnsi="Times New Roman"/>
          <w:color w:val="000000"/>
          <w:sz w:val="20"/>
        </w:rPr>
      </w:pPr>
      <w:r>
        <w:rPr>
          <w:rFonts w:ascii="Times New Roman" w:hAnsi="Times New Roman"/>
          <w:color w:val="000000"/>
          <w:sz w:val="20"/>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pStyle w:val="TextBody"/>
        <w:bidi w:val="0"/>
        <w:jc w:val="left"/>
        <w:rPr>
          <w:rFonts w:ascii="Times New Roman" w:hAnsi="Times New Roman"/>
          <w:sz w:val="20"/>
        </w:rPr>
      </w:pPr>
      <w:r>
        <w:rPr>
          <w:rFonts w:ascii="Times New Roman" w:hAnsi="Times New Roman"/>
          <w:b/>
          <w:i/>
          <w:color w:val="000000"/>
          <w:sz w:val="20"/>
        </w:rPr>
        <w:t>Adverse litigation results could affect our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become involved in legal proceedings or be subject to claims arising in the ordinary course of our business. Litigation can be lengthy, expensive and disruptive to our operations, and can divert our management’s attention away from running our core business. The results of our litigation also cannot be predicted with certainty. Even a favorable judgment may be subject to appeals leading to protracted litigation, additional costs and the prospect that our desired outcome will be overturned. An adverse decision could result in monetary damages or injunctive relief that could affect our business, operating results or financial condition.</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raise capital in the future may be limited, and our failure to raise capital when needed could prevent us from growing.</w:t>
      </w:r>
    </w:p>
    <w:p>
      <w:pPr>
        <w:pStyle w:val="TextBody"/>
        <w:bidi w:val="0"/>
        <w:jc w:val="left"/>
        <w:rPr>
          <w:rFonts w:ascii="Times New Roman" w:hAnsi="Times New Roman"/>
          <w:color w:val="000000"/>
          <w:sz w:val="20"/>
        </w:rPr>
      </w:pPr>
      <w:r>
        <w:rPr>
          <w:rFonts w:ascii="Times New Roman" w:hAnsi="Times New Roman"/>
          <w:color w:val="000000"/>
          <w:sz w:val="20"/>
        </w:rPr>
        <w:t>Our business and operations may consume resources faster than we anticipate. In the future, we may need to raise additional funds to invest in future growth opportunities. Additional financing may not be available on favorable terms, if at all. In addition, recent volatility in capital markets and lower market prices for many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pStyle w:val="TextBody"/>
        <w:bidi w:val="0"/>
        <w:jc w:val="left"/>
        <w:rPr>
          <w:rFonts w:ascii="Times New Roman" w:hAnsi="Times New Roman"/>
          <w:color w:val="000000"/>
          <w:sz w:val="20"/>
        </w:rPr>
      </w:pPr>
      <w:r>
        <w:rPr>
          <w:rFonts w:ascii="Times New Roman" w:hAnsi="Times New Roman"/>
          <w:color w:val="000000"/>
          <w:sz w:val="20"/>
        </w:rPr>
        <w:t>If adequate funds are not available on acceptable terms, we may be unable to invest in future growth opportunities, which could seriously harm our business and operating results. If we incur additional debt, including under the credit facility, the debt holders would have rights senior to common stockholders to make claims on our assets. Additionally, the credit facility restricts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pStyle w:val="TextBody"/>
        <w:bidi w:val="0"/>
        <w:jc w:val="left"/>
        <w:rPr>
          <w:rFonts w:ascii="Times New Roman" w:hAnsi="Times New Roman"/>
          <w:b/>
          <w:i/>
          <w:color w:val="000000"/>
          <w:sz w:val="20"/>
        </w:rPr>
      </w:pPr>
      <w:r>
        <w:rPr>
          <w:rFonts w:ascii="Times New Roman" w:hAnsi="Times New Roman"/>
          <w:b/>
          <w:i/>
          <w:color w:val="000000"/>
          <w:sz w:val="20"/>
        </w:rPr>
        <w:t>Catastrophic events could disrupt our business and adversely affect our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our network infrastructure and enterprise applications, internal technology systems and website for our development, marketing, operations, support, hosted services and sales activities. In addition, some of our businesses rely on third-party hosted services, and we do not control the operation of third-party data center facilities serving our customers from around the world, which increases our vulnerability. A disruption, infiltration or failure of these systems or third-party hosted services in the event of a major earthquake, fire, flood, tsunami or other weather event, power loss, telecommunications failure, software or hardware malfunctions,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pandemics, cyber-attack, war, terrorist attack or other catastrophic event that we do not adequately address, could cause system interruptions, reputational harm, loss of intellectual property, delays in our product development, lengthy interruptions in our services, breaches of data security and loss of critical data. Any of these events could prevent us from fulfilling our customer demands or could negatively impact a country or region in which we sell our products, which could in turn decrease that country’s or region’s demand for our products. A catastrophic event that results in the destruction or disruption of any of our data centers or our critical business or information technology systems could severely affect our ability to conduct normal business operations and, as a result, our future operating results could be adversely affected. The adverse effects of any such catastrophic event would be exacerbated if experienced at the same time as another unexpected and adverse event.</w:t>
      </w:r>
    </w:p>
    <w:p>
      <w:pPr>
        <w:pStyle w:val="TextBody"/>
        <w:bidi w:val="0"/>
        <w:jc w:val="left"/>
        <w:rPr>
          <w:rFonts w:ascii="Times New Roman" w:hAnsi="Times New Roman"/>
          <w:color w:val="000000"/>
          <w:sz w:val="20"/>
        </w:rPr>
      </w:pPr>
      <w:r>
        <w:rPr>
          <w:rFonts w:ascii="Times New Roman" w:hAnsi="Times New Roman"/>
          <w:color w:val="000000"/>
          <w:sz w:val="20"/>
        </w:rPr>
        <w:t xml:space="preserve">The occurrence of regional epidemics or a global pandemic may have an adverse effect on how we and our customers operate our businesses and our operating and financial results. Our operations may in the future be negatively affected by a range of external factors related to the pandemic that are not within our control, including the emergence and spread of more transmissible variants and the degree of transmissibility and severity thereof. The extent to which global pandemics, impact our financial condition or results of operations will depend on factors, such as the duration and scope of the pandemic, as well as whether there is a material impact on the businesses or productivity of our customers, partners, employees, suppliers and other partners. To the extent that a pandemic harms our business and results of operations, many of the other risks described in this “Risk Factors” section may be heightened. </w:t>
      </w:r>
    </w:p>
    <w:p>
      <w:pPr>
        <w:pStyle w:val="TextBody"/>
        <w:bidi w:val="0"/>
        <w:jc w:val="left"/>
        <w:rPr>
          <w:rFonts w:ascii="Times New Roman" w:hAnsi="Times New Roman"/>
          <w:b/>
          <w:i/>
          <w:color w:val="000000"/>
          <w:sz w:val="20"/>
        </w:rPr>
      </w:pPr>
      <w:r>
        <w:rPr>
          <w:rFonts w:ascii="Times New Roman" w:hAnsi="Times New Roman"/>
          <w:b/>
          <w:i/>
          <w:color w:val="000000"/>
          <w:sz w:val="20"/>
        </w:rPr>
        <w:t>Climate-related risks, regulatory compliance and evolving stakeholder expectations may impact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While we seek to partner with organizations that mitigate their business risks associated with climate change, we recognize that there are inherent risks wherever business is conducted, including risks relating to the physical impact of climate change and to transitioning to a lower carbon economy. Any of our primary locations may be vulnerable to the adverse effects of climate change. For example, our offices globally may experience climate-related events at an increasing frequency, including drought, water scarcity, heat waves, cold waves, wildfires and resultant air quality impacts and power shutoffs associated with wildfire prevention. While this danger has a low-assessed risk of disrupting normal business operations, it has the potential to disrupt employees’ abilities to commute to work or to work from home and stay connected effectively. Furthermore, it is more difficult to mitigate the impact of these events on our employees to the extent they work from home. Climate-related events, including the increasing frequency of extreme weather events and their impact on the U.S.’s, Europe’s and other major region’s critical infrastructure, have the potential to disrupt our business, our third-party suppliers and/or the business of our customers, and may cause us to experience higher attrition of our employees, losses and additional costs to maintain or resume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physical and transition risks, regulatory developments, evolving market dynamics and stakeholder expectations regarding climate change may impact our business, financial condition and results of operations. We are working to align our reporting with recognized disclosure standards such as the Financial Stability Board’s Task Force on Climate-Related Financial Disclosures, the Sustainability Accounting Standards Board and the Global Reporting Initiative, and we regularly monitor and prepare for new disclosure requirements that may be applicable to us (for example, the International Financial Reporting Standards S1 and S2). We may also be subject to California’s recently enacted climate disclosure laws, which will require in-scope companies to report on greenhouse gas emissions and climate-related financial risks. The future of these California laws is uncertain given pending litigation, and the California Air Resources Board, which has been tasked with implementing the climate-disclosure laws, has not yet released implementing regulations. Collecting, measuring and reporting sustainability information and metrics to comply with applicable requirements can be resource-intensive and time-consuming, requiring new systems and processes. These efforts may also expose us to operational challenges, reputational scrutiny, and legal and other risks as expectations continue to evolve.</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Share repurchases of the Company’s common stock for the three months ended March 31, 2026 were as follows (in thousands, except share data):</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91"/>
        <w:gridCol w:w="230"/>
        <w:gridCol w:w="1232"/>
        <w:gridCol w:w="146"/>
        <w:gridCol w:w="325"/>
        <w:gridCol w:w="1043"/>
        <w:gridCol w:w="146"/>
        <w:gridCol w:w="378"/>
        <w:gridCol w:w="2027"/>
        <w:gridCol w:w="146"/>
        <w:gridCol w:w="581"/>
        <w:gridCol w:w="2163"/>
        <w:gridCol w:w="197"/>
      </w:tblGrid>
      <w:tr>
        <w:trPr/>
        <w:tc>
          <w:tcPr>
            <w:tcW w:w="159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Average Price Paid per Share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Approximate Dollar Value of Shares that May Yet Be Purchased Under the Program </w:t>
            </w:r>
            <w:r>
              <w:rPr>
                <w:rFonts w:ascii="Times New Roman" w:hAnsi="Times New Roman"/>
                <w:b/>
                <w:color w:val="000000"/>
                <w:sz w:val="11"/>
              </w:rPr>
              <w:t>(2)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2026 to February 28, 2026</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890,923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2026 to March 31, 2026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788,971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Average price paid per share includes costs associated with the repurchases. </w:t>
      </w:r>
    </w:p>
    <w:p>
      <w:pPr>
        <w:pStyle w:val="TextBody"/>
        <w:bidi w:val="0"/>
        <w:jc w:val="left"/>
        <w:rPr>
          <w:rFonts w:ascii="Times New Roman" w:hAnsi="Times New Roman"/>
          <w:sz w:val="20"/>
        </w:rPr>
      </w:pPr>
      <w:r>
        <w:rPr>
          <w:rFonts w:ascii="Times New Roman" w:hAnsi="Times New Roman"/>
          <w:color w:val="000000"/>
          <w:sz w:val="11"/>
        </w:rPr>
        <w:t>(2)</w:t>
      </w:r>
      <w:r>
        <w:rPr>
          <w:rFonts w:ascii="Times New Roman" w:hAnsi="Times New Roman"/>
          <w:color w:val="000000"/>
          <w:sz w:val="20"/>
        </w:rPr>
        <w:t xml:space="preserve"> In February 2026, the Company's Board of Directors authorized the 2026 Share Repurchase Program for the repurchase of shares of the Company’s common stock, in an aggregate amount of up to $1 billion, over a period of 24 months. Refer to Note 14 to the consolidated financial statements contained within this Quarterly Report on Form 10-Q for additional information related to our share repurchases. </w:t>
      </w:r>
    </w:p>
    <w:p>
      <w:pPr>
        <w:pStyle w:val="TextBody"/>
        <w:bidi w:val="0"/>
        <w:jc w:val="left"/>
        <w:rPr/>
      </w:pPr>
      <w:r>
        <w:rPr/>
        <w:t> </w:t>
      </w:r>
    </w:p>
    <w:p>
      <w:pPr>
        <w:pStyle w:val="TextBody"/>
        <w:bidi w:val="0"/>
        <w:jc w:val="left"/>
        <w:rPr>
          <w:rFonts w:ascii="Times New Roman" w:hAnsi="Times New Roman"/>
          <w:sz w:val="20"/>
        </w:rPr>
      </w:pPr>
      <w:bookmarkStart w:id="17" w:name="item_3_defaults_on_senior_securities"/>
      <w:bookmarkEnd w:id="17"/>
      <w:r>
        <w:rPr>
          <w:rFonts w:ascii="Times New Roman" w:hAnsi="Times New Roman"/>
          <w:b/>
          <w:color w:val="000000"/>
          <w:sz w:val="20"/>
        </w:rPr>
        <w:t>Item 3. Defaults 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Securities Trading Plans of Directors or Executive Officers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88"/>
        <w:gridCol w:w="2429"/>
        <w:gridCol w:w="2508"/>
        <w:gridCol w:w="1388"/>
        <w:gridCol w:w="1592"/>
      </w:tblGrid>
      <w:tr>
        <w:trPr/>
        <w:tc>
          <w:tcPr>
            <w:tcW w:w="2288"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r>
      <w:tr>
        <w:trPr/>
        <w:tc>
          <w:tcPr>
            <w:tcW w:w="2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2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Action Taken</w:t>
            </w:r>
          </w:p>
        </w:tc>
        <w:tc>
          <w:tcPr>
            <w:tcW w:w="2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Nature of Trading Arrangement</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Duration of Trading Arrangement</w:t>
            </w:r>
          </w:p>
        </w:tc>
        <w:tc>
          <w:tcPr>
            <w:tcW w:w="1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Number of Securities</w:t>
            </w:r>
          </w:p>
        </w:tc>
      </w:tr>
      <w:tr>
        <w:trPr/>
        <w:tc>
          <w:tcPr>
            <w:tcW w:w="2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Dharmesh Shah (Co-Founder and Chief Technology Officer)</w:t>
            </w:r>
          </w:p>
        </w:tc>
        <w:tc>
          <w:tcPr>
            <w:tcW w:w="2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 (February 13, 2026); Amendment (February 25, 2026)</w:t>
            </w:r>
          </w:p>
        </w:tc>
        <w:tc>
          <w:tcPr>
            <w:tcW w:w="2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 plan intended to satisfy the affirmative defense conditions of Exchange Act Rule 10b5-1(c)</w:t>
            </w:r>
          </w:p>
        </w:tc>
        <w:tc>
          <w:tcPr>
            <w:tcW w:w="138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224 days</w:t>
            </w:r>
          </w:p>
        </w:tc>
        <w:tc>
          <w:tcPr>
            <w:tcW w:w="15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100,000 shares</w:t>
            </w:r>
          </w:p>
        </w:tc>
      </w:tr>
      <w:tr>
        <w:trPr/>
        <w:tc>
          <w:tcPr>
            <w:tcW w:w="2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Wolf Investors, LLC </w:t>
            </w:r>
            <w:r>
              <w:rPr>
                <w:rFonts w:ascii="Times New Roman" w:hAnsi="Times New Roman"/>
                <w:color w:val="000000"/>
                <w:sz w:val="13"/>
              </w:rPr>
              <w:t>(1)</w:t>
            </w:r>
          </w:p>
        </w:tc>
        <w:tc>
          <w:tcPr>
            <w:tcW w:w="2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 (March 12, 2026)</w:t>
            </w:r>
          </w:p>
        </w:tc>
        <w:tc>
          <w:tcPr>
            <w:tcW w:w="2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 plan intended to satisfy the affirmative defense conditions of Exchange Act Rule 10b5-1(c)</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434 days</w:t>
            </w:r>
          </w:p>
        </w:tc>
        <w:tc>
          <w:tcPr>
            <w:tcW w:w="15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102,000 shares</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10b5-1 plan established by Wolf Investors, LLC (the “LLC”). The manager of the LLC is Paul Karger, and the sole member is the Brian P. Halligan 2026 New Hampshire Trust u/a/d February 19, 2026, of which Mr. Halligan is the settlor. Mr. Halligan disclaims beneficial ownership of the securities held directly by the LLC for purposes of Section 13(d) of the Exchange Act.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listed below are filed or incorporated by reference into this Report.</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72"/>
        <w:gridCol w:w="5152"/>
        <w:gridCol w:w="1119"/>
        <w:gridCol w:w="586"/>
        <w:gridCol w:w="854"/>
        <w:gridCol w:w="736"/>
        <w:gridCol w:w="786"/>
      </w:tblGrid>
      <w:tr>
        <w:trPr/>
        <w:tc>
          <w:tcPr>
            <w:tcW w:w="972" w:type="dxa"/>
            <w:tcBorders/>
            <w:shd w:fill="FFFFFF" w:val="clear"/>
            <w:vAlign w:val="center"/>
          </w:tcPr>
          <w:p>
            <w:pPr>
              <w:pStyle w:val="TableContents"/>
              <w:bidi w:val="0"/>
              <w:spacing w:before="0" w:after="283"/>
              <w:jc w:val="left"/>
              <w:rPr>
                <w:sz w:val="4"/>
                <w:szCs w:val="4"/>
              </w:rPr>
            </w:pPr>
            <w:r>
              <w:rPr>
                <w:sz w:val="4"/>
                <w:szCs w:val="4"/>
              </w:rPr>
            </w:r>
          </w:p>
        </w:tc>
        <w:tc>
          <w:tcPr>
            <w:tcW w:w="5152" w:type="dxa"/>
            <w:tcBorders/>
            <w:shd w:fill="FFFFFF" w:val="clear"/>
            <w:vAlign w:val="center"/>
          </w:tcPr>
          <w:p>
            <w:pPr>
              <w:pStyle w:val="TableContents"/>
              <w:bidi w:val="0"/>
              <w:spacing w:before="0" w:after="283"/>
              <w:jc w:val="left"/>
              <w:rPr>
                <w:sz w:val="4"/>
                <w:szCs w:val="4"/>
              </w:rPr>
            </w:pPr>
            <w:r>
              <w:rPr>
                <w:sz w:val="4"/>
                <w:szCs w:val="4"/>
              </w:rPr>
            </w:r>
          </w:p>
        </w:tc>
        <w:tc>
          <w:tcPr>
            <w:tcW w:w="111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854"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shd w:fill="FFFFFF" w:val="clear"/>
            <w:vAlign w:val="center"/>
          </w:tcPr>
          <w:p>
            <w:pPr>
              <w:pStyle w:val="TableContents"/>
              <w:bidi w:val="0"/>
              <w:spacing w:before="0" w:after="283"/>
              <w:jc w:val="left"/>
              <w:rPr>
                <w:sz w:val="4"/>
                <w:szCs w:val="4"/>
              </w:rPr>
            </w:pPr>
            <w:r>
              <w:rPr>
                <w:sz w:val="4"/>
                <w:szCs w:val="4"/>
              </w:rPr>
            </w:r>
          </w:p>
        </w:tc>
      </w:tr>
      <w:tr>
        <w:trPr/>
        <w:tc>
          <w:tcPr>
            <w:tcW w:w="9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51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c>
          <w:tcPr>
            <w:tcW w:w="1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Provided Herewith</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Form</w:t>
            </w:r>
          </w:p>
        </w:tc>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 File no.</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Filing Date</w:t>
            </w:r>
          </w:p>
        </w:tc>
      </w:tr>
      <w:tr>
        <w:trPr/>
        <w:tc>
          <w:tcPr>
            <w:tcW w:w="9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515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Eighth Amended and Restated Certificate of Incorporation dated June 4, 2025.</w:t>
              </w:r>
            </w:hyperlink>
          </w:p>
        </w:tc>
        <w:tc>
          <w:tcPr>
            <w:tcW w:w="1119"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6/10/2025</w:t>
            </w:r>
          </w:p>
        </w:tc>
      </w:tr>
      <w:tr>
        <w:trPr/>
        <w:tc>
          <w:tcPr>
            <w:tcW w:w="9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515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Sixth Amended and Restated By-laws of HubSpot, Inc.</w:t>
              </w:r>
            </w:hyperlink>
          </w:p>
        </w:tc>
        <w:tc>
          <w:tcPr>
            <w:tcW w:w="1119"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6/10/2025</w:t>
            </w:r>
          </w:p>
        </w:tc>
      </w:tr>
      <w:tr>
        <w:trPr/>
        <w:tc>
          <w:tcPr>
            <w:tcW w:w="9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515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Amendment No. 1 to Sixth Amended and Restated By-laws of HubSpot, Inc.</w:t>
              </w:r>
            </w:hyperlink>
          </w:p>
        </w:tc>
        <w:tc>
          <w:tcPr>
            <w:tcW w:w="1119"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3/11/2026</w:t>
            </w:r>
          </w:p>
        </w:tc>
      </w:tr>
      <w:tr>
        <w:trPr/>
        <w:tc>
          <w:tcPr>
            <w:tcW w:w="9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5152"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Common Stock Certificate</w:t>
              </w:r>
            </w:hyperlink>
          </w:p>
        </w:tc>
        <w:tc>
          <w:tcPr>
            <w:tcW w:w="1119"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333-198333</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9/26/2014</w:t>
            </w:r>
          </w:p>
        </w:tc>
      </w:tr>
      <w:tr>
        <w:trPr/>
        <w:tc>
          <w:tcPr>
            <w:tcW w:w="9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5152" w:type="dxa"/>
            <w:tcBorders/>
            <w:tcMar>
              <w:top w:w="0" w:type="dxa"/>
              <w:left w:w="0" w:type="dxa"/>
              <w:bottom w:w="0" w:type="dxa"/>
              <w:right w:w="0" w:type="dxa"/>
            </w:tcMar>
            <w:vAlign w:val="center"/>
          </w:tcPr>
          <w:p>
            <w:pPr>
              <w:pStyle w:val="TableContents"/>
              <w:bidi w:val="0"/>
              <w:spacing w:before="0" w:after="283"/>
              <w:jc w:val="left"/>
              <w:rPr/>
            </w:pPr>
            <w:hyperlink w:anchor="hubs-ex10_1.htm">
              <w:r>
                <w:rPr>
                  <w:rStyle w:val="InternetLink"/>
                  <w:rFonts w:ascii="Times New Roman" w:hAnsi="Times New Roman"/>
                  <w:color w:val="0000FF"/>
                  <w:sz w:val="20"/>
                  <w:u w:val="single"/>
                </w:rPr>
                <w:t>Form of PSU Agreement</w:t>
              </w:r>
            </w:hyperlink>
          </w:p>
        </w:tc>
        <w:tc>
          <w:tcPr>
            <w:tcW w:w="11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5152" w:type="dxa"/>
            <w:tcBorders/>
            <w:tcMar>
              <w:top w:w="0" w:type="dxa"/>
              <w:left w:w="0" w:type="dxa"/>
              <w:bottom w:w="0" w:type="dxa"/>
              <w:right w:w="0" w:type="dxa"/>
            </w:tcMar>
            <w:vAlign w:val="center"/>
          </w:tcPr>
          <w:p>
            <w:pPr>
              <w:pStyle w:val="TableContents"/>
              <w:bidi w:val="0"/>
              <w:spacing w:before="0" w:after="283"/>
              <w:jc w:val="left"/>
              <w:rPr/>
            </w:pPr>
            <w:hyperlink w:anchor="hubs-ex10_2.htm">
              <w:r>
                <w:rPr>
                  <w:rStyle w:val="InternetLink"/>
                  <w:rFonts w:ascii="Times New Roman" w:hAnsi="Times New Roman"/>
                  <w:color w:val="0000FF"/>
                  <w:sz w:val="20"/>
                  <w:u w:val="single"/>
                </w:rPr>
                <w:t>Credit Agreement, dated as of February 10, 2026, by and among the HubSpot, Inc., the lenders and issuing lenders party thereto, and Bank of America, N.A., as Administrative Agent</w:t>
              </w:r>
            </w:hyperlink>
          </w:p>
        </w:tc>
        <w:tc>
          <w:tcPr>
            <w:tcW w:w="111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5152" w:type="dxa"/>
            <w:tcBorders/>
            <w:tcMar>
              <w:top w:w="0" w:type="dxa"/>
              <w:left w:w="0" w:type="dxa"/>
              <w:bottom w:w="0" w:type="dxa"/>
              <w:right w:w="0" w:type="dxa"/>
            </w:tcMar>
            <w:vAlign w:val="center"/>
          </w:tcPr>
          <w:p>
            <w:pPr>
              <w:pStyle w:val="TableContents"/>
              <w:bidi w:val="0"/>
              <w:spacing w:before="0" w:after="283"/>
              <w:jc w:val="left"/>
              <w:rPr/>
            </w:pPr>
            <w:hyperlink w:anchor="hubs-ex10_3.htm">
              <w:r>
                <w:rPr>
                  <w:rStyle w:val="InternetLink"/>
                  <w:rFonts w:ascii="Times New Roman" w:hAnsi="Times New Roman"/>
                  <w:color w:val="0000FF"/>
                  <w:sz w:val="20"/>
                  <w:u w:val="single"/>
                </w:rPr>
                <w:t>Amended and Restated Cash Incentive Bonus Plan</w:t>
              </w:r>
            </w:hyperlink>
          </w:p>
        </w:tc>
        <w:tc>
          <w:tcPr>
            <w:tcW w:w="11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5152" w:type="dxa"/>
            <w:tcBorders/>
            <w:tcMar>
              <w:top w:w="0" w:type="dxa"/>
              <w:left w:w="0" w:type="dxa"/>
              <w:bottom w:w="0" w:type="dxa"/>
              <w:right w:w="0" w:type="dxa"/>
            </w:tcMar>
            <w:vAlign w:val="center"/>
          </w:tcPr>
          <w:p>
            <w:pPr>
              <w:pStyle w:val="TableContents"/>
              <w:bidi w:val="0"/>
              <w:spacing w:before="0" w:after="283"/>
              <w:jc w:val="left"/>
              <w:rPr/>
            </w:pPr>
            <w:hyperlink w:anchor="hubs-ex31_1.htm">
              <w:r>
                <w:rPr>
                  <w:rStyle w:val="InternetLink"/>
                  <w:rFonts w:ascii="Times New Roman" w:hAnsi="Times New Roman"/>
                  <w:color w:val="0000FF"/>
                  <w:sz w:val="20"/>
                  <w:u w:val="single"/>
                </w:rPr>
                <w:t>Certification of Chief Executive Officer Pursuant to Section 302 of the Sarbanes-Oxley Act of 2002</w:t>
              </w:r>
            </w:hyperlink>
          </w:p>
        </w:tc>
        <w:tc>
          <w:tcPr>
            <w:tcW w:w="11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5152" w:type="dxa"/>
            <w:tcBorders/>
            <w:tcMar>
              <w:top w:w="0" w:type="dxa"/>
              <w:left w:w="0" w:type="dxa"/>
              <w:bottom w:w="0" w:type="dxa"/>
              <w:right w:w="0" w:type="dxa"/>
            </w:tcMar>
            <w:vAlign w:val="center"/>
          </w:tcPr>
          <w:p>
            <w:pPr>
              <w:pStyle w:val="TableContents"/>
              <w:bidi w:val="0"/>
              <w:spacing w:before="0" w:after="283"/>
              <w:jc w:val="left"/>
              <w:rPr/>
            </w:pPr>
            <w:hyperlink w:anchor="hubs-ex31_2.htm">
              <w:r>
                <w:rPr>
                  <w:rStyle w:val="InternetLink"/>
                  <w:rFonts w:ascii="Times New Roman" w:hAnsi="Times New Roman"/>
                  <w:color w:val="0000FF"/>
                  <w:sz w:val="20"/>
                  <w:u w:val="single"/>
                </w:rPr>
                <w:t>Certification of Chief Financial Officer Pursuant to Section 302 of the Sarbanes-Oxley Act of 2002</w:t>
              </w:r>
            </w:hyperlink>
          </w:p>
        </w:tc>
        <w:tc>
          <w:tcPr>
            <w:tcW w:w="11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5152" w:type="dxa"/>
            <w:tcBorders/>
            <w:tcMar>
              <w:top w:w="0" w:type="dxa"/>
              <w:left w:w="0" w:type="dxa"/>
              <w:bottom w:w="0" w:type="dxa"/>
              <w:right w:w="0" w:type="dxa"/>
            </w:tcMar>
            <w:vAlign w:val="center"/>
          </w:tcPr>
          <w:p>
            <w:pPr>
              <w:pStyle w:val="TableContents"/>
              <w:bidi w:val="0"/>
              <w:spacing w:before="0" w:after="283"/>
              <w:jc w:val="left"/>
              <w:rPr/>
            </w:pPr>
            <w:hyperlink w:anchor="hubs-ex32_1.htm">
              <w:r>
                <w:rPr>
                  <w:rStyle w:val="InternetLink"/>
                  <w:rFonts w:ascii="Times New Roman" w:hAnsi="Times New Roman"/>
                  <w:color w:val="0000FF"/>
                  <w:sz w:val="20"/>
                  <w:u w:val="single"/>
                </w:rPr>
                <w:t>Certification of Chief Executive Officer and Chief Financial Officer Pursuant to Section 906 of the Sarbanes-Oxley Act of 2002</w:t>
              </w:r>
            </w:hyperlink>
          </w:p>
        </w:tc>
        <w:tc>
          <w:tcPr>
            <w:tcW w:w="11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51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1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51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1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51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c>
          <w:tcPr>
            <w:tcW w:w="11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Registrant has omitted the schedules or exhibits to this Exhibit in accordance with Regulation S-K Item 601(a)(5). A copy of any omitted schedule and/or exhibit will be furnished to the Securities and Exchange Commission upon its request.</w:t>
      </w:r>
    </w:p>
    <w:p>
      <w:pPr>
        <w:pStyle w:val="TextBody"/>
        <w:bidi w:val="0"/>
        <w:jc w:val="left"/>
        <w:rPr>
          <w:rFonts w:ascii="Times New Roman" w:hAnsi="Times New Roman"/>
          <w:color w:val="000000"/>
          <w:sz w:val="20"/>
        </w:rPr>
      </w:pPr>
      <w:r>
        <w:rPr>
          <w:rFonts w:ascii="Times New Roman" w:hAnsi="Times New Roman"/>
          <w:color w:val="000000"/>
          <w:sz w:val="20"/>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4033" w:type="dxa"/>
        <w:jc w:val="left"/>
        <w:tblInd w:w="0" w:type="dxa"/>
        <w:tblLayout w:type="fixed"/>
        <w:tblCellMar>
          <w:top w:w="28" w:type="dxa"/>
          <w:left w:w="28" w:type="dxa"/>
          <w:bottom w:w="28" w:type="dxa"/>
          <w:right w:w="28" w:type="dxa"/>
        </w:tblCellMar>
      </w:tblPr>
      <w:tblGrid>
        <w:gridCol w:w="646"/>
        <w:gridCol w:w="146"/>
        <w:gridCol w:w="324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403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HUBSPOT,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Kate Bueker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jc w:val="left"/>
              <w:rPr>
                <w:rFonts w:ascii="Times New Roman" w:hAnsi="Times New Roman"/>
                <w:sz w:val="20"/>
              </w:rPr>
            </w:pPr>
            <w:r>
              <w:rPr>
                <w:rFonts w:ascii="Times New Roman" w:hAnsi="Times New Roman"/>
                <w:i/>
                <w:color w:val="000000"/>
                <w:sz w:val="20"/>
              </w:rPr>
              <w:t>(Principal Financial and Accounting</w:t>
            </w:r>
            <w:r>
              <w:rPr>
                <w:rFonts w:ascii="Times New Roman" w:hAnsi="Times New Roman"/>
                <w:color w:val="000000"/>
                <w:sz w:val="20"/>
              </w:rPr>
              <w:t xml:space="preserve">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Officer and Authorized Signatory)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May 7,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2" w:name="hubs-ex10_1.htm"/>
      <w:bookmarkStart w:id="23" w:name="kshubsex10_1"/>
      <w:bookmarkEnd w:id="22"/>
      <w:bookmarkEnd w:id="23"/>
      <w:r>
        <w:rPr>
          <w:rFonts w:ascii="Times New Roman" w:hAnsi="Times New Roman"/>
          <w:b/>
          <w:color w:val="000000"/>
          <w:sz w:val="24"/>
        </w:rPr>
        <w:t>Exhibit 10.1</w:t>
      </w:r>
      <w:r>
        <w:br w:type="page"/>
      </w:r>
    </w:p>
    <w:p>
      <w:pPr>
        <w:pStyle w:val="TextBody"/>
        <w:bidi w:val="0"/>
        <w:jc w:val="left"/>
        <w:rPr/>
      </w:pPr>
      <w:r>
        <w:rPr/>
        <w:t> </w:t>
      </w:r>
    </w:p>
    <w:p>
      <w:pPr>
        <w:pStyle w:val="TextBody"/>
        <w:bidi w:val="0"/>
        <w:jc w:val="left"/>
        <w:rPr/>
      </w:pPr>
      <w:r>
        <w:rPr/>
        <w:t> </w:t>
      </w:r>
    </w:p>
    <w:p>
      <w:pPr>
        <w:pStyle w:val="TextBody"/>
        <w:bidi w:val="0"/>
        <w:spacing w:before="0" w:after="480"/>
        <w:jc w:val="center"/>
        <w:rPr>
          <w:rFonts w:ascii="Times New Roman" w:hAnsi="Times New Roman"/>
          <w:b/>
          <w:smallCaps/>
          <w:color w:val="000000"/>
          <w:sz w:val="28"/>
        </w:rPr>
      </w:pPr>
      <w:r>
        <w:rPr>
          <w:rFonts w:ascii="Times New Roman" w:hAnsi="Times New Roman"/>
          <w:b/>
          <w:smallCaps/>
          <w:color w:val="000000"/>
          <w:sz w:val="28"/>
        </w:rPr>
        <w:t>GLOBAL PERFORMANCE-BASED RESTRICTED STOCK UNIT AWARD AGREEMENT</w:t>
        <w:br/>
        <w:t>UNDER THE HUBSPOT, Inc.</w:t>
        <w:br/>
        <w:t>2024 STOCK OPTION AND INCENTIVE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Name of Grantee: #Participant Name#</w:t>
      </w:r>
    </w:p>
    <w:p>
      <w:pPr>
        <w:pStyle w:val="TextBody"/>
        <w:bidi w:val="0"/>
        <w:spacing w:before="0" w:after="240"/>
        <w:jc w:val="left"/>
        <w:rPr>
          <w:rFonts w:ascii="Times New Roman" w:hAnsi="Times New Roman"/>
          <w:sz w:val="20"/>
        </w:rPr>
      </w:pPr>
      <w:r>
        <w:rPr>
          <w:rFonts w:ascii="Times New Roman" w:hAnsi="Times New Roman"/>
          <w:color w:val="000000"/>
          <w:sz w:val="24"/>
        </w:rPr>
        <w:t>Target No. of Restricted Stock Units: #QuantityGranted# (the “</w:t>
      </w:r>
      <w:r>
        <w:rPr>
          <w:rFonts w:ascii="Times New Roman" w:hAnsi="Times New Roman"/>
          <w:b/>
          <w:i/>
          <w:color w:val="000000"/>
          <w:sz w:val="24"/>
        </w:rPr>
        <w:t>Target PSUs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Grant Date: #Grant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Vesting Commencement Date: #VestFromHireDate#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#VestingDateandQuantity#</w:t>
      </w:r>
    </w:p>
    <w:p>
      <w:pPr>
        <w:pStyle w:val="TextBody"/>
        <w:bidi w:val="0"/>
        <w:spacing w:before="240" w:after="240"/>
        <w:jc w:val="both"/>
        <w:rPr>
          <w:rFonts w:ascii="Times New Roman" w:hAnsi="Times New Roman"/>
          <w:sz w:val="20"/>
        </w:rPr>
      </w:pPr>
      <w:r>
        <w:rPr>
          <w:rFonts w:ascii="Times New Roman" w:hAnsi="Times New Roman"/>
          <w:color w:val="000000"/>
          <w:sz w:val="24"/>
        </w:rPr>
        <w:t>Pursuant to the HubSpot, Inc. 2024 Stock Option and Incentive Plan (as amended from time to time,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and this Global Performance-Based Restricted Stock Unit Award Agreement, including any additional terms and conditions for the Grantee’s country set forth in the appendix attached hereto (the “</w:t>
      </w:r>
      <w:r>
        <w:rPr>
          <w:rFonts w:ascii="Times New Roman" w:hAnsi="Times New Roman"/>
          <w:b/>
          <w:i/>
          <w:color w:val="000000"/>
          <w:sz w:val="24"/>
        </w:rPr>
        <w:t>Appendix</w:t>
      </w:r>
      <w:r>
        <w:rPr>
          <w:rFonts w:ascii="Times New Roman" w:hAnsi="Times New Roman"/>
          <w:color w:val="000000"/>
          <w:sz w:val="20"/>
        </w:rPr>
        <w:t xml:space="preserve">” </w:t>
      </w:r>
      <w:r>
        <w:rPr>
          <w:rFonts w:ascii="Times New Roman" w:hAnsi="Times New Roman"/>
          <w:color w:val="000000"/>
          <w:sz w:val="24"/>
        </w:rPr>
        <w:t>and together with the Global Performance-Based Restricted Stock Unit Award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HubSpot,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hereby grants an award of the Target PSUs listed above (an “</w:t>
      </w:r>
      <w:r>
        <w:rPr>
          <w:rFonts w:ascii="Times New Roman" w:hAnsi="Times New Roman"/>
          <w:b/>
          <w:i/>
          <w:color w:val="000000"/>
          <w:sz w:val="24"/>
        </w:rPr>
        <w:t>Award</w:t>
      </w:r>
      <w:r>
        <w:rPr>
          <w:rFonts w:ascii="Times New Roman" w:hAnsi="Times New Roman"/>
          <w:color w:val="000000"/>
          <w:sz w:val="20"/>
        </w:rPr>
        <w:t>”</w:t>
      </w:r>
      <w:r>
        <w:rPr>
          <w:rFonts w:ascii="Times New Roman" w:hAnsi="Times New Roman"/>
          <w:color w:val="000000"/>
          <w:sz w:val="24"/>
        </w:rPr>
        <w:t>) to the Grantee named above. Each Restricted Stock Unit shall relate to one share of Common Stock, par value $0.001 per share (the “</w:t>
      </w:r>
      <w:r>
        <w:rPr>
          <w:rFonts w:ascii="Times New Roman" w:hAnsi="Times New Roman"/>
          <w:b/>
          <w:i/>
          <w:color w:val="000000"/>
          <w:sz w:val="24"/>
        </w:rPr>
        <w:t>Shares</w:t>
      </w:r>
      <w:r>
        <w:rPr>
          <w:rFonts w:ascii="Times New Roman" w:hAnsi="Times New Roman"/>
          <w:color w:val="000000"/>
          <w:sz w:val="20"/>
        </w:rPr>
        <w:t>”</w:t>
      </w:r>
      <w:r>
        <w:rPr>
          <w:rFonts w:ascii="Times New Roman" w:hAnsi="Times New Roman"/>
          <w:color w:val="000000"/>
          <w:sz w:val="24"/>
        </w:rPr>
        <w:t>),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Restrictions on Transfer of Award</w:t>
      </w:r>
      <w:r>
        <w:rPr>
          <w:rFonts w:ascii="Times New Roman" w:hAnsi="Times New Roman"/>
          <w:color w:val="000000"/>
          <w:sz w:val="24"/>
        </w:rPr>
        <w:t>. This Award may not be sold, transferred, pledged, assigned or otherwise encumbered or disposed of by the Grantee, and any Shares issuable with respect to the Award may not be sold, transferred, pledged, assigned or otherwise encumbered or disposed of until (i) the Restricted Stock Units have vested as provided in Paragraph 2 of this Agreement and (ii) Shares have been issued to the Grantee in accordance with the terms of the Plan and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Vesting of Restricted Stock Units</w:t>
      </w:r>
      <w:r>
        <w:rPr>
          <w:rFonts w:ascii="Times New Roman" w:hAnsi="Times New Roman"/>
          <w:color w:val="000000"/>
          <w:sz w:val="24"/>
        </w:rPr>
        <w:t xml:space="preserve">. The Restricted Stock Units shall become Earned PSUs (as defined in </w:t>
      </w:r>
      <w:r>
        <w:rPr>
          <w:rFonts w:ascii="Times New Roman" w:hAnsi="Times New Roman"/>
          <w:color w:val="000000"/>
          <w:sz w:val="24"/>
          <w:u w:val="single"/>
        </w:rPr>
        <w:t>Exhibit A</w:t>
      </w:r>
      <w:r>
        <w:rPr>
          <w:rFonts w:ascii="Times New Roman" w:hAnsi="Times New Roman"/>
          <w:color w:val="000000"/>
          <w:sz w:val="24"/>
        </w:rPr>
        <w:t xml:space="preserve">) following the completion of the Performance Period (as defined in </w:t>
      </w:r>
      <w:r>
        <w:rPr>
          <w:rFonts w:ascii="Times New Roman" w:hAnsi="Times New Roman"/>
          <w:color w:val="000000"/>
          <w:sz w:val="24"/>
          <w:u w:val="single"/>
        </w:rPr>
        <w:t>Exhibit A</w:t>
      </w:r>
      <w:r>
        <w:rPr>
          <w:rFonts w:ascii="Times New Roman" w:hAnsi="Times New Roman"/>
          <w:color w:val="000000"/>
          <w:sz w:val="24"/>
        </w:rPr>
        <w:t xml:space="preserve">) in accordance with the terms and conditions of </w:t>
      </w:r>
      <w:r>
        <w:rPr>
          <w:rFonts w:ascii="Times New Roman" w:hAnsi="Times New Roman"/>
          <w:color w:val="000000"/>
          <w:sz w:val="24"/>
          <w:u w:val="single"/>
        </w:rPr>
        <w:t>Exhibit A</w:t>
      </w:r>
      <w:r>
        <w:rPr>
          <w:rFonts w:ascii="Times New Roman" w:hAnsi="Times New Roman"/>
          <w:color w:val="000000"/>
          <w:sz w:val="24"/>
        </w:rPr>
        <w:t xml:space="preserve">; provided that the Grantee remains in a Service Relationship with the Company or a Subsidiary through the Certification Date (as defined in </w:t>
      </w:r>
      <w:r>
        <w:rPr>
          <w:rFonts w:ascii="Times New Roman" w:hAnsi="Times New Roman"/>
          <w:color w:val="000000"/>
          <w:sz w:val="24"/>
          <w:u w:val="single"/>
        </w:rPr>
        <w:t>Exhibit A</w:t>
      </w:r>
      <w:r>
        <w:rPr>
          <w:rFonts w:ascii="Times New Roman" w:hAnsi="Times New Roman"/>
          <w:color w:val="000000"/>
          <w:sz w:val="24"/>
        </w:rPr>
        <w:t xml:space="preserve">). The Earned PSUs, if any, shall vest as follows: one-third (1/3) of the Earned PSUs shall vest on the Certification Date and the remaining two-thirds (2/3) of the Earned PSUs shall vest in eight equal quarterly installments on the eight quarterly anniversaries of the Vesting Commencement Date following the Certification Date; provided that the Grantee remains in a Service Relationship through the applicable vesting date. For the avoidance of doubt, a Service Relationship during only a period prior to a vesting date (but where the Service Relationship has terminated prior to the vesting date) does not entitle the Grantee to vest in a pro-rata portion of the Restricted Stock Units on such date or entitle the Grantee to compensation for lost vesting. The Administrator may at any time accelerate the vesting schedule specified in this Paragraph 2. This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is subject to the terms and conditions of any policies of the Company regarding vesting during leaves of absence.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the event that the Grantee’s Service Relationship terminates due to the Grantee’s death, then any Earned PSUs that are unvested on the date of the Grantee’s death shall be deemed vested upon the date of the Grantee’s death. In the event that the Grantee’s Service Relationship terminates due to the Grantee’s death after the end of the Performance Period but prior to the Certification Date, the Administrator shall determine the number of Restricted Stock Units that become Earned PSUs based on the Company’s Constant Currency Revenue Growth in accordance with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and any such Earned PSUs</w:t>
      </w:r>
      <w:r>
        <w:rPr>
          <w:rFonts w:ascii="Times New Roman" w:hAnsi="Times New Roman"/>
          <w:color w:val="000000"/>
          <w:sz w:val="20"/>
        </w:rPr>
        <w:t xml:space="preserve"> </w:t>
      </w:r>
      <w:r>
        <w:rPr>
          <w:rFonts w:ascii="Times New Roman" w:hAnsi="Times New Roman"/>
          <w:color w:val="000000"/>
          <w:sz w:val="24"/>
        </w:rPr>
        <w:t>shall be deemed vested upon the date of the Grantee’s death.</w:t>
      </w:r>
      <w:r>
        <w:rPr>
          <w:rFonts w:ascii="Times New Roman" w:hAnsi="Times New Roman"/>
          <w:color w:val="000000"/>
          <w:sz w:val="20"/>
        </w:rPr>
        <w:t xml:space="preserve"> </w:t>
      </w:r>
      <w:r>
        <w:rPr>
          <w:rFonts w:ascii="Times New Roman" w:hAnsi="Times New Roman"/>
          <w:color w:val="000000"/>
          <w:sz w:val="24"/>
        </w:rPr>
        <w:t>In the event that the Grantee’s Service Relationship terminates due to the Grantee’s death prior to the end of the Performance Period, a pro-rated portion of the Target PSUs shall be deemed vested upon the date of the Grantee’s death, with such pro-ration determined by multiplying the Target PSUs by a fraction, the numerator of which is the number of full months elapsed in the Performance Period prior to the date of the Grantee’s death and the denominator of which is 12.</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the foregoing, in the event of a Sale Event (as defined in the Plan) that occurs prior to the Certification Date, the number of Restricted Stock Units that become Earned PSUs shall be determined at the time of the Sale Event (i) based on actual performance through the date of the Sale Event, if determinable, or (ii) if actual performance is not determinable at the time of the Sale Event, based on the target level of performance (i.e., 100% of the Target PSUs shall be deemed Earned PSUs). In the event that the Earned PSUs are not continued or assumed by a successor to the Company, then Earned PSUs shall vest in full upon the Sale Event. In the event that the Earned PSUs are continued or assumed by a successor to the Company, such Earned PSUs shall remain subject to the time-based vesting schedule set forth in Paragraph 2 (with the first one-third (1/3) of the Earned PSUs vesting upon the earlier of the first anniversary of the Vesting Commencement Date or the Sale Event) but shall be deemed vested in full upon the date on which the Grantee’s Service Relationship terminates if such termination occurs (i) within 12 months after such Sale Event or 90 days prior to such Sale Event, and (ii) such termination is by the Company or any Subsidiary or successor entity without Cause (as defined in the Plan) or by the Grantee for Good Reason (as defined in the Plan).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Termination of Service Relationship</w:t>
      </w:r>
      <w:r>
        <w:rPr>
          <w:rFonts w:ascii="Times New Roman" w:hAnsi="Times New Roman"/>
          <w:color w:val="000000"/>
          <w:sz w:val="24"/>
        </w:rPr>
        <w:t>. Except as set forth above, if the Grantee’s Service Relationship terminates for any reason (including disability) prior to the satisfaction of the vesting and acceleration conditions set forth in Paragraph 2 above, any Restricted Stock Units that have not vested as of such date shall automatically and without notice terminate and be forfeited, and neither the Grantee nor any of the Grantee’s successors, heirs, assigns or personal representatives will thereafter have any further rights or interests in such unvested Restricted Stock Units.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Issuance of Shares</w:t>
      </w:r>
      <w:r>
        <w:rPr>
          <w:rFonts w:ascii="Times New Roman" w:hAnsi="Times New Roman"/>
          <w:color w:val="000000"/>
          <w:sz w:val="24"/>
        </w:rPr>
        <w:t xml:space="preserve">. As soon as practicable following each vesting date (but in no event later than two and one-half months after the end of the year in which the vesting date occurs), the Company shall issue to the Grantee (or in the event of the Grantee’s death, the Grantee’s designated beneficiary or the Grantee’s estate or legal heirs if the Grantee has not designated a beneficiary) the number of Shares equal to the aggregate number of Earned PSUs that have vested pursuant to Paragraph 2 of this Agreement on such date, rounded down to the nearest whole Share, and the Grantee (or the Grantee’s designated beneficiary or estate, as applicable) shall thereafter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have all the rights of a stockholder of the Company with respect to such Shares. No fractional Shares shall be issued.</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Incorporation of Plan</w:t>
      </w:r>
      <w:r>
        <w:rPr>
          <w:rFonts w:ascii="Times New Roman" w:hAnsi="Times New Roman"/>
          <w:color w:val="000000"/>
          <w:sz w:val="24"/>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meanings specified in the Plan, unless a different meaning is specified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Responsibility for Taxes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The Grantee acknowledges that, regardless of any action taken by the Company or any Affiliate with which the Grantee has a Service Relationship (the “</w:t>
      </w:r>
      <w:r>
        <w:rPr>
          <w:rFonts w:ascii="Times New Roman" w:hAnsi="Times New Roman"/>
          <w:b/>
          <w:i/>
          <w:color w:val="000000"/>
          <w:sz w:val="24"/>
        </w:rPr>
        <w:t>Employer</w:t>
      </w:r>
      <w:r>
        <w:rPr>
          <w:color w:val="000000"/>
        </w:rPr>
        <w:t>”</w:t>
      </w:r>
      <w:r>
        <w:rPr>
          <w:rFonts w:ascii="Times New Roman" w:hAnsi="Times New Roman"/>
          <w:color w:val="000000"/>
          <w:sz w:val="24"/>
        </w:rPr>
        <w:t>), the ultimate liability for all income tax, social insurance, payroll tax, fringe benefits tax, payment on account or other tax-related items related to the Grantee’s participation in the Plan and legally applicable to the Grantee (“</w:t>
      </w:r>
      <w:r>
        <w:rPr>
          <w:rFonts w:ascii="Times New Roman" w:hAnsi="Times New Roman"/>
          <w:b/>
          <w:i/>
          <w:color w:val="000000"/>
          <w:sz w:val="24"/>
        </w:rPr>
        <w:t>Tax-Related Items</w:t>
      </w:r>
      <w:r>
        <w:rPr>
          <w:color w:val="000000"/>
        </w:rPr>
        <w:t>”</w:t>
      </w:r>
      <w:r>
        <w:rPr>
          <w:rFonts w:ascii="Times New Roman" w:hAnsi="Times New Roman"/>
          <w:color w:val="000000"/>
          <w:sz w:val="24"/>
        </w:rPr>
        <w:t>) are and remains the Grantee’s responsibility and may exceed the amount, if any, actually withheld by the Company or the Employer. The Grantee further acknowledges that the Company and/or the Employer (i) make no representations or undertakings regarding the treatment of any Tax-Related Items in connection with any aspect of the Restricted Stock Units, including, but not limited to, the grant, vesting, or settlement of the Restricted Stock Units, the subsequent sale of Shares acquired pursuant to such settlement, and the receipt of any dividends; and (ii) do not commit to and are under no obligation to structure the terms of the grant or any aspect of the Restricted Stock Units to reduce or eliminate the Grantee’s liability for Tax-Related Items or achieve any particular tax result. Further, if the Grantee is subject to Tax-Related Items in more than one jurisdiction, the Grantee acknowledges that the Company and/or the Employer (or former employer, as applicable) may be required to withhold or account for Tax-Related Items in more than one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Prior to any relevant taxable or tax withholding event, as applicable, the Grantee agrees to make adequate arrangements satisfactory to the Company and/or the Employer to satisfy all Tax-Related Items. In this regard, the Grantee authorizes the Company and/or the Employer, or their respective agents, at their discretion, to satisfy any applicable withholding obligations or rights with regard to all Tax-Related Items by one or a combination of the following: (i) withholding from the Grantee’s wages or other cash compensation payable to the Grantee; (ii) withholding from proceeds of the sale of Shares acquired upon settlement of the Restricted Stock Units either through a voluntary sale or through a mandatory sale arranged by the Company (on the Grantee’s behalf pursuant to this authorization without further consent); (iii) withholding from Shares to be issued to the Grantee upon settlement of the Restricted Stock Units;</w:t>
      </w:r>
      <w:r>
        <w:rPr>
          <w:color w:val="000000"/>
        </w:rPr>
        <w:t xml:space="preserve"> </w:t>
      </w:r>
      <w:r>
        <w:rPr>
          <w:rFonts w:ascii="Times New Roman" w:hAnsi="Times New Roman"/>
          <w:color w:val="000000"/>
          <w:sz w:val="24"/>
        </w:rPr>
        <w:t xml:space="preserve">or (iv) any other method of withholding determined by the Company and permitted by applicable law; provided, however, that that if the Grantee is a Section 16 officer of the Company under the Exchange Act, then any Tax-Related Items shall be withheld only by using alternative (iii).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Depending on the withholding method, the Company and/or the Employer may withhold or account for Tax-Related Items by considering statutory or other withholding rates, including maximum rates applicable in the Grantee’s jurisdiction. In the event of over-withholding, the Grantee may receive a refund of any over-withheld amount in cash through the Employer’s normal payroll processes (with no entitlement to the equivalent in Shares) or, if not refunded, the Grantee may be able to seek a refund from the local tax authorities. In the event of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under-withholding, the Grantee may be required to pay additional Tax-Related Items directly to the local tax authorities or to the Company and/or the Employer. If the obligation for Tax-Related Items is satisfied by withholding in Shares, for tax purposes, the Grantee is deemed to have been issued the full number of Shares subject to the vested Restricted Stock Units, notwithstanding that a number of the Shares is held back solely for the purpose of paying the Tax-Related Items.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Grantee agrees to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or the proceeds of the sale of Shares, if the Grantee fails to comply with the Grantee’s obligations in connection with the Tax-Related Items.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Section 409A of the Code.</w:t>
      </w:r>
      <w:r>
        <w:rPr>
          <w:color w:val="000000"/>
        </w:rPr>
        <w:t xml:space="preserve"> </w:t>
      </w:r>
      <w:r>
        <w:rPr>
          <w:rFonts w:ascii="Times New Roman" w:hAnsi="Times New Roman"/>
          <w:color w:val="000000"/>
          <w:sz w:val="24"/>
        </w:rPr>
        <w:t>This Agreement shall be interpreted in such a manner that all provisions relating to the settlement of the Award are exempt from the requirements of Section 409A as “short-term deferrals” as described in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u w:val="single"/>
        </w:rPr>
        <w:t>No Obligation to Continue Service Relationship</w:t>
      </w:r>
      <w:r>
        <w:rPr>
          <w:rFonts w:ascii="Times New Roman" w:hAnsi="Times New Roman"/>
          <w:color w:val="000000"/>
          <w:sz w:val="24"/>
        </w:rPr>
        <w:t>. The Employer is not obligated by or as a result of the Plan or this Agreement to continue the Grantee’s Service Relationship, and neither the Plan nor this Agreement shall interfere in any way with the right of the Employer to terminate the Grantee’s Service Relationship at any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olor w:val="000000"/>
          <w:sz w:val="24"/>
          <w:u w:val="single"/>
        </w:rPr>
        <w:t>Integration</w:t>
      </w:r>
      <w:r>
        <w:rPr>
          <w:rFonts w:ascii="Times New Roman" w:hAnsi="Times New Roman"/>
          <w:color w:val="000000"/>
          <w:sz w:val="24"/>
        </w:rPr>
        <w:t>. This Agreement constitutes the entire agreement between the parties with respect to this Award and supersedes all prior agreements and discussions between the parties concerning such subject matter.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4"/>
          <w:u w:val="single"/>
        </w:rPr>
        <w:t>Nature of Grant</w:t>
      </w:r>
      <w:r>
        <w:rPr>
          <w:rFonts w:ascii="Times New Roman" w:hAnsi="Times New Roman"/>
          <w:color w:val="000000"/>
          <w:sz w:val="24"/>
        </w:rPr>
        <w:t>. In accepting the Award, the Grantee acknowledges, understands and agrees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is established voluntarily by the Company, it is discretionary in nature, and may be amended, suspended, or terminated by the Company at any time, to the extent permitted by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decisions with respect to future Restricted Stock Units or other grants, if any, will be at the sole discretion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Grantee is voluntarily participating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Restricted Stock Units and any Shares subject to the Restricted Stock Units, and the income from and value of same, are not intended to replace any pension rights or compensation;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 of the Restricted Stock Units shall not be interpreted as forming or amending any Service Relationship with the Company or any Affiliate (including the Employer);</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agreed with the Company, the Restricted Stock Units and the Shares subject to the Restricted Stock Units, and the income from and value of same, are not granted as consideration for, or in connection with, the service the Grantee may provide as a director of a Subsidiary or Affiliate;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Restricted Stock Units and any Shares subject to the Restricted Stock Units, and the income from and value of same, are not part of normal or expected compensation for purposes of, including, without limitation, calculating any severance, resignation, termination, redundancy, dismissal, end-of-service payments, bonuses, long-service awards, holiday pay, pension or retirement or welfare benefits or similar mandatory payments;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future value of the Shares underlying the Restricted Stock Units is unknown, indeterminable, and cannot be predicted with certainty;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claim or entitlement to compensation or damages shall arise from forfeiture of the Restricted Stock Units resulting from the termination of the Grantee’s Service Relationship (for any reason whatsoever, whether or not later found to be invalid or in breach of labor laws in the jurisdiction where the Grantee is employed or the terms of the Grantee’s employment agreement, if 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provided in the Plan or by the Company in its discretion, the Restricted Stock Units and the benefits evidenced by this Agreement do not create any entitlement to have the Restricted Stock Units or any such benefits transferred to, or assumed by, another company nor to be exchanged, cashed out, or substituted for, in connection with any corporate transaction affecting the Shares;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Grantee resides and/or works in a country outside the United States, the following shall apply: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Restricted Stock Units and any Shares subject to the Restricted Stock Units, and the income from and value of same, are not part of normal or expected compensation for any purpose;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Company, the Employer nor any other Affiliate shall be liable for any foreign exchange rate fluctuation between the Grantee’s local currency and the United States dollar that may affect the value of the Restricted Stock Units or of any amounts due to the Grantee pursuant to the settlement of the Restricted Stock Units or the subsequent sale of any Shares acquired upon settlement.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Appendix</w:t>
      </w:r>
      <w:r>
        <w:rPr>
          <w:rFonts w:ascii="Times New Roman" w:hAnsi="Times New Roman"/>
          <w:color w:val="000000"/>
          <w:sz w:val="24"/>
        </w:rPr>
        <w:t xml:space="preserve">. Notwithstanding any provision of this Global Restricted Stock Unit Award Agreement, if the Grantee resides in a country outside the United States or is otherwise subject to the laws of a country other than the United States, the Restricted Stock Units shall be subject to the additional terms and conditions set forth in the Appendix for the Grantee’s country, if any. Moreover, if the Grantee relocates to one of the countries included in the Appendix during the term of the Restricted Stock Units, the terms and conditions for such country shall apply to the Grantee, to the extent the Company determines that the application of such terms and conditions is necessary or advisable for legal or administrative reasons. The Appendix forms part of this Agreement.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olor w:val="000000"/>
          <w:sz w:val="24"/>
          <w:u w:val="single"/>
        </w:rPr>
        <w:t>Language</w:t>
      </w:r>
      <w:r>
        <w:rPr>
          <w:rFonts w:ascii="Times New Roman" w:hAnsi="Times New Roman"/>
          <w:color w:val="000000"/>
          <w:sz w:val="24"/>
        </w:rPr>
        <w:t>. The Grantee acknowledges that the Grantee is proficient in the English language or has consulted with an advisor who is sufficiently proficient in English, so as to allow the Grantee to understand the terms and conditions of this Agreement. If the Grantee has received this Agreement, or any other documents related to the Restricted Stock Units and/or the Plan translated into a language other than English and if the meaning of the translated version is different than the English version, the English version will control, unless otherwise required under applicable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rFonts w:ascii="Times New Roman" w:hAnsi="Times New Roman"/>
          <w:color w:val="000000"/>
          <w:sz w:val="24"/>
          <w:u w:val="single"/>
        </w:rPr>
        <w:t>Waivers</w:t>
      </w:r>
      <w:r>
        <w:rPr>
          <w:rFonts w:ascii="Times New Roman" w:hAnsi="Times New Roman"/>
          <w:color w:val="000000"/>
          <w:sz w:val="24"/>
        </w:rPr>
        <w:t>. The Grantee acknowledges that a waiver by the Company of breach of any provision of this Agreement shall not operate or be construed as a waiver of any other provision of this Agreement, or of any subsequent breach by the Grantee or any other grantee</w:t>
      </w:r>
      <w:r>
        <w:rPr>
          <w:rFonts w:ascii="Times New Roman" w:hAnsi="Times New Roman"/>
          <w:b/>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olor w:val="000000"/>
          <w:sz w:val="24"/>
          <w:u w:val="single"/>
        </w:rPr>
        <w:t>Choice of Law</w:t>
      </w:r>
      <w:r>
        <w:rPr>
          <w:rFonts w:ascii="Times New Roman" w:hAnsi="Times New Roman"/>
          <w:color w:val="000000"/>
          <w:sz w:val="24"/>
        </w:rPr>
        <w:t xml:space="preserve">. This Agreement shall be governed by, and construed in accordance with, the laws of the State of Delaware, applied without regard to conflict of law principles.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pPr>
      <w:r>
        <w:rPr>
          <w:rFonts w:ascii="Times New Roman" w:hAnsi="Times New Roman"/>
          <w:color w:val="000000"/>
          <w:sz w:val="24"/>
          <w:u w:val="single"/>
        </w:rPr>
        <w:t>Venue</w:t>
      </w:r>
      <w:r>
        <w:rPr>
          <w:rFonts w:ascii="Times New Roman" w:hAnsi="Times New Roman"/>
          <w:color w:val="000000"/>
          <w:sz w:val="24"/>
        </w:rPr>
        <w:t>. For purposes of litigating any dispute that arises directly or indirectly from the relationship of the parties evidenced by this Agreement, the parties hereby submit to and consent to the exclusive jurisdiction of the Commonwealth of Massachusetts and agree that such litigation shall be conducted only in the courts of Middlesex County, Massachusetts, or the federal courts for the Commonwealth of Massachusetts, where this grant is made and/or to be performed, and no other courts.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pPr>
      <w:r>
        <w:rPr>
          <w:rFonts w:ascii="Times New Roman" w:hAnsi="Times New Roman"/>
          <w:color w:val="000000"/>
          <w:sz w:val="24"/>
          <w:u w:val="single"/>
        </w:rPr>
        <w:t>Imposition of Other Requirements</w:t>
      </w:r>
      <w:r>
        <w:rPr>
          <w:rFonts w:ascii="Times New Roman" w:hAnsi="Times New Roman"/>
          <w:color w:val="000000"/>
          <w:sz w:val="24"/>
        </w:rPr>
        <w:t>. The Company reserves the right to impose other requirements on the Restricted Stock Units and the Shares acquired upon settlement of the Restricted Stock Units, to the extent the Company determines it is necessary or advisable for legal or administrative reasons, and to require the Grantee to accept any additional agreements or undertakings that may be necessary to accomplish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pPr>
      <w:r>
        <w:rPr>
          <w:rFonts w:ascii="Times New Roman" w:hAnsi="Times New Roman"/>
          <w:color w:val="000000"/>
          <w:sz w:val="24"/>
          <w:u w:val="single"/>
        </w:rPr>
        <w:t>Electronic Delivery and Participation</w:t>
      </w:r>
      <w:r>
        <w:rPr>
          <w:rFonts w:ascii="Times New Roman" w:hAnsi="Times New Roman"/>
          <w:color w:val="000000"/>
          <w:sz w:val="24"/>
        </w:rPr>
        <w:t>. The Company may, in its sole discretion, decide to deliver any documents related to current or future participation in the Plan by electronic means. The Grantee hereby consents to receive such documents by electronic delivery and agree to participate in the Plan through an on-line or electronic system established and maintained by the Company or a third party designated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both"/>
        <w:rPr/>
      </w:pPr>
      <w:r>
        <w:rPr>
          <w:rFonts w:ascii="Times New Roman" w:hAnsi="Times New Roman"/>
          <w:color w:val="000000"/>
          <w:sz w:val="24"/>
          <w:u w:val="single"/>
        </w:rPr>
        <w:t>Compliance with Law</w:t>
      </w:r>
      <w:r>
        <w:rPr>
          <w:rFonts w:ascii="Times New Roman" w:hAnsi="Times New Roman"/>
          <w:color w:val="000000"/>
          <w:sz w:val="24"/>
        </w:rPr>
        <w:t xml:space="preserve">. Notwithstanding any other provision of the Plan or this Agreement, unless there is an available exemption from any registration, qualification or other legal requirement applicable to the Shares, the Company shall not be required to permit the vesting of the Restricted Stock Units and/or deliver any Shares prior to the completion of any registration or qualification of the Shares under any U.S. or non-U.S. local, state, or federal securities or other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applicable law or under rulings or regulations of the U.S. Securities and Exchange Commission (“</w:t>
      </w:r>
      <w:r>
        <w:rPr>
          <w:rFonts w:ascii="Times New Roman" w:hAnsi="Times New Roman"/>
          <w:b/>
          <w:i/>
          <w:color w:val="000000"/>
          <w:sz w:val="24"/>
        </w:rPr>
        <w:t>SEC</w:t>
      </w:r>
      <w:r>
        <w:rPr>
          <w:color w:val="000000"/>
        </w:rPr>
        <w:t>”</w:t>
      </w:r>
      <w:r>
        <w:rPr>
          <w:rFonts w:ascii="Times New Roman" w:hAnsi="Times New Roman"/>
          <w:color w:val="000000"/>
          <w:sz w:val="24"/>
        </w:rPr>
        <w:t>)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Grantee understands that the Company is under no obligation to register or qualify the Shares with the SEC or any state or non-U.S. securities commission or to seek approval or clearance from any governmental authority for the issuance or sale of the Shares subject to the Restricted Stock Units. Further, the Grantee agrees that the Company shall have unilateral authority to amend this Agreement without the Grantee’s consent to the extent necessary to comply with securities or other laws applicable to issuance of the Shares subject to the Restricted Stock Units.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pPr>
      <w:r>
        <w:rPr>
          <w:rFonts w:ascii="Times New Roman" w:hAnsi="Times New Roman"/>
          <w:color w:val="000000"/>
          <w:sz w:val="24"/>
          <w:u w:val="single"/>
        </w:rPr>
        <w:t>Insider Trading Restrictions / Market Abuse Laws</w:t>
      </w:r>
      <w:r>
        <w:rPr>
          <w:rFonts w:ascii="Times New Roman" w:hAnsi="Times New Roman"/>
          <w:color w:val="000000"/>
          <w:sz w:val="24"/>
        </w:rPr>
        <w:t>. By accepting the Restricted Stock Units, the Grantee acknowledges that the Grantee is bound by all the terms and conditions of any Company’s insider trading policy as may be in effect from time to time. The Grantee further acknowledges that, depending on the Grantee’s country, the broker’s country or the country in which the Shares are listed, the Grantee may be or may become subject to insider trading restrictions and/or market abuse laws which may affect the Grantee’s ability to accept, acquire, sell or otherwise dispose of Shares, rights to Shares (</w:t>
      </w:r>
      <w:r>
        <w:rPr>
          <w:rFonts w:ascii="Times New Roman" w:hAnsi="Times New Roman"/>
          <w:i/>
          <w:color w:val="000000"/>
          <w:sz w:val="24"/>
        </w:rPr>
        <w:t>e.g.</w:t>
      </w:r>
      <w:r>
        <w:rPr>
          <w:rFonts w:ascii="Times New Roman" w:hAnsi="Times New Roman"/>
          <w:color w:val="000000"/>
          <w:sz w:val="24"/>
        </w:rPr>
        <w:t>, Restricted Stock Units), or rights linked to the value of Shares under the Plan during such times as the Grantee is considered to have “inside information” regarding the Company (as defined by the laws in the applicable jurisdictions). Local insider trading laws and regulations may prohibit the cancellation or amendment of orders the Grantee placed before the Grantee possessed inside information. Furthermore, the Grantee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The Grantee acknowledges that it is the Grantee’s responsibility to comply with any applicable restrictions, and the Grantee should speak to the Grantee’s personal advisor on this matter.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pPr>
      <w:r>
        <w:rPr>
          <w:rFonts w:ascii="Times New Roman" w:hAnsi="Times New Roman"/>
          <w:color w:val="000000"/>
          <w:sz w:val="24"/>
          <w:u w:val="single"/>
        </w:rPr>
        <w:t>Foreign Asset/Account, Exchange Control and Tax Reporting</w:t>
      </w:r>
      <w:r>
        <w:rPr>
          <w:rFonts w:ascii="Times New Roman" w:hAnsi="Times New Roman"/>
          <w:color w:val="000000"/>
          <w:sz w:val="24"/>
        </w:rPr>
        <w:t>. Depending on the Grantee’s country, the Grantee may be subject to foreign asset/account, exchange control, tax reporting, or other requirements which may affect the Grantee’s ability to acquire or hold Restricted Stock Units or Shares under the Plan or cash received from participating in the Plan (including dividends and the proceeds arising from the sale of Shares) in a brokerage/bank account outside the Grantee’s country. The applicable laws of the Grantee’s country may require that the Grantee report such Restricted Stock Units, Shares, accounts, assets, or transactions to the applicable authorities in such country and/or repatriate funds received in connection with the Plan to the Grantee’s country within a certain time period or according to certain procedures. The Grantee acknowledges that the Grantee is responsible for ensuring compliance with any applicable requirements and should consult the Grantee’s personal legal advisor to ensure compliance with applicable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both"/>
        <w:rPr/>
      </w:pPr>
      <w:r>
        <w:rPr>
          <w:rFonts w:ascii="Times New Roman" w:hAnsi="Times New Roman"/>
          <w:color w:val="000000"/>
          <w:sz w:val="24"/>
          <w:u w:val="single"/>
        </w:rPr>
        <w:t>Clawback</w:t>
      </w:r>
      <w:r>
        <w:rPr>
          <w:rFonts w:ascii="Times New Roman" w:hAnsi="Times New Roman"/>
          <w:color w:val="000000"/>
          <w:sz w:val="24"/>
        </w:rPr>
        <w:t>. The Grantee acknowledges and agrees that this Award is subject in all respects to the Company’s Compensation Recovery Policy (the “</w:t>
      </w:r>
      <w:r>
        <w:rPr>
          <w:rFonts w:ascii="Times New Roman" w:hAnsi="Times New Roman"/>
          <w:b/>
          <w:i/>
          <w:color w:val="000000"/>
          <w:sz w:val="24"/>
        </w:rPr>
        <w:t>Clawback Policy</w:t>
      </w:r>
      <w:r>
        <w:rPr>
          <w:color w:val="000000"/>
        </w:rPr>
        <w:t>”</w:t>
      </w:r>
      <w:r>
        <w:rPr>
          <w:rFonts w:ascii="Times New Roman" w:hAnsi="Times New Roman"/>
          <w:color w:val="000000"/>
          <w:sz w:val="24"/>
        </w:rPr>
        <w:t xml:space="preserve">), to the extent applicable, including the Company’s ability to recoup Erroneously Awarded Compensation (as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defined in the Clawback Policy) thereunder. Any action by the Company to recover Erroneously Awarded Compensation under the Clawback Policy from the Grantee shall not be deemed (i) an event giving rise to a right to resign for Good Reason, if applicable, or serve as a basis for a claim of constructive termination under any benefits or compensation arrangement applicable to the Grantee or (ii) to constitute a breach of a contract or other arrangement to which the Grantee is a party. This Paragraph 23 is a material term of this Agreement.</w:t>
      </w:r>
    </w:p>
    <w:p>
      <w:pPr>
        <w:pStyle w:val="Heading1"/>
        <w:bidi w:val="0"/>
        <w:spacing w:before="0" w:after="240"/>
        <w:jc w:val="left"/>
        <w:rPr/>
      </w:pPr>
      <w:r>
        <w:rPr/>
        <w:t> </w:t>
      </w:r>
    </w:p>
    <w:p>
      <w:pPr>
        <w:pStyle w:val="Heading1"/>
        <w:bidi w:val="0"/>
        <w:spacing w:before="0" w:after="240"/>
        <w:jc w:val="left"/>
        <w:rPr/>
      </w:pPr>
      <w:r>
        <w:rPr/>
        <w:t> </w:t>
      </w:r>
    </w:p>
    <w:p>
      <w:pPr>
        <w:pStyle w:val="TextBody"/>
        <w:bidi w:val="0"/>
        <w:spacing w:before="0" w:after="720"/>
        <w:jc w:val="left"/>
        <w:rPr>
          <w:rFonts w:ascii="Times New Roman" w:hAnsi="Times New Roman"/>
          <w:b/>
          <w:color w:val="000000"/>
          <w:sz w:val="24"/>
        </w:rPr>
      </w:pPr>
      <w:r>
        <w:rPr>
          <w:rFonts w:ascii="Times New Roman" w:hAnsi="Times New Roman"/>
          <w:b/>
          <w:color w:val="000000"/>
          <w:sz w:val="24"/>
        </w:rPr>
        <w:t>HUBSPOT, INC.</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This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jc w:val="left"/>
        <w:rPr>
          <w:rFonts w:ascii="Times New Roman" w:hAnsi="Times New Roman"/>
          <w:color w:val="000000"/>
          <w:sz w:val="24"/>
        </w:rPr>
      </w:pPr>
      <w:r>
        <w:rPr>
          <w:rFonts w:ascii="Times New Roman" w:hAnsi="Times New Roman"/>
          <w:color w:val="000000"/>
          <w:sz w:val="24"/>
        </w:rPr>
        <w:t xml:space="preserve">Dated: #AcceptanceDate# #Signature#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#ParticipantName#</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APPENDIX</w:t>
      </w:r>
    </w:p>
    <w:p>
      <w:pPr>
        <w:pStyle w:val="TextBody"/>
        <w:bidi w:val="0"/>
        <w:spacing w:before="0" w:after="480"/>
        <w:jc w:val="center"/>
        <w:rPr>
          <w:rFonts w:ascii="Times New Roman" w:hAnsi="Times New Roman"/>
          <w:b/>
          <w:smallCaps/>
          <w:color w:val="000000"/>
          <w:sz w:val="28"/>
        </w:rPr>
      </w:pPr>
      <w:r>
        <w:rPr>
          <w:rFonts w:ascii="Times New Roman" w:hAnsi="Times New Roman"/>
          <w:b/>
          <w:smallCaps/>
          <w:color w:val="000000"/>
          <w:sz w:val="28"/>
        </w:rPr>
        <w:t>GLOBAL RESTRICTED STOCK UNIT AWARD AGREEMENT</w:t>
        <w:br/>
        <w:t>UNDER the HUBSPOT, inc.</w:t>
        <w:br/>
        <w:t>2024 STOCK OPTION AND INCENTIVE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Capitalized terms used but not defined in this Appendix shall have the same meanings assigned to them in the Plan and/or the Global Restricted Stock Unit Award Agreement.</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rPr>
        <w:t>This Appendix includes additional terms and conditions that govern the Restricted Stock Units if the Grantee works and/or resides in one of the countries listed below. If the Grantee is a citizen or resident of a country other than the one in which the Grantee is currently working and/or residing (or is considered as such for local law purposes), or the Grantee transfers employment and/or residency to a different country after the Restricted Stock Units are granted, the Company will, in its discretion, determine the extent to which the terms and conditions contained herein will apply to the Grantee.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Notifications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Appendix also includes information regarding certain other issues of which the Grantee should be aware with respect to the Grantee’s participation in the Plan. The information is based on the securities, exchange control and other laws in effect in the respective countries as of </w:t>
      </w:r>
      <w:r>
        <w:rPr>
          <w:rFonts w:ascii="Times New Roman" w:hAnsi="Times New Roman"/>
          <w:b/>
          <w:color w:val="000000"/>
          <w:sz w:val="24"/>
        </w:rPr>
        <w:t>May 2024</w:t>
      </w:r>
      <w:r>
        <w:rPr>
          <w:rFonts w:ascii="Times New Roman" w:hAnsi="Times New Roman"/>
          <w:color w:val="000000"/>
          <w:sz w:val="24"/>
        </w:rPr>
        <w:t>. Such laws are often complex and change frequently. As a result, the Company strongly recommends</w:t>
      </w:r>
      <w:r>
        <w:rPr>
          <w:rFonts w:ascii="Times New Roman" w:hAnsi="Times New Roman"/>
          <w:color w:val="000000"/>
          <w:sz w:val="20"/>
        </w:rPr>
        <w:t xml:space="preserve"> </w:t>
      </w:r>
      <w:r>
        <w:rPr>
          <w:rFonts w:ascii="Times New Roman" w:hAnsi="Times New Roman"/>
          <w:color w:val="000000"/>
          <w:sz w:val="24"/>
        </w:rPr>
        <w:t>that the Grantee not rely on the information noted herein as the only source of information relating to the consequences of participation in the Plan because the information may be out-of-date at the time the Grantee vests in the Restricted Stock Units or sells any Shares acquired under the Plan.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the information contained herein is general in nature and may not apply to the Grantee’s particular situation. As a result, the Company is not in a position to assure the Grantee of any particular result. Accordingly, the Grantee should seek appropriate professional advice as to how the relevant laws in the Grantee’s country may apply to the Grantee’s individual situation.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Grantee is a citizen or resident of a country other than the one in which the Grantee is currently working and/or residing (or is considered as such for local law purposes), or if the Grantee transfers employment and/or residency to a different country after the Restricted Stock Units are granted, the notifications contained in this Appendix may not be applicable to the Grantee in the same manner.</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ALL COUNTRIES OUTSIDE THE U.S., EUROPEAN UNION, EUROPEAN ECONOMIC AREA AND UNITED KINGDOM</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Data Privacy Notification and Consent</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(a)</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By accepting the Award, the Grantee explicitly and unambiguously consents to the collection, use, and transfer, in electronic or other form, of the Grantee’s personal data as described in the Agreement by and among, as applicable, the Employer, the Company, and any Affiliates for the exclusive purpose of implementing, administering, and managing the Grantee’s participation in the Plan.</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(b)</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The Grantee understands that the Company, the Employer, and any Affiliates hold certain personal information about the Grantee, including, but not limited to, the Grantee’s name, home address and telephone number, email address, date of birth, social security number, passport or other identification number (e.g., resident registration number), salary, nationality, job title, any Shares or directorships held in the Company, and details of all Restricted Stock Units or any other entitlement to shares awarded, canceled, vested, unvested, or outstanding in the Grantee’s favor (“Data”), for the purpose of implementing, administering, and managing the Plan</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(c)</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 xml:space="preserve">The Grantee understands that Data will be transferred to Fidelity Stock Plan Services LLC, or such other stock plan service provider as may be selected by the Company in the future, which assists in the implementation, administration, and management of the Plan. The Grantee understands that the recipients of the Data may be located in the United States or elsewhere, and that the recipient’s country (e.g. the United States) may have different data privacy laws and protections than the Grantee’s country. The Grantee may request a list with the names and addresses of any potential recipients of the Data by contacting the Grantee’s local human resources representative. The Grantee authorizes the Company, Fidelity Stock Plan Services LLC, and other possible recipients that may assist the Company (presently or in the future) with implementing, administering, and managing the Plan to receive, possess, use, retain, and transfer the Data, in electronic or other form, for the sole purpose of implementing, administering and managing the Grantee’s participation in the Plan, including any requisite transfer of such Data as may be required to a broker, escrow agent, or other third party with whom the Shares received upon vesting of the Restricted Stock Units may be deposited. The Grantee understands that Data will be held only as long as is necessary to implement, administer, and manage the Grantee’s participation in the Plan. The Grantee may, at any time, view Data, request information about the storage and processing of Data, require any necessary amendments to Data or refuse or withdraw the consents herein, in any case without cost, by contacting the Grantee’s local human resources representative. Further, the Grantee understands that the Grantee is providing the consents herein on a purely voluntary basis. If the Grantee does not consent, or if the Grantee later seeks to revoke the Grantee’s consent, the Grantee’s Service Relationship with the Employer will not be affected; the only consequence of refusing or withdrawing consent is that the Company would not be able to grant Restricted Stock Units or other equity awards to the Grantee or administer or maintain such awards. Therefore, the Grantee understands that refusing or withdrawing the Grantee’s consent may affect the Grantee’s ability to participate in the Plan. For more information on the consequences of the Grantee’s refusal to consent or withdrawal of consent, the Grantee understands that the Grantee may contact the local human resources representative.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(d)</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Upon request of the Company or the Employer, the Grantee agrees to provide a separate executed data privacy consent form (or any other agreements or consents that may be required by the Company and/or the Employer) that the Company and/or the Employer may deem necessary to obtain from the Grantee for the purpose of administering the Grantee’s participation in the Plan in compliance with the data privacy laws in the Grantee’s country, either now or in the future. The Grantee understands and agrees that the Grantee will not be able to participate in the Plan if the Grantee fails to provide any such consent or agreement requested by the Company and/or the Employer.</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AUSTRALIA</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 This offer to participate in the Plan is being made under Division 1A, Part 7.12 of the Corporations Act 2001 (Cth).</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Tax Information</w:t>
      </w:r>
      <w:r>
        <w:rPr>
          <w:rFonts w:ascii="Times New Roman" w:hAnsi="Times New Roman"/>
          <w:color w:val="000000"/>
          <w:sz w:val="24"/>
        </w:rPr>
        <w:t>. Subdivision 83A-C of the Income Tax Assessment Act, 1997 applies to the Restricted Stock Units granted under the Plan, such that the Restricted Stock Units are intended to be subject to deferred taxation.</w:t>
      </w:r>
    </w:p>
    <w:p>
      <w:pPr>
        <w:pStyle w:val="TextBody"/>
        <w:bidi w:val="0"/>
        <w:spacing w:before="0" w:after="240"/>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If the Grantee is an Australian resident, exchange control reporting is required for cash transactions exceeding A$10,000 and international fund transfers. If an Australian bank is assisting with the transaction, the bank will file the report on the Grantee’s behalf. If there is no Australian bank involved with the transfer, the Grantee will be required to file the report.</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BELGIUM</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country-specific provisions.</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CANADA</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Award Payable Only in Shares</w:t>
      </w:r>
      <w:r>
        <w:rPr>
          <w:rFonts w:ascii="Times New Roman" w:hAnsi="Times New Roman"/>
          <w:color w:val="000000"/>
          <w:sz w:val="24"/>
        </w:rPr>
        <w:t>. The Restricted Stock Units shall be paid in Shares only and do not provide the Grantee with any right to receive a cash payment.</w:t>
      </w:r>
    </w:p>
    <w:p>
      <w:pPr>
        <w:pStyle w:val="TextBody"/>
        <w:bidi w:val="0"/>
        <w:jc w:val="both"/>
        <w:rPr/>
      </w:pPr>
      <w:r>
        <w:rPr/>
        <w:t> </w:t>
      </w:r>
    </w:p>
    <w:p>
      <w:pPr>
        <w:pStyle w:val="TextBody"/>
        <w:bidi w:val="0"/>
        <w:jc w:val="both"/>
        <w:rPr>
          <w:rFonts w:ascii="Times New Roman" w:hAnsi="Times New Roman"/>
          <w:i/>
          <w:color w:val="000000"/>
          <w:sz w:val="24"/>
        </w:rPr>
      </w:pPr>
      <w:r>
        <w:rPr>
          <w:rFonts w:ascii="Times New Roman" w:hAnsi="Times New Roman"/>
          <w:i/>
          <w:color w:val="000000"/>
          <w:sz w:val="24"/>
        </w:rPr>
        <w:t>The following terms and conditions apply if the Grantee resides in Quebec: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Data Privacy</w:t>
      </w:r>
      <w:r>
        <w:rPr>
          <w:rFonts w:ascii="Times New Roman" w:hAnsi="Times New Roman"/>
          <w:color w:val="000000"/>
          <w:sz w:val="24"/>
        </w:rPr>
        <w:t>. The following provision supplements the “Data Privacy Notification and Consent” provision above in this Appendix:</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Grantee hereby authorizes the Company and the Company’s representatives to discuss with and obtain all relevant information from all personnel, professional or non-professional, involved in the administration and operation of the Plan for purposes that relate to the administration of the Plan. The Grantee acknowledges and agrees that the Grantee’s personal information, including any sensitive personal information, may be transferred or disclosed outside of the province of Quebec, including to the U.S. The Grantee further authorizes the Company, the Employer, its other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Affiliates, and the Administrator to disclose and discuss the Plan with their advisors. The Grantee further authorizes the Company, the Employer, its other Affiliates, and the Administrator to record all relevant information and to keep such information in the Grantee’s employee file. If applicable, the Grantee also acknowledges and authorizes the Company, the Employer, its other Affiliates, and the Administrator involved in the administration of the Plan to use technology for profiling purposes and to make automated decisions that may have an impact on the Grantee’s participation in the Plan or the administration of the Plan.</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Grantee is permitted to sell Shares acquired under the Plan through the designated broker appointed under the Plan, if any, provided the resale of Shares acquired under the Plan takes place outside Canada through the facilities of a stock exchange on which the Shares are listed. The Shares are currently listed on the New York Stock Exchange under the symbol “HUBS.”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COLOMBIA</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Nature of Grant</w:t>
      </w:r>
      <w:r>
        <w:rPr>
          <w:rFonts w:ascii="Times New Roman" w:hAnsi="Times New Roman"/>
          <w:color w:val="000000"/>
          <w:sz w:val="24"/>
        </w:rPr>
        <w:t>. The following provision supplements Paragraph 10 of the Global Restricted Stock Unit Award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Grantee acknowledges that, pursuant to Article 128 of the Colombian Labor Code, the Restricted Stock Units and related benefits do not constitute a component of the Grantee’s “salary” for any legal purpose. Therefore, the Restricted Stock Units and related benefits will not be included and/or considered for purposes of calculating any and all labor benefits, such as legal/fringe benefits, vacations, indemnities, payroll taxes, social insurance contributions and/or any other labor-related amount which may be payable.</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 The Shares are not and will not be registered in the Colombian registry of publicly traded securities (</w:t>
      </w:r>
      <w:r>
        <w:rPr>
          <w:rFonts w:ascii="Times New Roman" w:hAnsi="Times New Roman"/>
          <w:i/>
          <w:color w:val="000000"/>
          <w:sz w:val="24"/>
        </w:rPr>
        <w:t>Registro Nacional de Valores y Emisores</w:t>
      </w:r>
      <w:r>
        <w:rPr>
          <w:rFonts w:ascii="Times New Roman" w:hAnsi="Times New Roman"/>
          <w:color w:val="000000"/>
          <w:sz w:val="24"/>
        </w:rPr>
        <w:t>) and, therefore, the Shares may not be offered to the public in Colombia. Nothing in the Plan, the Agreement, or any other document evidencing the grant of the Restricted Stock Units shall be construed as the making of a public offer of securities in Colombia.</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color w:val="000000"/>
          <w:sz w:val="24"/>
        </w:rPr>
        <w:t>. The Grantee is responsible for complying with any and all Colombian foreign exchange restrictions, approvals, and reporting requirements in connection with the Restricted Stock Units and any Shares acquired or funds received under the Plan. This may include reporting obligations to the Central Bank (</w:t>
      </w:r>
      <w:r>
        <w:rPr>
          <w:rFonts w:ascii="Times New Roman" w:hAnsi="Times New Roman"/>
          <w:i/>
          <w:color w:val="000000"/>
          <w:sz w:val="24"/>
        </w:rPr>
        <w:t>Banco de la República</w:t>
      </w:r>
      <w:r>
        <w:rPr>
          <w:rFonts w:ascii="Times New Roman" w:hAnsi="Times New Roman"/>
          <w:color w:val="000000"/>
          <w:sz w:val="24"/>
        </w:rPr>
        <w:t>). If applicable, the Grantee will be required to register the Grantee’s investment with the Central Bank, regardless of the value of investment. The Grantee should consult with a personal legal advisor regarding any obligations in connection with this reporting requirement.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FRANCE</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jc w:val="both"/>
        <w:rPr>
          <w:rFonts w:ascii="Times New Roman" w:hAnsi="Times New Roman"/>
          <w:sz w:val="20"/>
        </w:rPr>
      </w:pPr>
      <w:r>
        <w:rPr>
          <w:rFonts w:ascii="Times New Roman" w:hAnsi="Times New Roman"/>
          <w:color w:val="000000"/>
          <w:sz w:val="24"/>
          <w:u w:val="single"/>
        </w:rPr>
        <w:t>Type of Grant</w:t>
      </w:r>
      <w:r>
        <w:rPr>
          <w:rFonts w:ascii="Times New Roman" w:hAnsi="Times New Roman"/>
          <w:color w:val="000000"/>
          <w:sz w:val="24"/>
        </w:rPr>
        <w:t>. The Restricted Stock Units are not granted as “French-qualified” awards and are not intended to qualify for the special tax and social security treatment applicable to shares granted for no consideration under Sections L. 225-197-1 to L. 225-197-5 and Sections L. 22-10-59 to L. 22-10-60 of the French Commercial Code, as amended.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Language</w:t>
      </w:r>
      <w:r>
        <w:rPr>
          <w:rFonts w:ascii="Times New Roman" w:hAnsi="Times New Roman"/>
          <w:color w:val="000000"/>
          <w:sz w:val="24"/>
        </w:rPr>
        <w:t>. By accepting the Restricted Stock Units, the Grantee confirms having read and understood the documents relating to the Restricted Stock Units, which were provided to the Grantee in English.</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4"/>
        </w:rPr>
        <w:t xml:space="preserve">En acceptant l'attribution d’actions gratuites « Restricted </w:t>
      </w:r>
      <w:r>
        <w:rPr>
          <w:rFonts w:ascii="Times New Roman" w:hAnsi="Times New Roman"/>
          <w:color w:val="000000"/>
          <w:sz w:val="24"/>
        </w:rPr>
        <w:t xml:space="preserve">Stock </w:t>
      </w:r>
      <w:r>
        <w:rPr>
          <w:rFonts w:ascii="Times New Roman" w:hAnsi="Times New Roman"/>
          <w:i/>
          <w:color w:val="000000"/>
          <w:sz w:val="24"/>
        </w:rPr>
        <w:t xml:space="preserve">Units », le Grantee confirme avoir lu et compris les documents relatifs aux Restricted </w:t>
      </w:r>
      <w:r>
        <w:rPr>
          <w:rFonts w:ascii="Times New Roman" w:hAnsi="Times New Roman"/>
          <w:color w:val="000000"/>
          <w:sz w:val="24"/>
        </w:rPr>
        <w:t xml:space="preserve">Stock </w:t>
      </w:r>
      <w:r>
        <w:rPr>
          <w:rFonts w:ascii="Times New Roman" w:hAnsi="Times New Roman"/>
          <w:i/>
          <w:color w:val="000000"/>
          <w:sz w:val="24"/>
        </w:rPr>
        <w:t>Units qui ont été communiqués au Grantee en langue anglaise.</w:t>
      </w:r>
    </w:p>
    <w:p>
      <w:pPr>
        <w:pStyle w:val="TextBody"/>
        <w:bidi w:val="0"/>
        <w:jc w:val="both"/>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GERMANY</w:t>
      </w:r>
    </w:p>
    <w:p>
      <w:pPr>
        <w:pStyle w:val="TextBody"/>
        <w:bidi w:val="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color w:val="000000"/>
          <w:sz w:val="24"/>
        </w:rPr>
        <w:t>. Certain transactions related to the Restricted Stock Units must be reported to the German Federal Bank (</w:t>
      </w:r>
      <w:r>
        <w:rPr>
          <w:rFonts w:ascii="Times New Roman" w:hAnsi="Times New Roman"/>
          <w:i/>
          <w:color w:val="000000"/>
          <w:sz w:val="24"/>
        </w:rPr>
        <w:t>Bundesbank</w:t>
      </w:r>
      <w:r>
        <w:rPr>
          <w:rFonts w:ascii="Times New Roman" w:hAnsi="Times New Roman"/>
          <w:color w:val="000000"/>
          <w:sz w:val="24"/>
        </w:rPr>
        <w:t>) if the value of the transaction exceeds €12,500 (the “</w:t>
      </w:r>
      <w:r>
        <w:rPr>
          <w:rFonts w:ascii="Times New Roman" w:hAnsi="Times New Roman"/>
          <w:b/>
          <w:i/>
          <w:color w:val="000000"/>
          <w:sz w:val="24"/>
        </w:rPr>
        <w:t>Threshold</w:t>
      </w:r>
      <w:r>
        <w:rPr>
          <w:rFonts w:ascii="Times New Roman" w:hAnsi="Times New Roman"/>
          <w:color w:val="000000"/>
          <w:sz w:val="20"/>
        </w:rPr>
        <w:t>”</w:t>
      </w:r>
      <w:r>
        <w:rPr>
          <w:rFonts w:ascii="Times New Roman" w:hAnsi="Times New Roman"/>
          <w:color w:val="000000"/>
          <w:sz w:val="24"/>
        </w:rPr>
        <w:t>). If the Grantee acquires Shares with a value in excess of the Threshold, the Employer will generally not report the acquisition of such Shares, and the Grantee may personally be obligated to report it to the Bundesbank.</w:t>
      </w:r>
    </w:p>
    <w:p>
      <w:pPr>
        <w:pStyle w:val="TextBody"/>
        <w:bidi w:val="0"/>
        <w:spacing w:before="0" w:after="240"/>
        <w:jc w:val="both"/>
        <w:rPr>
          <w:rFonts w:ascii="Times New Roman" w:hAnsi="Times New Roman"/>
          <w:sz w:val="20"/>
        </w:rPr>
      </w:pPr>
      <w:r>
        <w:rPr>
          <w:rFonts w:ascii="Times New Roman" w:hAnsi="Times New Roman"/>
          <w:color w:val="000000"/>
          <w:sz w:val="24"/>
        </w:rPr>
        <w:t>In addition, the Grantee will be required to report (i) any payment the Grantee makes or receives, (ii) any Shares withheld or sold by the Company to satisfy the Employer’s withholding obligations for Tax-Related Items, and (iii) any sale proceeds received when the Grantee subsequently sells the Shares, in either case if the value of the Shares exceeds the Threshold. Note that, if the Grantee reports the receipt of sale proceeds, the Grantee would not need to file a separate report when repatriating the sale proceeds to Germany.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report must be filed with the Bundesbank, either electronically using the “General Statistics Reporting Portal” (</w:t>
      </w:r>
      <w:r>
        <w:rPr>
          <w:rFonts w:ascii="Times New Roman" w:hAnsi="Times New Roman"/>
          <w:i/>
          <w:color w:val="000000"/>
          <w:sz w:val="24"/>
        </w:rPr>
        <w:t>Allgemeines Meldeportal Statistik</w:t>
      </w:r>
      <w:r>
        <w:rPr>
          <w:rFonts w:ascii="Times New Roman" w:hAnsi="Times New Roman"/>
          <w:color w:val="000000"/>
          <w:sz w:val="24"/>
        </w:rPr>
        <w:t xml:space="preserve">) available via the </w:t>
      </w:r>
      <w:r>
        <w:rPr>
          <w:rFonts w:ascii="Times New Roman" w:hAnsi="Times New Roman"/>
          <w:i/>
          <w:color w:val="000000"/>
          <w:sz w:val="24"/>
        </w:rPr>
        <w:t>Bundesbank’s</w:t>
      </w:r>
      <w:r>
        <w:rPr>
          <w:rFonts w:ascii="Times New Roman" w:hAnsi="Times New Roman"/>
          <w:color w:val="000000"/>
          <w:sz w:val="20"/>
        </w:rPr>
        <w:t xml:space="preserve"> </w:t>
      </w:r>
      <w:r>
        <w:rPr>
          <w:rFonts w:ascii="Times New Roman" w:hAnsi="Times New Roman"/>
          <w:color w:val="000000"/>
          <w:sz w:val="24"/>
        </w:rPr>
        <w:t>website (www.bundesbank.de) or by such other method (</w:t>
      </w:r>
      <w:r>
        <w:rPr>
          <w:rFonts w:ascii="Times New Roman" w:hAnsi="Times New Roman"/>
          <w:i/>
          <w:color w:val="000000"/>
          <w:sz w:val="24"/>
        </w:rPr>
        <w:t>e.g.</w:t>
      </w:r>
      <w:r>
        <w:rPr>
          <w:rFonts w:ascii="Times New Roman" w:hAnsi="Times New Roman"/>
          <w:color w:val="000000"/>
          <w:sz w:val="24"/>
        </w:rPr>
        <w:t xml:space="preserve">, email or telephone) as is permitted or required by the Bundesbank. The report must be submitted monthly or within such other time as is permitted or required by the Bundesbank. </w:t>
      </w:r>
      <w:r>
        <w:rPr>
          <w:rFonts w:ascii="Times New Roman" w:hAnsi="Times New Roman"/>
          <w:i/>
          <w:color w:val="000000"/>
          <w:sz w:val="24"/>
        </w:rPr>
        <w:t>The Grantee should consult a personal advisor to ensure compliance with applicable reporting obligations.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INDIA</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color w:val="000000"/>
          <w:sz w:val="24"/>
        </w:rPr>
        <w:t>. Due to Indian exchange control regulations, the proceeds from the sale of Shares acquired at vesting of the Restricted Stock Units and any cash dividends paid on Shares acquired under the Plan must be repatriated to India within a certain period of time, as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required under applicable regulations. The Grantee will receive a foreign inward remittance certificate (the “</w:t>
      </w:r>
      <w:r>
        <w:rPr>
          <w:rFonts w:ascii="Times New Roman" w:hAnsi="Times New Roman"/>
          <w:b/>
          <w:i/>
          <w:color w:val="000000"/>
          <w:sz w:val="24"/>
        </w:rPr>
        <w:t>FIRC</w:t>
      </w:r>
      <w:r>
        <w:rPr>
          <w:rFonts w:ascii="Times New Roman" w:hAnsi="Times New Roman"/>
          <w:color w:val="000000"/>
          <w:sz w:val="20"/>
        </w:rPr>
        <w:t>”</w:t>
      </w:r>
      <w:r>
        <w:rPr>
          <w:rFonts w:ascii="Times New Roman" w:hAnsi="Times New Roman"/>
          <w:color w:val="000000"/>
          <w:sz w:val="24"/>
        </w:rPr>
        <w:t>) from the bank where the Grantee deposits the foreign currency. The Grantee should maintain the FIRC as evidence of the repatriation of fund in the event the Reserve Bank of India, the Company, or the Employer requests proof of repatriation. The Grantee may be required to provide information regarding the Shares or funds related to participation in the Plan to the Company or the Employer to facilitate their compliance with filing requirements under exchange control laws in India. The Grantee should consult with a personal advisor in this regard.</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IRELAND</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Director Notification Information</w:t>
      </w:r>
      <w:r>
        <w:rPr>
          <w:rFonts w:ascii="Times New Roman" w:hAnsi="Times New Roman"/>
          <w:color w:val="000000"/>
          <w:sz w:val="24"/>
        </w:rPr>
        <w:t>. Directors, shadow directors, and secretaries of an Irish Affiliate must notify such Affiliate in writing upon (i) receiving or disposing of an interest in the Company (</w:t>
      </w:r>
      <w:r>
        <w:rPr>
          <w:rFonts w:ascii="Times New Roman" w:hAnsi="Times New Roman"/>
          <w:i/>
          <w:color w:val="000000"/>
          <w:sz w:val="24"/>
        </w:rPr>
        <w:t>e.g.</w:t>
      </w:r>
      <w:r>
        <w:rPr>
          <w:rFonts w:ascii="Times New Roman" w:hAnsi="Times New Roman"/>
          <w:color w:val="000000"/>
          <w:sz w:val="24"/>
        </w:rPr>
        <w:t>, the Restricted Stock Units, Shares,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Grantee should consult with a personal legal advisor as to whether or not this notification requirement applies.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JAPAN</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color w:val="000000"/>
          <w:sz w:val="24"/>
        </w:rPr>
        <w:t>. If the Grantee acquires Shares valued at more than ¥100,000,000 in a single transaction, the Grantee must file a Securities Acquisition Report with the Ministry of Finance through the Bank of Japan within 20 days of the acquisition of the Shares.</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NETHERLANDS</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country-specific provisions.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SINGAPORE</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Restrictions on Sale and Transferability</w:t>
      </w:r>
      <w:r>
        <w:rPr>
          <w:rFonts w:ascii="Times New Roman" w:hAnsi="Times New Roman"/>
          <w:color w:val="000000"/>
          <w:sz w:val="24"/>
        </w:rPr>
        <w:t>. The Grantee hereby agrees that any Shares acquired pursuant to the Restricted Stock Units will not be offered for sale in Singapore, unless such sale or offer is made: (1) more than six (6) months after the Grant Date or (2) pursuant to the exemptions under Part XIII Division (1) Subdivision (4) (other than section 280) of the Securities and Futures Act (Chapter 289, 2006 Ed.) (“</w:t>
      </w:r>
      <w:r>
        <w:rPr>
          <w:rFonts w:ascii="Times New Roman" w:hAnsi="Times New Roman"/>
          <w:b/>
          <w:i/>
          <w:color w:val="000000"/>
          <w:sz w:val="24"/>
        </w:rPr>
        <w:t>SFA</w:t>
      </w:r>
      <w:r>
        <w:rPr>
          <w:rFonts w:ascii="Times New Roman" w:hAnsi="Times New Roman"/>
          <w:color w:val="000000"/>
          <w:sz w:val="20"/>
        </w:rPr>
        <w:t>”</w:t>
      </w:r>
      <w:r>
        <w:rPr>
          <w:rFonts w:ascii="Times New Roman" w:hAnsi="Times New Roman"/>
          <w:color w:val="000000"/>
          <w:sz w:val="24"/>
        </w:rPr>
        <w:t>).</w:t>
      </w:r>
    </w:p>
    <w:p>
      <w:pPr>
        <w:pStyle w:val="TextBody"/>
        <w:bidi w:val="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 The grant of the Restricted Stock Units is being made</w:t>
      </w:r>
      <w:r>
        <w:rPr>
          <w:rFonts w:ascii="Times New Roman" w:hAnsi="Times New Roman"/>
          <w:color w:val="000000"/>
          <w:sz w:val="20"/>
        </w:rPr>
        <w:t xml:space="preserve"> </w:t>
      </w:r>
      <w:r>
        <w:rPr>
          <w:rFonts w:ascii="Times New Roman" w:hAnsi="Times New Roman"/>
          <w:color w:val="000000"/>
          <w:sz w:val="24"/>
        </w:rPr>
        <w:t>pursuant to the “Qualifying Person” exemption under section 273(1)(f) of the SFA and is not made with a view to</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the Shares being subsequently offered for sale to any other party. The Plan has not been lodged or registered as a prospectus with the Monetary Authority of Singapore.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u w:val="single"/>
        </w:rPr>
        <w:t>Director Notification Obligation</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The directors (including alternative directors, substitute directors, and shadow directors) of a Singaporean Affiliate are subject to certain notification requirements under the Singapore Companies Act. The directors must notify the Singaporean Affiliate in writing of an interest (</w:t>
      </w:r>
      <w:r>
        <w:rPr>
          <w:rFonts w:ascii="Times New Roman" w:hAnsi="Times New Roman"/>
          <w:i/>
          <w:color w:val="000000"/>
          <w:sz w:val="24"/>
        </w:rPr>
        <w:t>e.g.</w:t>
      </w:r>
      <w:r>
        <w:rPr>
          <w:rFonts w:ascii="Times New Roman" w:hAnsi="Times New Roman"/>
          <w:color w:val="000000"/>
          <w:sz w:val="24"/>
        </w:rPr>
        <w:t>, the Award or Shares) in the Company within two (2) business days of (i) its acquisition or disposal, (ii) any change in a previously-disclosed interest (</w:t>
      </w:r>
      <w:r>
        <w:rPr>
          <w:rFonts w:ascii="Times New Roman" w:hAnsi="Times New Roman"/>
          <w:i/>
          <w:color w:val="000000"/>
          <w:sz w:val="24"/>
        </w:rPr>
        <w:t>e.g.,</w:t>
      </w:r>
      <w:r>
        <w:rPr>
          <w:rFonts w:ascii="Times New Roman" w:hAnsi="Times New Roman"/>
          <w:color w:val="000000"/>
          <w:sz w:val="20"/>
        </w:rPr>
        <w:t xml:space="preserve"> </w:t>
      </w:r>
      <w:r>
        <w:rPr>
          <w:rFonts w:ascii="Times New Roman" w:hAnsi="Times New Roman"/>
          <w:color w:val="000000"/>
          <w:sz w:val="24"/>
        </w:rPr>
        <w:t>upon vesting of the Restricted Stock Units or when Shares acquired under the Plan are subsequently sold), or (iii) becoming a director.</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SPAIN</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Nature of Grant</w:t>
      </w:r>
      <w:r>
        <w:rPr>
          <w:rFonts w:ascii="Times New Roman" w:hAnsi="Times New Roman"/>
          <w:color w:val="000000"/>
          <w:sz w:val="24"/>
        </w:rPr>
        <w:t>. The following provision supplements Paragraph 10 of the Global Restricted Stock Unit Award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accepting the Restricted Stock Unit, Grantee consents to participation in the Plan and acknowledges that Grantee has received a copy of the Plan.</w:t>
      </w:r>
    </w:p>
    <w:p>
      <w:pPr>
        <w:pStyle w:val="TextBody"/>
        <w:bidi w:val="0"/>
        <w:spacing w:before="0" w:after="240"/>
        <w:jc w:val="both"/>
        <w:rPr>
          <w:rFonts w:ascii="Times New Roman" w:hAnsi="Times New Roman"/>
          <w:sz w:val="20"/>
        </w:rPr>
      </w:pPr>
      <w:r>
        <w:rPr>
          <w:rFonts w:ascii="Times New Roman" w:hAnsi="Times New Roman"/>
          <w:color w:val="000000"/>
          <w:sz w:val="24"/>
        </w:rPr>
        <w:t>Grantee understands and agrees that, as a condition of the grant of the Restricted Stock Unit, except as provided for in the Global Restricted Stock Unit Award Agreement, the termination of Grantee’s Service Relationship for any reason (including for the reasons herein) will automatically result in the loss of the Restricted Stock Unit that may have been granted and that have not vested on the date of termination.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In particular, Grantee understands and agrees that any unvested Restricted Stock Unit as of Grantee’s termination date, unless otherwise specified in Global Restricted Stock Unit Award Agreement, will be forfeited without entitlement to the underlying Shares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 w:hAnsi="Times New Roman"/>
          <w:i/>
          <w:color w:val="000000"/>
          <w:sz w:val="24"/>
        </w:rPr>
        <w:t>i</w:t>
      </w:r>
      <w:r>
        <w:rPr>
          <w:rFonts w:ascii="Times New Roman" w:hAnsi="Times New Roman"/>
          <w:color w:val="000000"/>
          <w:sz w:val="24"/>
        </w:rPr>
        <w:t>.</w:t>
      </w:r>
      <w:r>
        <w:rPr>
          <w:rFonts w:ascii="Times New Roman" w:hAnsi="Times New Roman"/>
          <w:i/>
          <w:color w:val="000000"/>
          <w:sz w:val="24"/>
        </w:rPr>
        <w:t>e</w:t>
      </w:r>
      <w:r>
        <w:rPr>
          <w:rFonts w:ascii="Times New Roman" w:hAnsi="Times New Roman"/>
          <w:color w:val="000000"/>
          <w:sz w:val="24"/>
        </w:rPr>
        <w:t>., subject to a “</w:t>
      </w:r>
      <w:r>
        <w:rPr>
          <w:rFonts w:ascii="Times New Roman" w:hAnsi="Times New Roman"/>
          <w:i/>
          <w:color w:val="000000"/>
          <w:sz w:val="24"/>
        </w:rPr>
        <w:t>despido improcedente</w:t>
      </w:r>
      <w:r>
        <w:rPr>
          <w:rFonts w:ascii="Times New Roman" w:hAnsi="Times New Roman"/>
          <w:color w:val="000000"/>
          <w:sz w:val="20"/>
        </w:rPr>
        <w:t>”</w:t>
      </w:r>
      <w:r>
        <w:rPr>
          <w:rFonts w:ascii="Times New Roman" w:hAnsi="Times New Roman"/>
          <w:color w:val="000000"/>
          <w:sz w:val="24"/>
        </w:rPr>
        <w:t>),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Furthermore, the Grantee understands that the Company has unilaterally, gratuitously, and discretionally decided to grant the Restricted Stock Unit under the Plan to individuals who may be service providers of the Company or its Affiliates. The decision is a limited decision that is entered into upon the express assumption and condition that any grant will not economically or otherwise bind the Company on an ongoing basis other than to the extent set forth in the Global Restricted Stock Unit Award Agreement. Consequently, Grantee understands that the Restricted Stock Unit is granted on the assumption and condition that the Restricted Stock Unit and the Shares issued upon vesting shall not become a part of any employment or contract (with the Company, including the Employer) and shall not be considered a mandatory benefit, salary for any purposes (including</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severance compensation), or any other right whatsoever. Furthermore, the Grantee understands and freely accepts that there is no guarantee that any benefit whatsoever will arise from the Restricted Stock Unit, which is gratuitous and discretionary, since the future value of the Restricted Stock Unit and the underlying Shares is unknown and unpredictable. In addition, Grantee understands that the grant of the Restricted Stock Unit would not be made to Grantee but for the assumptions and conditions referred to above; thus, Grantee acknowledges and freely accepts that should any or all of the assumptions be mistaken or should any of the conditions not be met for any reason, then any grant to Grantee shall be null and void.</w:t>
      </w:r>
      <w:r>
        <w:rPr>
          <w:rFonts w:ascii="Times New Roman" w:hAnsi="Times New Roman"/>
          <w:smallCaps/>
          <w:color w:val="000000"/>
          <w:sz w:val="20"/>
        </w:rPr>
        <w:t xml:space="preserve"> </w:t>
      </w:r>
    </w:p>
    <w:p>
      <w:pPr>
        <w:pStyle w:val="TextBody"/>
        <w:bidi w:val="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 xml:space="preserve">. No “offer of securities to the public,” as defined under Spanish law, has taken place or will take place in the Spanish territory. The Global Restricted Stock Unit Award Agreement (including this Appendix) has not been nor will it be registered with the </w:t>
      </w:r>
      <w:r>
        <w:rPr>
          <w:rFonts w:ascii="Times New Roman" w:hAnsi="Times New Roman"/>
          <w:i/>
          <w:color w:val="000000"/>
          <w:sz w:val="24"/>
        </w:rPr>
        <w:t>Comisión Nacional del Mercado de Valores</w:t>
      </w:r>
      <w:r>
        <w:rPr>
          <w:rFonts w:ascii="Times New Roman" w:hAnsi="Times New Roman"/>
          <w:color w:val="000000"/>
          <w:sz w:val="24"/>
        </w:rPr>
        <w:t>, and does not constitute a public offering prospectus.</w:t>
      </w:r>
    </w:p>
    <w:p>
      <w:pPr>
        <w:pStyle w:val="TextBody"/>
        <w:bidi w:val="0"/>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color w:val="000000"/>
          <w:sz w:val="24"/>
        </w:rPr>
        <w:t>. The Grantee will be required to declare electronically to the Bank of Spain any securities accounts (including brokerage accounts held abroad), as well as the Shares held in such accounts, if the value of the transactions during the prior tax year or the balances in such accounts as of December 31 of the prior tax year exceed €1,000,000.</w:t>
      </w:r>
    </w:p>
    <w:p>
      <w:pPr>
        <w:pStyle w:val="TextBody"/>
        <w:bidi w:val="0"/>
        <w:jc w:val="left"/>
        <w:rPr/>
      </w:pPr>
      <w:r>
        <w:rPr/>
        <w:t> </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SWEDEN</w:t>
      </w:r>
    </w:p>
    <w:p>
      <w:pPr>
        <w:pStyle w:val="TextBody"/>
        <w:bidi w:val="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Responsibility for Taxes</w:t>
      </w:r>
      <w:r>
        <w:rPr>
          <w:rFonts w:ascii="Times New Roman" w:hAnsi="Times New Roman"/>
          <w:color w:val="000000"/>
          <w:sz w:val="24"/>
        </w:rPr>
        <w:t>. The following provision supplements Paragraph 6 of the Global Restricted Stock Unit Award Agreement:</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limiting the Company’s and the Employer’s authority to satisfy their withholding obligations for Tax-Related Items as set forth in Paragraph 6 of the Global Restricted Stock Unit Award Agreement, by accepting the Restricted Stock Units, the Grantee authorizes the Company and/or the Employer to withhold Shares or to sell Shares otherwise deliverable to the Grantee upon settlement/vesting to satisfy Tax-Related Items, regardless of whether the Company and/or the Employer have an obligation to withhold such Tax-Related Items.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UNITED KINGDOM</w:t>
      </w:r>
    </w:p>
    <w:p>
      <w:pPr>
        <w:pStyle w:val="TextBody"/>
        <w:bidi w:val="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Responsibility for Taxes</w:t>
      </w:r>
      <w:r>
        <w:rPr>
          <w:rFonts w:ascii="Times New Roman" w:hAnsi="Times New Roman"/>
          <w:color w:val="000000"/>
          <w:sz w:val="24"/>
        </w:rPr>
        <w:t>. The following provisions supplement Paragraph 6 of the Global Restricted Stock Unit Award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Without limitation to Section 6 of the Global Restricted Stock Unit Award Agreement, the Grantee agrees that the Grantee is liable for all Tax-Related Items and hereby covenants to pay all such Tax-Related Items as and when requested by the Company or the Employer or by HM Revenue and Customs (“</w:t>
      </w:r>
      <w:r>
        <w:rPr>
          <w:rFonts w:ascii="Times New Roman" w:hAnsi="Times New Roman"/>
          <w:b/>
          <w:i/>
          <w:color w:val="000000"/>
          <w:sz w:val="24"/>
        </w:rPr>
        <w:t>HMRC</w:t>
      </w:r>
      <w:r>
        <w:rPr>
          <w:rFonts w:ascii="Times New Roman" w:hAnsi="Times New Roman"/>
          <w:color w:val="000000"/>
          <w:sz w:val="20"/>
        </w:rPr>
        <w:t>”</w:t>
      </w:r>
      <w:r>
        <w:rPr>
          <w:rFonts w:ascii="Times New Roman" w:hAnsi="Times New Roman"/>
          <w:color w:val="000000"/>
          <w:sz w:val="24"/>
        </w:rPr>
        <w:t>) (or any other tax authority or any other relevant authority). The Grantee also agrees to indemnify and keep indemnified the Company or the Employer against any</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Tax-Related Items that they are required to pay or withhold or have paid or will pay to HMRC (or any other tax authority or any other relevant authority) on the Grantee’s behalf.</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Notwithstanding the foregoing, if the Grantee is a director or executive officer of the Company (within the meaning of Section 13(k) of the Exchange Act), the terms of the immediately foregoing provision will not apply if the indemnification can be viewed as a loan. In such case, if the amount of any income tax due is not collected from or paid by the Grantee within 90 days of the end of the U.K. tax year in which an event giving rise to the indemnification described above occurs, the amount of any uncollected income taxes may constitute a benefit to the Grantee on which additional income tax and national insurance contributions (“</w:t>
      </w:r>
      <w:r>
        <w:rPr>
          <w:rFonts w:ascii="Times New Roman" w:hAnsi="Times New Roman"/>
          <w:b/>
          <w:i/>
          <w:color w:val="000000"/>
          <w:sz w:val="24"/>
        </w:rPr>
        <w:t>NICs</w:t>
      </w:r>
      <w:r>
        <w:rPr>
          <w:rFonts w:ascii="Times New Roman" w:hAnsi="Times New Roman"/>
          <w:color w:val="000000"/>
          <w:sz w:val="20"/>
        </w:rPr>
        <w:t>”</w:t>
      </w:r>
      <w:r>
        <w:rPr>
          <w:rFonts w:ascii="Times New Roman" w:hAnsi="Times New Roman"/>
          <w:color w:val="000000"/>
          <w:sz w:val="24"/>
        </w:rPr>
        <w:t>) may be payable. The Grantee will be responsible for reporting and paying any income tax due on this additional benefit directly to HMRC under the self-assessment regime and for paying to the Company or the Employer, as applicable, any employee NICs due on this additional benefit, which the Company or the Employer may recover from the Grantee by any of the means referred to in Section 6 of the Global Restricted Stock Unit Award Agreement.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4" w:name="hubs-ex10_2.htm"/>
      <w:bookmarkStart w:id="25" w:name="kshubsex10_2"/>
      <w:bookmarkEnd w:id="24"/>
      <w:bookmarkEnd w:id="25"/>
      <w:r>
        <w:rPr>
          <w:rFonts w:ascii="Times New Roman" w:hAnsi="Times New Roman"/>
          <w:b/>
          <w:color w:val="000000"/>
          <w:sz w:val="22"/>
        </w:rPr>
        <w:t>Exhibit 10.2</w:t>
      </w:r>
      <w:r>
        <w:br w:type="page"/>
      </w:r>
    </w:p>
    <w:p>
      <w:pPr>
        <w:pStyle w:val="TextBody"/>
        <w:bidi w:val="0"/>
        <w:spacing w:before="240" w:after="240"/>
        <w:jc w:val="right"/>
        <w:rPr>
          <w:rFonts w:ascii="Times New Roman" w:hAnsi="Times New Roman"/>
          <w:color w:val="000000"/>
          <w:sz w:val="22"/>
        </w:rPr>
      </w:pPr>
      <w:r>
        <w:rPr>
          <w:rFonts w:ascii="Times New Roman" w:hAnsi="Times New Roman"/>
          <w:color w:val="000000"/>
          <w:sz w:val="22"/>
        </w:rPr>
        <w:t>Published CUSIP Numbers:</w:t>
      </w:r>
    </w:p>
    <w:p>
      <w:pPr>
        <w:pStyle w:val="TextBody"/>
        <w:bidi w:val="0"/>
        <w:spacing w:before="0" w:after="240"/>
        <w:jc w:val="right"/>
        <w:rPr>
          <w:rFonts w:ascii="Times New Roman" w:hAnsi="Times New Roman"/>
          <w:color w:val="000000"/>
          <w:sz w:val="22"/>
        </w:rPr>
      </w:pPr>
      <w:r>
        <w:rPr>
          <w:rFonts w:ascii="Times New Roman" w:hAnsi="Times New Roman"/>
          <w:color w:val="000000"/>
          <w:sz w:val="22"/>
        </w:rPr>
        <w:t>Deal: 44356QAA8</w:t>
      </w:r>
    </w:p>
    <w:p>
      <w:pPr>
        <w:pStyle w:val="TextBody"/>
        <w:bidi w:val="0"/>
        <w:spacing w:before="0" w:after="240"/>
        <w:jc w:val="right"/>
        <w:rPr>
          <w:rFonts w:ascii="Times New Roman" w:hAnsi="Times New Roman"/>
          <w:color w:val="000000"/>
          <w:sz w:val="22"/>
        </w:rPr>
      </w:pPr>
      <w:r>
        <w:rPr>
          <w:rFonts w:ascii="Times New Roman" w:hAnsi="Times New Roman"/>
          <w:color w:val="000000"/>
          <w:sz w:val="22"/>
        </w:rPr>
        <w:t>Revolver: 44356QAB6</w:t>
      </w:r>
    </w:p>
    <w:p>
      <w:pPr>
        <w:pStyle w:val="TextBody"/>
        <w:bidi w:val="0"/>
        <w:spacing w:before="0" w:after="240"/>
        <w:jc w:val="center"/>
        <w:rPr/>
      </w:pPr>
      <w:r>
        <w:rPr/>
        <w:t> </w:t>
      </w:r>
    </w:p>
    <w:p>
      <w:pPr>
        <w:pStyle w:val="TextBody"/>
        <w:bidi w:val="0"/>
        <w:spacing w:before="0" w:after="240"/>
        <w:jc w:val="left"/>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CREDIT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Dated as of February 10, 2026</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among</w:t>
      </w:r>
    </w:p>
    <w:p>
      <w:pPr>
        <w:pStyle w:val="TextBody"/>
        <w:bidi w:val="0"/>
        <w:jc w:val="center"/>
        <w:rPr>
          <w:rFonts w:ascii="Times New Roman" w:hAnsi="Times New Roman"/>
          <w:color w:val="000000"/>
          <w:sz w:val="22"/>
        </w:rPr>
      </w:pPr>
      <w:r>
        <w:rPr>
          <w:rFonts w:ascii="Times New Roman" w:hAnsi="Times New Roman"/>
          <w:color w:val="000000"/>
          <w:sz w:val="22"/>
        </w:rPr>
        <w:t>HUBSPOT, INC.,</w:t>
      </w:r>
    </w:p>
    <w:p>
      <w:pPr>
        <w:pStyle w:val="TextBody"/>
        <w:bidi w:val="0"/>
        <w:spacing w:before="0" w:after="240"/>
        <w:jc w:val="center"/>
        <w:rPr>
          <w:rFonts w:ascii="Times New Roman" w:hAnsi="Times New Roman"/>
          <w:sz w:val="20"/>
        </w:rPr>
      </w:pPr>
      <w:r>
        <w:rPr>
          <w:rFonts w:ascii="Times New Roman" w:hAnsi="Times New Roman"/>
          <w:color w:val="000000"/>
          <w:sz w:val="22"/>
        </w:rPr>
        <w:t>as the Borrower,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THE SUBSIDIARIES OF THE BORROWER PARTY HERETO,</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as the Guarantors,</w:t>
      </w:r>
    </w:p>
    <w:p>
      <w:pPr>
        <w:pStyle w:val="TextBody"/>
        <w:bidi w:val="0"/>
        <w:jc w:val="center"/>
        <w:rPr>
          <w:rFonts w:ascii="Times New Roman" w:hAnsi="Times New Roman"/>
          <w:color w:val="000000"/>
          <w:sz w:val="22"/>
        </w:rPr>
      </w:pPr>
      <w:r>
        <w:rPr>
          <w:rFonts w:ascii="Times New Roman" w:hAnsi="Times New Roman"/>
          <w:color w:val="000000"/>
          <w:sz w:val="22"/>
        </w:rPr>
        <w:t>BANK OF AMERICA, N.A.,</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as the Administrative Agent and an L/C Issuer,</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and</w:t>
      </w:r>
    </w:p>
    <w:p>
      <w:pPr>
        <w:pStyle w:val="TextBody"/>
        <w:bidi w:val="0"/>
        <w:spacing w:before="0" w:after="480"/>
        <w:jc w:val="center"/>
        <w:rPr>
          <w:rFonts w:ascii="Times New Roman" w:hAnsi="Times New Roman"/>
          <w:color w:val="000000"/>
          <w:sz w:val="22"/>
        </w:rPr>
      </w:pPr>
      <w:r>
        <w:rPr>
          <w:rFonts w:ascii="Times New Roman" w:hAnsi="Times New Roman"/>
          <w:color w:val="000000"/>
          <w:sz w:val="22"/>
        </w:rPr>
        <w:t>THE OTHER LENDERS AND L/C ISSUERS PARTY HERETO</w:t>
      </w:r>
    </w:p>
    <w:p>
      <w:pPr>
        <w:pStyle w:val="TextBody"/>
        <w:bidi w:val="0"/>
        <w:jc w:val="center"/>
        <w:rPr>
          <w:rFonts w:ascii="Times New Roman" w:hAnsi="Times New Roman"/>
          <w:color w:val="000000"/>
          <w:sz w:val="22"/>
        </w:rPr>
      </w:pPr>
      <w:r>
        <w:rPr>
          <w:rFonts w:ascii="Times New Roman" w:hAnsi="Times New Roman"/>
          <w:color w:val="000000"/>
          <w:sz w:val="22"/>
        </w:rPr>
        <w:t>BOFA SECURITIES, INC.,</w:t>
      </w:r>
    </w:p>
    <w:p>
      <w:pPr>
        <w:pStyle w:val="TextBody"/>
        <w:bidi w:val="0"/>
        <w:jc w:val="center"/>
        <w:rPr>
          <w:rFonts w:ascii="Times New Roman" w:hAnsi="Times New Roman"/>
          <w:color w:val="000000"/>
          <w:sz w:val="22"/>
        </w:rPr>
      </w:pPr>
      <w:r>
        <w:rPr>
          <w:rFonts w:ascii="Times New Roman" w:hAnsi="Times New Roman"/>
          <w:color w:val="000000"/>
          <w:sz w:val="22"/>
        </w:rPr>
        <w:t>as Lead Arranger,</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and</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BOFA SECURITIES, INC.,</w:t>
      </w:r>
    </w:p>
    <w:p>
      <w:pPr>
        <w:pStyle w:val="TextBody"/>
        <w:bidi w:val="0"/>
        <w:jc w:val="center"/>
        <w:rPr>
          <w:rFonts w:ascii="Times New Roman" w:hAnsi="Times New Roman"/>
          <w:color w:val="000000"/>
          <w:sz w:val="22"/>
        </w:rPr>
      </w:pPr>
      <w:r>
        <w:rPr>
          <w:rFonts w:ascii="Times New Roman" w:hAnsi="Times New Roman"/>
          <w:color w:val="000000"/>
          <w:sz w:val="22"/>
        </w:rPr>
        <w:t>as Bookrunner</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2"/>
        </w:rPr>
        <w:br/>
      </w:r>
      <w:r>
        <w:rPr>
          <w:rFonts w:ascii="Times New Roman" w:hAnsi="Times New Roman"/>
          <w:color w:val="000000"/>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TABLE OF CONTENTS</w:t>
      </w:r>
    </w:p>
    <w:p>
      <w:pPr>
        <w:pStyle w:val="TextBody"/>
        <w:bidi w:val="0"/>
        <w:spacing w:before="0" w:after="120"/>
        <w:jc w:val="left"/>
        <w:rPr>
          <w:rFonts w:ascii="Times New Roman" w:hAnsi="Times New Roman"/>
          <w:b/>
          <w:color w:val="000000"/>
          <w:sz w:val="22"/>
        </w:rPr>
      </w:pPr>
      <w:r>
        <w:rPr>
          <w:rFonts w:ascii="Times New Roman" w:hAnsi="Times New Roman"/>
          <w:b/>
          <w:color w:val="000000"/>
          <w:sz w:val="22"/>
        </w:rPr>
        <w:t>Page</w:t>
      </w:r>
    </w:p>
    <w:tbl>
      <w:tblPr>
        <w:tblW w:w="10205" w:type="dxa"/>
        <w:jc w:val="left"/>
        <w:tblInd w:w="0" w:type="dxa"/>
        <w:tblLayout w:type="fixed"/>
        <w:tblCellMar>
          <w:top w:w="28" w:type="dxa"/>
          <w:left w:w="28" w:type="dxa"/>
          <w:bottom w:w="28" w:type="dxa"/>
          <w:right w:w="28" w:type="dxa"/>
        </w:tblCellMar>
      </w:tblPr>
      <w:tblGrid>
        <w:gridCol w:w="1981"/>
        <w:gridCol w:w="6393"/>
        <w:gridCol w:w="1831"/>
      </w:tblGrid>
      <w:tr>
        <w:trPr/>
        <w:tc>
          <w:tcPr>
            <w:tcW w:w="1981" w:type="dxa"/>
            <w:tcBorders/>
            <w:vAlign w:val="center"/>
          </w:tcPr>
          <w:p>
            <w:pPr>
              <w:pStyle w:val="TableContents"/>
              <w:bidi w:val="0"/>
              <w:spacing w:before="0" w:after="283"/>
              <w:jc w:val="left"/>
              <w:rPr>
                <w:sz w:val="4"/>
                <w:szCs w:val="4"/>
              </w:rPr>
            </w:pPr>
            <w:r>
              <w:rPr>
                <w:sz w:val="4"/>
                <w:szCs w:val="4"/>
              </w:rPr>
            </w:r>
          </w:p>
        </w:tc>
        <w:tc>
          <w:tcPr>
            <w:tcW w:w="6393"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374" w:type="dxa"/>
            <w:gridSpan w:val="2"/>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Article I. DEFINITIONS AND ACCOUNTING TERMS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2"/>
              </w:rPr>
            </w:pPr>
            <w:r>
              <w:rPr>
                <w:rFonts w:ascii="Times New Roman" w:hAnsi="Times New Roman"/>
                <w:caps/>
                <w:color w:val="000000"/>
                <w:sz w:val="22"/>
              </w:rPr>
              <w:t>1</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1.01</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Defined Terms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1.02</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Other Interpretive Provisions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38</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1.03</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Accounting Terms; Changes in GAAP; Calculation of Financial Covenants on a Pro Forma Basis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39</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1.04</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Rounding</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40</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1.05</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Times of Day; Rates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40</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1.06</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Letter of Credit Amounts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41</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1.07</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Exchange Rates; Currency Equivalents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41</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1.08</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Change of Currency</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41</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1.09</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Investment Grade Period</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olor w:val="000000"/>
                <w:sz w:val="24"/>
              </w:rPr>
            </w:pPr>
            <w:r>
              <w:rPr>
                <w:rFonts w:ascii="Times New Roman" w:hAnsi="Times New Roman"/>
                <w:color w:val="000000"/>
                <w:sz w:val="24"/>
              </w:rPr>
              <w:t>42</w:t>
            </w:r>
          </w:p>
        </w:tc>
      </w:tr>
      <w:tr>
        <w:trPr/>
        <w:tc>
          <w:tcPr>
            <w:tcW w:w="8374" w:type="dxa"/>
            <w:gridSpan w:val="2"/>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Article II. THE COMMITMENTS AND CREDIT EXTENSIONS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2"/>
              </w:rPr>
            </w:pPr>
            <w:r>
              <w:rPr>
                <w:rFonts w:ascii="Times New Roman" w:hAnsi="Times New Roman"/>
                <w:caps/>
                <w:color w:val="000000"/>
                <w:sz w:val="22"/>
              </w:rPr>
              <w:t>42</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2.01</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Revolving Loans and Term Loans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42</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2.02</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Borrowings, Conversions and Continuations of Loans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42</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2.03</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Letters of Credit</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44</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2.04</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[Reserved]</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53</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2.05</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Prepayments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53</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2.06</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Optional Reductions of the Aggregate Revolving Commitments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54</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2.07</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Repayment of Loans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55</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2.08</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Interest</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55</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2.09</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Fees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2.10</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Computation of Interest and Fees; Retroactive Adjustments of Applicable Rate</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2.11</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Evidence of Debt</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57</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2.12</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Payments Generally; Administrative Agent’s Clawback</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57</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2.13</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Sharing of Payments by Lenders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59</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2.14</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Cash Collateral</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60</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2.15</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Defaulting Lenders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61</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2.16</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Increase to Commitments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olor w:val="000000"/>
                <w:sz w:val="24"/>
              </w:rPr>
            </w:pPr>
            <w:r>
              <w:rPr>
                <w:rFonts w:ascii="Times New Roman" w:hAnsi="Times New Roman"/>
                <w:color w:val="000000"/>
                <w:sz w:val="24"/>
              </w:rPr>
              <w:t>63</w:t>
            </w:r>
          </w:p>
        </w:tc>
      </w:tr>
      <w:tr>
        <w:trPr/>
        <w:tc>
          <w:tcPr>
            <w:tcW w:w="8374" w:type="dxa"/>
            <w:gridSpan w:val="2"/>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Article III. TAXES, YIELD PROTECTION AND ILLEGALITY</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2"/>
              </w:rPr>
            </w:pPr>
            <w:r>
              <w:rPr>
                <w:rFonts w:ascii="Times New Roman" w:hAnsi="Times New Roman"/>
                <w:caps/>
                <w:color w:val="000000"/>
                <w:sz w:val="22"/>
              </w:rPr>
              <w:t>66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3.01</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Taxes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3.02</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Illegality</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70</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3.03</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Inability to Determine Rates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71</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3.04</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Increased Costs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73</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3.05</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Compensation for Losses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74</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3.06</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Mitigation of Obligations; Replacement of Lenders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75</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3.07</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Survival</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olor w:val="000000"/>
                <w:sz w:val="24"/>
              </w:rPr>
            </w:pPr>
            <w:r>
              <w:rPr>
                <w:rFonts w:ascii="Times New Roman" w:hAnsi="Times New Roman"/>
                <w:color w:val="000000"/>
                <w:sz w:val="24"/>
              </w:rPr>
              <w:t>75</w:t>
            </w:r>
          </w:p>
        </w:tc>
      </w:tr>
      <w:tr>
        <w:trPr/>
        <w:tc>
          <w:tcPr>
            <w:tcW w:w="8374" w:type="dxa"/>
            <w:gridSpan w:val="2"/>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Article IV. GUARANTY</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2"/>
              </w:rPr>
            </w:pPr>
            <w:r>
              <w:rPr>
                <w:rFonts w:ascii="Times New Roman" w:hAnsi="Times New Roman"/>
                <w:caps/>
                <w:color w:val="000000"/>
                <w:sz w:val="22"/>
              </w:rPr>
              <w:t>75</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4.01</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The Guaranty</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75</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4.02</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Obligations Unconditional</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4.03</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Reinstatement</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4.04</w:t>
            </w:r>
          </w:p>
        </w:tc>
        <w:tc>
          <w:tcPr>
            <w:tcW w:w="639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Certain Additional Waivers</w:t>
            </w:r>
          </w:p>
        </w:tc>
        <w:tc>
          <w:tcPr>
            <w:tcW w:w="183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77</w:t>
            </w:r>
          </w:p>
        </w:tc>
      </w:tr>
    </w:tbl>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61" w:type="dxa"/>
        <w:jc w:val="left"/>
        <w:tblInd w:w="0" w:type="dxa"/>
        <w:tblLayout w:type="fixed"/>
        <w:tblCellMar>
          <w:top w:w="28" w:type="dxa"/>
          <w:left w:w="28" w:type="dxa"/>
          <w:bottom w:w="28" w:type="dxa"/>
          <w:right w:w="28" w:type="dxa"/>
        </w:tblCellMar>
      </w:tblPr>
      <w:tblGrid>
        <w:gridCol w:w="2106"/>
        <w:gridCol w:w="5424"/>
        <w:gridCol w:w="1831"/>
      </w:tblGrid>
      <w:tr>
        <w:trPr/>
        <w:tc>
          <w:tcPr>
            <w:tcW w:w="2106" w:type="dxa"/>
            <w:tcBorders/>
            <w:vAlign w:val="center"/>
          </w:tcPr>
          <w:p>
            <w:pPr>
              <w:pStyle w:val="TableContents"/>
              <w:bidi w:val="0"/>
              <w:spacing w:before="0" w:after="283"/>
              <w:jc w:val="left"/>
              <w:rPr>
                <w:sz w:val="4"/>
                <w:szCs w:val="4"/>
              </w:rPr>
            </w:pPr>
            <w:r>
              <w:rPr>
                <w:sz w:val="4"/>
                <w:szCs w:val="4"/>
              </w:rPr>
            </w:r>
          </w:p>
        </w:tc>
        <w:tc>
          <w:tcPr>
            <w:tcW w:w="5424"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4.05</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Remedies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77</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4.06</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Rights of Contribution</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77</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4.07</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Guarantee of Payment; Continuing Guarantee</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77</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4.08</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Keepwell</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olor w:val="000000"/>
                <w:sz w:val="24"/>
              </w:rPr>
            </w:pPr>
            <w:r>
              <w:rPr>
                <w:rFonts w:ascii="Times New Roman" w:hAnsi="Times New Roman"/>
                <w:color w:val="000000"/>
                <w:sz w:val="24"/>
              </w:rPr>
              <w:t>77</w:t>
            </w:r>
          </w:p>
        </w:tc>
      </w:tr>
      <w:tr>
        <w:trPr/>
        <w:tc>
          <w:tcPr>
            <w:tcW w:w="7530" w:type="dxa"/>
            <w:gridSpan w:val="2"/>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Article V. CONDITIONS PRECEDENT TO CREDIT EXTENSIONS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2"/>
              </w:rPr>
            </w:pPr>
            <w:r>
              <w:rPr>
                <w:rFonts w:ascii="Times New Roman" w:hAnsi="Times New Roman"/>
                <w:caps/>
                <w:color w:val="000000"/>
                <w:sz w:val="22"/>
              </w:rPr>
              <w:t>78</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5.01</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Conditions to Effectiveness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78</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5.02</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Conditions to all Credit Extensions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olor w:val="000000"/>
                <w:sz w:val="24"/>
              </w:rPr>
            </w:pPr>
            <w:r>
              <w:rPr>
                <w:rFonts w:ascii="Times New Roman" w:hAnsi="Times New Roman"/>
                <w:color w:val="000000"/>
                <w:sz w:val="24"/>
              </w:rPr>
              <w:t>80</w:t>
            </w:r>
          </w:p>
        </w:tc>
      </w:tr>
      <w:tr>
        <w:trPr/>
        <w:tc>
          <w:tcPr>
            <w:tcW w:w="7530" w:type="dxa"/>
            <w:gridSpan w:val="2"/>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Article VI. REPRESENTATIONS AND WARRANTIES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2"/>
              </w:rPr>
            </w:pPr>
            <w:r>
              <w:rPr>
                <w:rFonts w:ascii="Times New Roman" w:hAnsi="Times New Roman"/>
                <w:caps/>
                <w:color w:val="000000"/>
                <w:sz w:val="22"/>
              </w:rPr>
              <w:t>81</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6.01</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Existence, Qualification and Power</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81</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6.02</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Authorization; No Contravention</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81</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6.03</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Governmental Authorization; Other Consents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82</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6.04</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Binding Effect</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82</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6.05</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Financial Statements; No Material Adverse Effect</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82</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6.06</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Litigation</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82</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6.07</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No Default</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82</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6.08</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Ownership of Property; Liens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83</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6.09</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Environmental Compliance</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83</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6.10</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Insurance</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84</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6.11</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Taxes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84</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6.12</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ERISA Compliance</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84</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6.13</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Subsidiaries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85</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6.14</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Margin Regulations; Investment Company Act</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85</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6.15</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Disclosure</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85</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6.16</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Compliance with Laws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86</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6.17</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Intellectual Property; Licenses, Etc</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86</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6.18</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Solvency</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86</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6.19</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Perfection of Security Interests in the Collateral</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86</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6.20</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Business Locations; Taxpayer Identification Number</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86</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6.21</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OFAC; Anti-Corruption</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87</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6.22</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USA PATRIOT Act</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87</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6.23</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Covered Entities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87</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6.24</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Outbound Investment Rules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olor w:val="000000"/>
                <w:sz w:val="24"/>
              </w:rPr>
            </w:pPr>
            <w:r>
              <w:rPr>
                <w:rFonts w:ascii="Times New Roman" w:hAnsi="Times New Roman"/>
                <w:color w:val="000000"/>
                <w:sz w:val="24"/>
              </w:rPr>
              <w:t>87</w:t>
            </w:r>
          </w:p>
        </w:tc>
      </w:tr>
      <w:tr>
        <w:trPr/>
        <w:tc>
          <w:tcPr>
            <w:tcW w:w="7530" w:type="dxa"/>
            <w:gridSpan w:val="2"/>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Article VII. AFFIRMATIVE COVENANTS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2"/>
              </w:rPr>
            </w:pPr>
            <w:r>
              <w:rPr>
                <w:rFonts w:ascii="Times New Roman" w:hAnsi="Times New Roman"/>
                <w:caps/>
                <w:color w:val="000000"/>
                <w:sz w:val="22"/>
              </w:rPr>
              <w:t>88</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7.01</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Financial Statements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88</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7.02</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Certificates; Other Information</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88</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7.03</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Notices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90</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7.04</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Payment of Taxes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91</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7.05</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Preservation of Existence, Etc</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91</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7.06</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Maintenance of Properties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91</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7.07</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Maintenance of Insurance</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92</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7.08</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Compliance with Laws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92</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7.09</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Books and Records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92</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7.10</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Inspection Rights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92</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7.11</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Use of Proceeds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93</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7.12</w:t>
            </w:r>
          </w:p>
        </w:tc>
        <w:tc>
          <w:tcPr>
            <w:tcW w:w="54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Additional Guarantors</w:t>
            </w:r>
          </w:p>
        </w:tc>
        <w:tc>
          <w:tcPr>
            <w:tcW w:w="183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93</w:t>
            </w:r>
          </w:p>
        </w:tc>
      </w:tr>
    </w:tbl>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01"/>
        <w:gridCol w:w="6153"/>
        <w:gridCol w:w="1951"/>
      </w:tblGrid>
      <w:tr>
        <w:trPr/>
        <w:tc>
          <w:tcPr>
            <w:tcW w:w="2101" w:type="dxa"/>
            <w:tcBorders/>
            <w:vAlign w:val="center"/>
          </w:tcPr>
          <w:p>
            <w:pPr>
              <w:pStyle w:val="TableContents"/>
              <w:bidi w:val="0"/>
              <w:spacing w:before="0" w:after="283"/>
              <w:jc w:val="left"/>
              <w:rPr>
                <w:sz w:val="4"/>
                <w:szCs w:val="4"/>
              </w:rPr>
            </w:pPr>
            <w:r>
              <w:rPr>
                <w:sz w:val="4"/>
                <w:szCs w:val="4"/>
              </w:rPr>
            </w:r>
          </w:p>
        </w:tc>
        <w:tc>
          <w:tcPr>
            <w:tcW w:w="6153"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7.13</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Pledged Assets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93</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7.14</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Anti-Corruption Laws; Sanctions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94</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7.15</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Post-Closing</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olor w:val="000000"/>
                <w:sz w:val="24"/>
              </w:rPr>
            </w:pPr>
            <w:r>
              <w:rPr>
                <w:rFonts w:ascii="Times New Roman" w:hAnsi="Times New Roman"/>
                <w:color w:val="000000"/>
                <w:sz w:val="24"/>
              </w:rPr>
              <w:t>94</w:t>
            </w:r>
          </w:p>
        </w:tc>
      </w:tr>
      <w:tr>
        <w:trPr/>
        <w:tc>
          <w:tcPr>
            <w:tcW w:w="8254" w:type="dxa"/>
            <w:gridSpan w:val="2"/>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Article VIII. NEGATIVE COVENANTS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2"/>
              </w:rPr>
            </w:pPr>
            <w:r>
              <w:rPr>
                <w:rFonts w:ascii="Times New Roman" w:hAnsi="Times New Roman"/>
                <w:caps/>
                <w:color w:val="000000"/>
                <w:sz w:val="22"/>
              </w:rPr>
              <w:t>94</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8.01</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Liens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94</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8.02</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Investments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98</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8.03</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Indebtedness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99</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8.04</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Fundamental Changes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103</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8.05</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Dispositions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103</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8.06</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Restricted Payments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104</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8.07</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Change in Nature of Business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105</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8.08</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Transactions with Affiliates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105</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8.09</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Burdensome Agreements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105</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8.10</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Use of Proceeds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106</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8.11</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Financial Covenants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106</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8.12</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Other Indebtedness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107</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8.13</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Organization Documents; Fiscal Year; Legal Name, State of Organization and Form of Entity</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108</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8.14</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Sale Leasebacks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108</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8.15</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Sanctions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108</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8.16</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Anti-Corruption Laws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108</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8.17</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Reinstatement Event</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108</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8.18</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Outbound Investment Rules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olor w:val="000000"/>
                <w:sz w:val="24"/>
              </w:rPr>
            </w:pPr>
            <w:r>
              <w:rPr>
                <w:rFonts w:ascii="Times New Roman" w:hAnsi="Times New Roman"/>
                <w:color w:val="000000"/>
                <w:sz w:val="24"/>
              </w:rPr>
              <w:t>109</w:t>
            </w:r>
          </w:p>
        </w:tc>
      </w:tr>
      <w:tr>
        <w:trPr/>
        <w:tc>
          <w:tcPr>
            <w:tcW w:w="8254" w:type="dxa"/>
            <w:gridSpan w:val="2"/>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Article IX. EVENTS OF DEFAULT AND REMEDIES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2"/>
              </w:rPr>
            </w:pPr>
            <w:r>
              <w:rPr>
                <w:rFonts w:ascii="Times New Roman" w:hAnsi="Times New Roman"/>
                <w:caps/>
                <w:color w:val="000000"/>
                <w:sz w:val="22"/>
              </w:rPr>
              <w:t>109</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9.01</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Events of Default</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109</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9.02</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Remedies Upon Event of Default</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111</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9.03</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Application of Funds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olor w:val="000000"/>
                <w:sz w:val="24"/>
              </w:rPr>
            </w:pPr>
            <w:r>
              <w:rPr>
                <w:rFonts w:ascii="Times New Roman" w:hAnsi="Times New Roman"/>
                <w:color w:val="000000"/>
                <w:sz w:val="24"/>
              </w:rPr>
              <w:t>112</w:t>
            </w:r>
          </w:p>
        </w:tc>
      </w:tr>
      <w:tr>
        <w:trPr/>
        <w:tc>
          <w:tcPr>
            <w:tcW w:w="8254" w:type="dxa"/>
            <w:gridSpan w:val="2"/>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Article X. ADMINISTRATIVE AGENT</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2"/>
              </w:rPr>
            </w:pPr>
            <w:r>
              <w:rPr>
                <w:rFonts w:ascii="Times New Roman" w:hAnsi="Times New Roman"/>
                <w:caps/>
                <w:color w:val="000000"/>
                <w:sz w:val="22"/>
              </w:rPr>
              <w:t>113</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10.01</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Appointment and Authority</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113</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10.02</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Rights as a Lender</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113</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10.03</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Exculpatory Provisions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114</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10.04</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Reliance by Administrative Agent</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114</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10.05</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Delegation of Duties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115</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10.06</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Resignation of Administrative Agent</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115</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10.07</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Non-Reliance on Administrative Agent, Arrangers and Other Lenders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116</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10.08</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No Other Duties; Etc</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117</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10.09</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Administrative Agent May File Proofs of Claim; Credit Bidding</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117</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10.10</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Collateral and Guaranty Matters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119</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10.11</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Secured Cash Management Agreements and Secured Hedge Agreements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119</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10.12</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Recovery of Erroneous Payments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olor w:val="000000"/>
                <w:sz w:val="24"/>
              </w:rPr>
            </w:pPr>
            <w:r>
              <w:rPr>
                <w:rFonts w:ascii="Times New Roman" w:hAnsi="Times New Roman"/>
                <w:color w:val="000000"/>
                <w:sz w:val="24"/>
              </w:rPr>
              <w:t>120</w:t>
            </w:r>
          </w:p>
        </w:tc>
      </w:tr>
      <w:tr>
        <w:trPr/>
        <w:tc>
          <w:tcPr>
            <w:tcW w:w="8254" w:type="dxa"/>
            <w:gridSpan w:val="2"/>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Article XI. MISCELLANEOUS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2"/>
              </w:rPr>
            </w:pPr>
            <w:r>
              <w:rPr>
                <w:rFonts w:ascii="Times New Roman" w:hAnsi="Times New Roman"/>
                <w:caps/>
                <w:color w:val="000000"/>
                <w:sz w:val="22"/>
              </w:rPr>
              <w:t>120</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11.01</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Amendments, Etc</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120</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11.02</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Notices; Effectiveness; Electronic Communications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122</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11.03</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No Waiver; Cumulative Remedies; Enforcement</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124</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11.04</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Expenses; Indemnity; Damage Waiver</w:t>
            </w:r>
          </w:p>
        </w:tc>
        <w:tc>
          <w:tcPr>
            <w:tcW w:w="195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125</w:t>
            </w:r>
          </w:p>
        </w:tc>
      </w:tr>
    </w:tbl>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01"/>
        <w:gridCol w:w="6153"/>
        <w:gridCol w:w="1951"/>
      </w:tblGrid>
      <w:tr>
        <w:trPr/>
        <w:tc>
          <w:tcPr>
            <w:tcW w:w="2101" w:type="dxa"/>
            <w:tcBorders/>
            <w:vAlign w:val="center"/>
          </w:tcPr>
          <w:p>
            <w:pPr>
              <w:pStyle w:val="TableContents"/>
              <w:bidi w:val="0"/>
              <w:spacing w:before="0" w:after="283"/>
              <w:jc w:val="left"/>
              <w:rPr>
                <w:sz w:val="4"/>
                <w:szCs w:val="4"/>
              </w:rPr>
            </w:pPr>
            <w:r>
              <w:rPr>
                <w:sz w:val="4"/>
                <w:szCs w:val="4"/>
              </w:rPr>
            </w:r>
          </w:p>
        </w:tc>
        <w:tc>
          <w:tcPr>
            <w:tcW w:w="6153"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11.05</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Payments Set Aside</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127</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11.06</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Successors and Assigns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127</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11.07</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Treatment of Certain Information; Confidentiality</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132</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11.08</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Right of Setoff</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133</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11.09</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Interest Rate Limitation</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134</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11.10</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Counterparts; Integration; Effectiveness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134</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11.11</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Survival of Representations and Warranties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134</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11.12</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Severability</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134</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11.13</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Replacement of Lenders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135</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11.14</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Governing Law; Jurisdiction; Etc</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136</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11.15</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Waiver of Jury Trial</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137</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11.16</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No Advisory or Fiduciary Responsibility</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137</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11.17</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Electronic Execution</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137</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11.18</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Subordination of Intercompany Indebtedness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138</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11.19</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USA PATRIOT Act Notice</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139</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11.20</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California Judicial Reference</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139</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11.21</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Appointment of Borrower</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139</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11.22</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Acknowledgement and Consent to Bail-In of Affected Financial Institutions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140</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11.23</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Certain ERISA Matters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140</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11.24</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Intercreditor Agreement</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141</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11.25</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Acknowledgement Regarding Any Supported QFCs</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141</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11.26</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Judgment Currency</w:t>
            </w:r>
          </w:p>
        </w:tc>
        <w:tc>
          <w:tcPr>
            <w:tcW w:w="195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142</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11.27</w:t>
            </w:r>
          </w:p>
        </w:tc>
        <w:tc>
          <w:tcPr>
            <w:tcW w:w="615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FF"/>
                <w:sz w:val="24"/>
              </w:rPr>
            </w:pPr>
            <w:r>
              <w:rPr>
                <w:rFonts w:ascii="Times New Roman" w:hAnsi="Times New Roman"/>
                <w:color w:val="0000FF"/>
                <w:sz w:val="24"/>
              </w:rPr>
              <w:t>Entire Agreement</w:t>
            </w:r>
          </w:p>
        </w:tc>
        <w:tc>
          <w:tcPr>
            <w:tcW w:w="195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142</w:t>
            </w:r>
          </w:p>
        </w:tc>
      </w:tr>
    </w:tbl>
    <w:p>
      <w:pPr>
        <w:pStyle w:val="TextBody"/>
        <w:bidi w:val="0"/>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20" w:after="240"/>
        <w:jc w:val="both"/>
        <w:rPr>
          <w:rFonts w:ascii="Times New Roman" w:hAnsi="Times New Roman"/>
          <w:color w:val="000000"/>
          <w:sz w:val="22"/>
        </w:rPr>
      </w:pPr>
      <w:r>
        <w:rPr>
          <w:rFonts w:ascii="Times New Roman" w:hAnsi="Times New Roman"/>
          <w:color w:val="000000"/>
          <w:sz w:val="22"/>
        </w:rPr>
        <w:t>SCHEDULES</w:t>
      </w:r>
    </w:p>
    <w:p>
      <w:pPr>
        <w:pStyle w:val="TextBody"/>
        <w:bidi w:val="0"/>
        <w:jc w:val="both"/>
        <w:rPr>
          <w:rFonts w:ascii="Times New Roman" w:hAnsi="Times New Roman"/>
          <w:color w:val="000000"/>
          <w:sz w:val="22"/>
        </w:rPr>
      </w:pPr>
      <w:r>
        <w:rPr>
          <w:rFonts w:ascii="Times New Roman" w:hAnsi="Times New Roman"/>
          <w:color w:val="000000"/>
          <w:sz w:val="22"/>
        </w:rPr>
        <w:t>2.01 Commitments and Applicable Percentages; Letter of Credit Commitments</w:t>
      </w:r>
    </w:p>
    <w:p>
      <w:pPr>
        <w:pStyle w:val="TextBody"/>
        <w:bidi w:val="0"/>
        <w:jc w:val="left"/>
        <w:rPr>
          <w:rFonts w:ascii="Times New Roman" w:hAnsi="Times New Roman"/>
          <w:sz w:val="20"/>
        </w:rPr>
      </w:pPr>
      <w:r>
        <w:rPr>
          <w:rFonts w:ascii="Times New Roman" w:hAnsi="Times New Roman"/>
          <w:color w:val="000000"/>
          <w:sz w:val="22"/>
        </w:rPr>
        <w:t>6.13 Subsidiaries</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6.17 IP Rights</w:t>
      </w:r>
    </w:p>
    <w:p>
      <w:pPr>
        <w:pStyle w:val="TextBody"/>
        <w:bidi w:val="0"/>
        <w:jc w:val="left"/>
        <w:rPr>
          <w:rFonts w:ascii="Times New Roman" w:hAnsi="Times New Roman"/>
          <w:color w:val="000000"/>
          <w:sz w:val="22"/>
        </w:rPr>
      </w:pPr>
      <w:r>
        <w:rPr>
          <w:rFonts w:ascii="Times New Roman" w:hAnsi="Times New Roman"/>
          <w:color w:val="000000"/>
          <w:sz w:val="22"/>
        </w:rPr>
        <w:t>6.20-1 Locations of Real Property</w:t>
      </w:r>
    </w:p>
    <w:p>
      <w:pPr>
        <w:pStyle w:val="TextBody"/>
        <w:bidi w:val="0"/>
        <w:jc w:val="left"/>
        <w:rPr>
          <w:rFonts w:ascii="Times New Roman" w:hAnsi="Times New Roman"/>
          <w:color w:val="000000"/>
          <w:sz w:val="22"/>
        </w:rPr>
      </w:pPr>
      <w:r>
        <w:rPr>
          <w:rFonts w:ascii="Times New Roman" w:hAnsi="Times New Roman"/>
          <w:color w:val="000000"/>
          <w:sz w:val="22"/>
        </w:rPr>
        <w:t>6.20-2 Location of Chief Executive Office; Taxpayer Identification Number</w:t>
      </w:r>
    </w:p>
    <w:p>
      <w:pPr>
        <w:pStyle w:val="TextBody"/>
        <w:bidi w:val="0"/>
        <w:jc w:val="left"/>
        <w:rPr>
          <w:rFonts w:ascii="Times New Roman" w:hAnsi="Times New Roman"/>
          <w:color w:val="000000"/>
          <w:sz w:val="22"/>
        </w:rPr>
      </w:pPr>
      <w:r>
        <w:rPr>
          <w:rFonts w:ascii="Times New Roman" w:hAnsi="Times New Roman"/>
          <w:color w:val="000000"/>
          <w:sz w:val="22"/>
        </w:rPr>
        <w:t>6.20-3 Changes in Legal Name, State of Formation and Structure</w:t>
      </w:r>
    </w:p>
    <w:p>
      <w:pPr>
        <w:pStyle w:val="TextBody"/>
        <w:bidi w:val="0"/>
        <w:jc w:val="left"/>
        <w:rPr>
          <w:rFonts w:ascii="Times New Roman" w:hAnsi="Times New Roman"/>
          <w:color w:val="000000"/>
          <w:sz w:val="22"/>
        </w:rPr>
      </w:pPr>
      <w:r>
        <w:rPr>
          <w:rFonts w:ascii="Times New Roman" w:hAnsi="Times New Roman"/>
          <w:color w:val="000000"/>
          <w:sz w:val="22"/>
        </w:rPr>
        <w:t>7.15 Post-Closing Items</w:t>
      </w:r>
    </w:p>
    <w:p>
      <w:pPr>
        <w:pStyle w:val="TextBody"/>
        <w:bidi w:val="0"/>
        <w:jc w:val="left"/>
        <w:rPr>
          <w:rFonts w:ascii="Times New Roman" w:hAnsi="Times New Roman"/>
          <w:color w:val="000000"/>
          <w:sz w:val="22"/>
        </w:rPr>
      </w:pPr>
      <w:r>
        <w:rPr>
          <w:rFonts w:ascii="Times New Roman" w:hAnsi="Times New Roman"/>
          <w:color w:val="000000"/>
          <w:sz w:val="22"/>
        </w:rPr>
        <w:t>8.01 Existing Liens</w:t>
      </w:r>
    </w:p>
    <w:p>
      <w:pPr>
        <w:pStyle w:val="TextBody"/>
        <w:bidi w:val="0"/>
        <w:jc w:val="left"/>
        <w:rPr>
          <w:rFonts w:ascii="Times New Roman" w:hAnsi="Times New Roman"/>
          <w:color w:val="000000"/>
          <w:sz w:val="22"/>
        </w:rPr>
      </w:pPr>
      <w:r>
        <w:rPr>
          <w:rFonts w:ascii="Times New Roman" w:hAnsi="Times New Roman"/>
          <w:color w:val="000000"/>
          <w:sz w:val="22"/>
        </w:rPr>
        <w:t>8.02 Existing Investments</w:t>
      </w:r>
    </w:p>
    <w:p>
      <w:pPr>
        <w:pStyle w:val="TextBody"/>
        <w:bidi w:val="0"/>
        <w:jc w:val="both"/>
        <w:rPr>
          <w:rFonts w:ascii="Times New Roman" w:hAnsi="Times New Roman"/>
          <w:color w:val="000000"/>
          <w:sz w:val="22"/>
        </w:rPr>
      </w:pPr>
      <w:r>
        <w:rPr>
          <w:rFonts w:ascii="Times New Roman" w:hAnsi="Times New Roman"/>
          <w:color w:val="000000"/>
          <w:sz w:val="22"/>
        </w:rPr>
        <w:t>8.03 Existing Indebtedness</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11.02 Administrative Agent’s Office; Certain Addresses for Notices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EXHIBITS</w:t>
      </w:r>
    </w:p>
    <w:p>
      <w:pPr>
        <w:pStyle w:val="TextBody"/>
        <w:bidi w:val="0"/>
        <w:jc w:val="both"/>
        <w:rPr>
          <w:rFonts w:ascii="Times New Roman" w:hAnsi="Times New Roman"/>
          <w:color w:val="000000"/>
          <w:sz w:val="22"/>
        </w:rPr>
      </w:pPr>
      <w:r>
        <w:rPr>
          <w:rFonts w:ascii="Times New Roman" w:hAnsi="Times New Roman"/>
          <w:color w:val="000000"/>
          <w:sz w:val="22"/>
        </w:rPr>
        <w:t>A Form of Loan Notice</w:t>
      </w:r>
    </w:p>
    <w:p>
      <w:pPr>
        <w:pStyle w:val="TextBody"/>
        <w:bidi w:val="0"/>
        <w:jc w:val="both"/>
        <w:rPr>
          <w:rFonts w:ascii="Times New Roman" w:hAnsi="Times New Roman"/>
          <w:color w:val="000000"/>
          <w:sz w:val="22"/>
        </w:rPr>
      </w:pPr>
      <w:r>
        <w:rPr>
          <w:rFonts w:ascii="Times New Roman" w:hAnsi="Times New Roman"/>
          <w:color w:val="000000"/>
          <w:sz w:val="22"/>
        </w:rPr>
        <w:t>B [Reserved]</w:t>
      </w:r>
    </w:p>
    <w:p>
      <w:pPr>
        <w:pStyle w:val="TextBody"/>
        <w:bidi w:val="0"/>
        <w:jc w:val="both"/>
        <w:rPr>
          <w:rFonts w:ascii="Times New Roman" w:hAnsi="Times New Roman"/>
          <w:color w:val="000000"/>
          <w:sz w:val="22"/>
        </w:rPr>
      </w:pPr>
      <w:r>
        <w:rPr>
          <w:rFonts w:ascii="Times New Roman" w:hAnsi="Times New Roman"/>
          <w:color w:val="000000"/>
          <w:sz w:val="22"/>
        </w:rPr>
        <w:t>C Form of Note</w:t>
      </w:r>
    </w:p>
    <w:p>
      <w:pPr>
        <w:pStyle w:val="TextBody"/>
        <w:bidi w:val="0"/>
        <w:jc w:val="both"/>
        <w:rPr>
          <w:rFonts w:ascii="Times New Roman" w:hAnsi="Times New Roman"/>
          <w:color w:val="000000"/>
          <w:sz w:val="22"/>
        </w:rPr>
      </w:pPr>
      <w:r>
        <w:rPr>
          <w:rFonts w:ascii="Times New Roman" w:hAnsi="Times New Roman"/>
          <w:color w:val="000000"/>
          <w:sz w:val="22"/>
        </w:rPr>
        <w:t>D Form of Compliance Certificate</w:t>
      </w:r>
    </w:p>
    <w:p>
      <w:pPr>
        <w:pStyle w:val="TextBody"/>
        <w:bidi w:val="0"/>
        <w:jc w:val="both"/>
        <w:rPr>
          <w:rFonts w:ascii="Times New Roman" w:hAnsi="Times New Roman"/>
          <w:color w:val="000000"/>
          <w:sz w:val="22"/>
        </w:rPr>
      </w:pPr>
      <w:r>
        <w:rPr>
          <w:rFonts w:ascii="Times New Roman" w:hAnsi="Times New Roman"/>
          <w:color w:val="000000"/>
          <w:sz w:val="22"/>
        </w:rPr>
        <w:t>E Form of Joinder Agreement</w:t>
      </w:r>
    </w:p>
    <w:p>
      <w:pPr>
        <w:pStyle w:val="TextBody"/>
        <w:bidi w:val="0"/>
        <w:jc w:val="both"/>
        <w:rPr>
          <w:rFonts w:ascii="Times New Roman" w:hAnsi="Times New Roman"/>
          <w:color w:val="000000"/>
          <w:sz w:val="22"/>
        </w:rPr>
      </w:pPr>
      <w:r>
        <w:rPr>
          <w:rFonts w:ascii="Times New Roman" w:hAnsi="Times New Roman"/>
          <w:color w:val="000000"/>
          <w:sz w:val="22"/>
        </w:rPr>
        <w:t>F-1 Form of Assignment and Assumption</w:t>
      </w:r>
    </w:p>
    <w:p>
      <w:pPr>
        <w:pStyle w:val="TextBody"/>
        <w:bidi w:val="0"/>
        <w:jc w:val="both"/>
        <w:rPr>
          <w:rFonts w:ascii="Times New Roman" w:hAnsi="Times New Roman"/>
          <w:color w:val="000000"/>
          <w:sz w:val="22"/>
        </w:rPr>
      </w:pPr>
      <w:r>
        <w:rPr>
          <w:rFonts w:ascii="Times New Roman" w:hAnsi="Times New Roman"/>
          <w:color w:val="000000"/>
          <w:sz w:val="22"/>
        </w:rPr>
        <w:t>F-2 Form of Administrative Questionnaire</w:t>
      </w:r>
    </w:p>
    <w:p>
      <w:pPr>
        <w:pStyle w:val="TextBody"/>
        <w:bidi w:val="0"/>
        <w:jc w:val="both"/>
        <w:rPr>
          <w:rFonts w:ascii="Times New Roman" w:hAnsi="Times New Roman"/>
          <w:color w:val="000000"/>
          <w:sz w:val="22"/>
        </w:rPr>
      </w:pPr>
      <w:r>
        <w:rPr>
          <w:rFonts w:ascii="Times New Roman" w:hAnsi="Times New Roman"/>
          <w:color w:val="000000"/>
          <w:sz w:val="22"/>
        </w:rPr>
        <w:t>G Forms of U.S. Tax Compliance Certificates</w:t>
      </w:r>
    </w:p>
    <w:p>
      <w:pPr>
        <w:pStyle w:val="TextBody"/>
        <w:bidi w:val="0"/>
        <w:jc w:val="both"/>
        <w:rPr>
          <w:rFonts w:ascii="Times New Roman" w:hAnsi="Times New Roman"/>
          <w:color w:val="000000"/>
          <w:sz w:val="22"/>
        </w:rPr>
      </w:pPr>
      <w:r>
        <w:rPr>
          <w:rFonts w:ascii="Times New Roman" w:hAnsi="Times New Roman"/>
          <w:color w:val="000000"/>
          <w:sz w:val="22"/>
        </w:rPr>
        <w:t>H Form of Secured Party Designation Notice</w:t>
      </w:r>
    </w:p>
    <w:p>
      <w:pPr>
        <w:pStyle w:val="TextBody"/>
        <w:bidi w:val="0"/>
        <w:jc w:val="both"/>
        <w:rPr>
          <w:rFonts w:ascii="Times New Roman" w:hAnsi="Times New Roman"/>
          <w:color w:val="000000"/>
          <w:sz w:val="22"/>
        </w:rPr>
      </w:pPr>
      <w:r>
        <w:rPr>
          <w:rFonts w:ascii="Times New Roman" w:hAnsi="Times New Roman"/>
          <w:color w:val="000000"/>
          <w:sz w:val="22"/>
        </w:rPr>
        <w:t>I Form of Notice of Loan Prepayment</w:t>
      </w:r>
    </w:p>
    <w:p>
      <w:pPr>
        <w:pStyle w:val="TextBody"/>
        <w:bidi w:val="0"/>
        <w:jc w:val="both"/>
        <w:rPr>
          <w:rFonts w:ascii="Times New Roman" w:hAnsi="Times New Roman"/>
          <w:color w:val="000000"/>
          <w:sz w:val="22"/>
        </w:rPr>
      </w:pPr>
      <w:r>
        <w:rPr>
          <w:rFonts w:ascii="Times New Roman" w:hAnsi="Times New Roman"/>
          <w:color w:val="000000"/>
          <w:sz w:val="22"/>
        </w:rPr>
        <w:t>J Form of Letter of Credit Report</w:t>
      </w:r>
    </w:p>
    <w:p>
      <w:pPr>
        <w:pStyle w:val="TextBody"/>
        <w:bidi w:val="0"/>
        <w:jc w:val="both"/>
        <w:rPr>
          <w:rFonts w:ascii="Times New Roman" w:hAnsi="Times New Roman"/>
          <w:color w:val="000000"/>
          <w:sz w:val="22"/>
        </w:rPr>
      </w:pPr>
      <w:r>
        <w:rPr>
          <w:rFonts w:ascii="Times New Roman" w:hAnsi="Times New Roman"/>
          <w:color w:val="000000"/>
          <w:sz w:val="22"/>
        </w:rPr>
        <w:t>K Form of Notice of Additional L/C Issuer</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CREDIT AGREEMENT</w:t>
      </w:r>
    </w:p>
    <w:p>
      <w:pPr>
        <w:pStyle w:val="TextBody"/>
        <w:bidi w:val="0"/>
        <w:spacing w:before="0" w:after="240"/>
        <w:jc w:val="both"/>
        <w:rPr>
          <w:rFonts w:ascii="Times New Roman" w:hAnsi="Times New Roman"/>
          <w:sz w:val="20"/>
        </w:rPr>
      </w:pPr>
      <w:r>
        <w:rPr>
          <w:rFonts w:ascii="Times New Roman" w:hAnsi="Times New Roman"/>
          <w:color w:val="000000"/>
          <w:sz w:val="22"/>
        </w:rPr>
        <w:t>This CREDIT AGREEMENT is entered into as of February 10, 2026, among HUBSPOT, INC., a Delaware corporation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Guarantors (defined herein), the Lenders (defined herein), the L/C Issuers (defined herein), and BANK OF AMERICA, N.A., as Administrative Agent and an L/C Issuer.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 has requested that the Lenders provide credit facilities for the purposes set forth herein, and the Lenders are willing to do so on the terms and conditions set forth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consideration of the mutual covenants and agreements herein contained, the parties hereto covenant and agree as follows:</w:t>
      </w:r>
    </w:p>
    <w:p>
      <w:pPr>
        <w:pStyle w:val="Heading1"/>
        <w:bidi w:val="0"/>
        <w:spacing w:before="0" w:after="240"/>
        <w:jc w:val="center"/>
        <w:rPr>
          <w:rFonts w:ascii="Times New Roman" w:hAnsi="Times New Roman"/>
          <w:b w:val="false"/>
          <w:caps/>
          <w:color w:val="000000"/>
          <w:sz w:val="22"/>
        </w:rPr>
      </w:pPr>
      <w:r>
        <w:rPr>
          <w:rFonts w:ascii="Times New Roman" w:hAnsi="Times New Roman"/>
          <w:b w:val="false"/>
          <w:caps/>
          <w:color w:val="000000"/>
          <w:sz w:val="22"/>
        </w:rPr>
        <w:t>Article I.</w:t>
        <w:br/>
        <w:br/>
        <w:t>DEFINITIONS AND ACCOUNTING TERMS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1.01 </w:t>
      </w:r>
      <w:r>
        <w:rPr>
          <w:rFonts w:ascii="Times New Roman" w:hAnsi="Times New Roman"/>
          <w:b w:val="false"/>
          <w:color w:val="000000"/>
          <w:sz w:val="22"/>
          <w:u w:val="single"/>
        </w:rPr>
        <w:t>Defined Terms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used in this Agreement, the following terms shall have the meanings set forth below:</w:t>
      </w:r>
    </w:p>
    <w:p>
      <w:pPr>
        <w:pStyle w:val="TextBody"/>
        <w:bidi w:val="0"/>
        <w:spacing w:before="0" w:after="240"/>
        <w:jc w:val="both"/>
        <w:rPr/>
      </w:pPr>
      <w:r>
        <w:rPr>
          <w:color w:val="000000"/>
        </w:rPr>
        <w:t>“</w:t>
      </w:r>
      <w:r>
        <w:rPr>
          <w:rFonts w:ascii="Times New Roman" w:hAnsi="Times New Roman"/>
          <w:color w:val="000000"/>
          <w:sz w:val="22"/>
          <w:u w:val="single"/>
        </w:rPr>
        <w:t>Acquisition</w:t>
      </w:r>
      <w:r>
        <w:rPr>
          <w:rFonts w:ascii="Times New Roman" w:hAnsi="Times New Roman"/>
          <w:color w:val="000000"/>
          <w:sz w:val="20"/>
        </w:rPr>
        <w:t xml:space="preserve">” </w:t>
      </w:r>
      <w:r>
        <w:rPr>
          <w:rFonts w:ascii="Times New Roman" w:hAnsi="Times New Roman"/>
          <w:color w:val="000000"/>
          <w:sz w:val="22"/>
        </w:rPr>
        <w:t>means, with respect to any Person, the acquisition by such Person, in a single transaction or in a series of related transactions, of either (a) all or any substantial portion of the property of, or a line of business, division or operating group of, another Person or (b) at least a majority of the Voting Equity Interests of another Person, in each case whether or not involving a merger or consolidation with such other Person.</w:t>
      </w:r>
    </w:p>
    <w:p>
      <w:pPr>
        <w:pStyle w:val="TextBody"/>
        <w:bidi w:val="0"/>
        <w:spacing w:before="0" w:after="240"/>
        <w:jc w:val="both"/>
        <w:rPr/>
      </w:pPr>
      <w:r>
        <w:rPr>
          <w:color w:val="000000"/>
        </w:rPr>
        <w:t>“</w:t>
      </w:r>
      <w:r>
        <w:rPr>
          <w:rFonts w:ascii="Times New Roman" w:hAnsi="Times New Roman"/>
          <w:color w:val="000000"/>
          <w:sz w:val="22"/>
          <w:u w:val="single"/>
        </w:rPr>
        <w:t>Administrative Agent</w:t>
      </w:r>
      <w:r>
        <w:rPr>
          <w:rFonts w:ascii="Times New Roman" w:hAnsi="Times New Roman"/>
          <w:color w:val="000000"/>
          <w:sz w:val="20"/>
        </w:rPr>
        <w:t xml:space="preserve">” </w:t>
      </w:r>
      <w:r>
        <w:rPr>
          <w:rFonts w:ascii="Times New Roman" w:hAnsi="Times New Roman"/>
          <w:color w:val="000000"/>
          <w:sz w:val="22"/>
        </w:rPr>
        <w:t>means Bank of America in its capacity as administrative agent under any of the Loan Documents, or any successor administrative agent.</w:t>
      </w:r>
    </w:p>
    <w:p>
      <w:pPr>
        <w:pStyle w:val="TextBody"/>
        <w:bidi w:val="0"/>
        <w:spacing w:before="0" w:after="240"/>
        <w:jc w:val="both"/>
        <w:rPr/>
      </w:pPr>
      <w:r>
        <w:rPr>
          <w:color w:val="000000"/>
        </w:rPr>
        <w:t>“</w:t>
      </w:r>
      <w:r>
        <w:rPr>
          <w:rFonts w:ascii="Times New Roman" w:hAnsi="Times New Roman"/>
          <w:color w:val="000000"/>
          <w:sz w:val="22"/>
          <w:u w:val="single"/>
        </w:rPr>
        <w:t>Administrative Agent’s Office</w:t>
      </w:r>
      <w:r>
        <w:rPr>
          <w:rFonts w:ascii="Times New Roman" w:hAnsi="Times New Roman"/>
          <w:color w:val="000000"/>
          <w:sz w:val="20"/>
        </w:rPr>
        <w:t xml:space="preserve">” </w:t>
      </w:r>
      <w:r>
        <w:rPr>
          <w:rFonts w:ascii="Times New Roman" w:hAnsi="Times New Roman"/>
          <w:color w:val="000000"/>
          <w:sz w:val="22"/>
        </w:rPr>
        <w:t xml:space="preserve">means the Administrative Agent’s address and, as appropriate, account as set forth on </w:t>
      </w:r>
      <w:r>
        <w:rPr>
          <w:rFonts w:ascii="Times New Roman" w:hAnsi="Times New Roman"/>
          <w:color w:val="000000"/>
          <w:sz w:val="22"/>
          <w:u w:val="single"/>
        </w:rPr>
        <w:t>Schedule 11.02</w:t>
      </w:r>
      <w:r>
        <w:rPr>
          <w:rFonts w:ascii="Times New Roman" w:hAnsi="Times New Roman"/>
          <w:color w:val="000000"/>
          <w:sz w:val="20"/>
        </w:rPr>
        <w:t xml:space="preserve"> </w:t>
      </w:r>
      <w:r>
        <w:rPr>
          <w:rFonts w:ascii="Times New Roman" w:hAnsi="Times New Roman"/>
          <w:color w:val="000000"/>
          <w:sz w:val="22"/>
        </w:rPr>
        <w:t>or such other address or account as the Administrative Agent may from time to time notify the Borrower and the Lenders.</w:t>
      </w:r>
    </w:p>
    <w:p>
      <w:pPr>
        <w:pStyle w:val="TextBody"/>
        <w:bidi w:val="0"/>
        <w:spacing w:before="0" w:after="240"/>
        <w:jc w:val="both"/>
        <w:rPr/>
      </w:pPr>
      <w:r>
        <w:rPr>
          <w:color w:val="000000"/>
        </w:rPr>
        <w:t>“</w:t>
      </w:r>
      <w:r>
        <w:rPr>
          <w:rFonts w:ascii="Times New Roman" w:hAnsi="Times New Roman"/>
          <w:color w:val="000000"/>
          <w:sz w:val="22"/>
          <w:u w:val="single"/>
        </w:rPr>
        <w:t>Administrative Questionnaire</w:t>
      </w:r>
      <w:r>
        <w:rPr>
          <w:rFonts w:ascii="Times New Roman" w:hAnsi="Times New Roman"/>
          <w:color w:val="000000"/>
          <w:sz w:val="20"/>
        </w:rPr>
        <w:t xml:space="preserve">” </w:t>
      </w:r>
      <w:r>
        <w:rPr>
          <w:rFonts w:ascii="Times New Roman" w:hAnsi="Times New Roman"/>
          <w:color w:val="000000"/>
          <w:sz w:val="22"/>
        </w:rPr>
        <w:t xml:space="preserve">means an Administrative Questionnaire in substantially the form of </w:t>
      </w:r>
      <w:r>
        <w:rPr>
          <w:rFonts w:ascii="Times New Roman" w:hAnsi="Times New Roman"/>
          <w:color w:val="000000"/>
          <w:sz w:val="22"/>
          <w:u w:val="single"/>
        </w:rPr>
        <w:t>Exhibit F-2</w:t>
      </w:r>
      <w:r>
        <w:rPr>
          <w:rFonts w:ascii="Times New Roman" w:hAnsi="Times New Roman"/>
          <w:color w:val="000000"/>
          <w:sz w:val="20"/>
        </w:rPr>
        <w:t xml:space="preserve"> </w:t>
      </w:r>
      <w:r>
        <w:rPr>
          <w:rFonts w:ascii="Times New Roman" w:hAnsi="Times New Roman"/>
          <w:color w:val="000000"/>
          <w:sz w:val="22"/>
        </w:rPr>
        <w:t>or any other form approved by the Administrative Agent.</w:t>
      </w:r>
    </w:p>
    <w:p>
      <w:pPr>
        <w:pStyle w:val="TextBody"/>
        <w:bidi w:val="0"/>
        <w:spacing w:before="0" w:after="240"/>
        <w:jc w:val="both"/>
        <w:rPr/>
      </w:pPr>
      <w:r>
        <w:rPr>
          <w:color w:val="000000"/>
        </w:rPr>
        <w:t>“</w:t>
      </w:r>
      <w:r>
        <w:rPr>
          <w:rFonts w:ascii="Times New Roman" w:hAnsi="Times New Roman"/>
          <w:color w:val="000000"/>
          <w:sz w:val="22"/>
          <w:u w:val="single"/>
        </w:rPr>
        <w:t>Affected Financial Institution</w:t>
      </w:r>
      <w:r>
        <w:rPr>
          <w:rFonts w:ascii="Times New Roman" w:hAnsi="Times New Roman"/>
          <w:color w:val="000000"/>
          <w:sz w:val="20"/>
        </w:rPr>
        <w:t xml:space="preserve">” </w:t>
      </w:r>
      <w:r>
        <w:rPr>
          <w:rFonts w:ascii="Times New Roman" w:hAnsi="Times New Roman"/>
          <w:color w:val="000000"/>
          <w:sz w:val="22"/>
        </w:rPr>
        <w:t>means (a) any EEA Financial Institution or (b) any UK Financial Institution.</w:t>
      </w:r>
    </w:p>
    <w:p>
      <w:pPr>
        <w:pStyle w:val="TextBody"/>
        <w:bidi w:val="0"/>
        <w:spacing w:before="0" w:after="240"/>
        <w:jc w:val="both"/>
        <w:rPr/>
      </w:pPr>
      <w:r>
        <w:rPr>
          <w:color w:val="000000"/>
        </w:rPr>
        <w:t>“</w:t>
      </w:r>
      <w:r>
        <w:rPr>
          <w:rFonts w:ascii="Times New Roman" w:hAnsi="Times New Roman"/>
          <w:color w:val="000000"/>
          <w:sz w:val="22"/>
          <w:u w:val="single"/>
        </w:rPr>
        <w:t>Affiliate</w:t>
      </w:r>
      <w:r>
        <w:rPr>
          <w:rFonts w:ascii="Times New Roman" w:hAnsi="Times New Roman"/>
          <w:color w:val="000000"/>
          <w:sz w:val="20"/>
        </w:rPr>
        <w:t xml:space="preserve">” </w:t>
      </w:r>
      <w:r>
        <w:rPr>
          <w:rFonts w:ascii="Times New Roman" w:hAnsi="Times New Roman"/>
          <w:color w:val="000000"/>
          <w:sz w:val="22"/>
        </w:rPr>
        <w:t>means, with respect to a specified Person, another Person that directly, or indirectly through one or more intermediaries, Controls or is Controlled by or is under common Control with the Person specified.</w:t>
      </w:r>
    </w:p>
    <w:p>
      <w:pPr>
        <w:pStyle w:val="TextBody"/>
        <w:bidi w:val="0"/>
        <w:spacing w:before="0" w:after="240"/>
        <w:jc w:val="both"/>
        <w:rPr/>
      </w:pPr>
      <w:r>
        <w:rPr>
          <w:color w:val="000000"/>
        </w:rPr>
        <w:t>“</w:t>
      </w:r>
      <w:r>
        <w:rPr>
          <w:rFonts w:ascii="Times New Roman" w:hAnsi="Times New Roman"/>
          <w:color w:val="000000"/>
          <w:sz w:val="22"/>
          <w:u w:val="single"/>
        </w:rPr>
        <w:t>Agent Party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11.02(c)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Aggregate Revolving Commitments</w:t>
      </w:r>
      <w:r>
        <w:rPr>
          <w:rFonts w:ascii="Times New Roman" w:hAnsi="Times New Roman"/>
          <w:color w:val="000000"/>
          <w:sz w:val="20"/>
        </w:rPr>
        <w:t xml:space="preserve">” </w:t>
      </w:r>
      <w:r>
        <w:rPr>
          <w:rFonts w:ascii="Times New Roman" w:hAnsi="Times New Roman"/>
          <w:color w:val="000000"/>
          <w:sz w:val="22"/>
        </w:rPr>
        <w:t>means the Revolving Commitments of all the Lenders. The amount of the Aggregate Revolving Commitments in effect on the Effective Date is FIVE HUNDRED MILLION DOLLARS ($500,000,000).</w:t>
      </w:r>
    </w:p>
    <w:p>
      <w:pPr>
        <w:pStyle w:val="TextBody"/>
        <w:bidi w:val="0"/>
        <w:spacing w:before="0" w:after="240"/>
        <w:jc w:val="both"/>
        <w:rPr/>
      </w:pPr>
      <w:r>
        <w:rPr>
          <w:color w:val="000000"/>
        </w:rPr>
        <w:t>“</w:t>
      </w:r>
      <w:r>
        <w:rPr>
          <w:rFonts w:ascii="Times New Roman" w:hAnsi="Times New Roman"/>
          <w:color w:val="000000"/>
          <w:sz w:val="22"/>
          <w:u w:val="single"/>
        </w:rPr>
        <w:t>Agreement</w:t>
      </w:r>
      <w:r>
        <w:rPr>
          <w:rFonts w:ascii="Times New Roman" w:hAnsi="Times New Roman"/>
          <w:color w:val="000000"/>
          <w:sz w:val="20"/>
        </w:rPr>
        <w:t xml:space="preserve">” </w:t>
      </w:r>
      <w:r>
        <w:rPr>
          <w:rFonts w:ascii="Times New Roman" w:hAnsi="Times New Roman"/>
          <w:color w:val="000000"/>
          <w:sz w:val="22"/>
        </w:rPr>
        <w:t>means this Credit Agreement.</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Alternative Currency</w:t>
      </w:r>
      <w:r>
        <w:rPr>
          <w:rFonts w:ascii="Times New Roman" w:hAnsi="Times New Roman"/>
          <w:color w:val="000000"/>
          <w:sz w:val="20"/>
        </w:rPr>
        <w:t xml:space="preserve">” </w:t>
      </w:r>
      <w:r>
        <w:rPr>
          <w:rFonts w:ascii="Times New Roman" w:hAnsi="Times New Roman"/>
          <w:color w:val="000000"/>
          <w:sz w:val="22"/>
        </w:rPr>
        <w:t>means EUR, GBP, CAD, AUD and any other currency (other than Dollars) that is an Eligible Currency; provided that at the time of the issuance, amendment, increase or extension of any Letter of Credit denominated in a currency other than Dollars, EUR, GBP, CAD or AUD, such other currency is acceptable to the Borrower, the Administrative Agent, the applicable Issuing Bank in respect of such Letter of Credit and each of the Lenders.</w:t>
      </w:r>
    </w:p>
    <w:p>
      <w:pPr>
        <w:pStyle w:val="TextBody"/>
        <w:bidi w:val="0"/>
        <w:spacing w:before="0" w:after="240"/>
        <w:jc w:val="both"/>
        <w:rPr/>
      </w:pPr>
      <w:r>
        <w:rPr>
          <w:color w:val="000000"/>
        </w:rPr>
        <w:t>“</w:t>
      </w:r>
      <w:r>
        <w:rPr>
          <w:rFonts w:ascii="Times New Roman" w:hAnsi="Times New Roman"/>
          <w:color w:val="000000"/>
          <w:sz w:val="22"/>
          <w:u w:val="single"/>
        </w:rPr>
        <w:t>Alternative Currency Equivalent</w:t>
      </w:r>
      <w:r>
        <w:rPr>
          <w:rFonts w:ascii="Times New Roman" w:hAnsi="Times New Roman"/>
          <w:color w:val="000000"/>
          <w:sz w:val="20"/>
        </w:rPr>
        <w:t xml:space="preserve">” </w:t>
      </w:r>
      <w:r>
        <w:rPr>
          <w:rFonts w:ascii="Times New Roman" w:hAnsi="Times New Roman"/>
          <w:color w:val="000000"/>
          <w:sz w:val="22"/>
        </w:rPr>
        <w:t>means, at any time, with respect to any amount denominated in Dollars, the equivalent amount thereof in the applicable Alternative Currency as determined by the Administrative Agent or the L/C Issuer,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provided, however, that if no such rate is available, the “Alternative Currency Equivalent” shall be determined by the Administrative Agent or the L/C Issuer, as the case may be, using any reasonable method of determination its deems appropriate in its sole discretion (and such determination shall be conclusive absent manifest error).</w:t>
      </w:r>
    </w:p>
    <w:p>
      <w:pPr>
        <w:pStyle w:val="TextBody"/>
        <w:bidi w:val="0"/>
        <w:spacing w:before="0" w:after="240"/>
        <w:jc w:val="both"/>
        <w:rPr/>
      </w:pPr>
      <w:r>
        <w:rPr>
          <w:color w:val="000000"/>
        </w:rPr>
        <w:t>“</w:t>
      </w:r>
      <w:r>
        <w:rPr>
          <w:rFonts w:ascii="Times New Roman" w:hAnsi="Times New Roman"/>
          <w:color w:val="000000"/>
          <w:sz w:val="22"/>
          <w:u w:val="single"/>
        </w:rPr>
        <w:t>Applicable Percentage</w:t>
      </w:r>
      <w:r>
        <w:rPr>
          <w:rFonts w:ascii="Times New Roman" w:hAnsi="Times New Roman"/>
          <w:color w:val="000000"/>
          <w:sz w:val="20"/>
        </w:rPr>
        <w:t xml:space="preserve">” </w:t>
      </w:r>
      <w:r>
        <w:rPr>
          <w:rFonts w:ascii="Times New Roman" w:hAnsi="Times New Roman"/>
          <w:color w:val="000000"/>
          <w:sz w:val="22"/>
        </w:rPr>
        <w:t xml:space="preserve">means, with respect to any Lender at any time: (a) with respect to such Lender’s Revolving Commitment at any time, the percentage (carried out to the ninth decimal place) of the Aggregate Revolving Commitments represented by such Lender’s Revolving Commitment at such time;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the commitment of each Lender to make Revolving Loans and the obligation of each L/C Issuer to make L/C Credit Extensions have been terminated pursuant to </w:t>
      </w:r>
      <w:r>
        <w:rPr>
          <w:rFonts w:ascii="Times New Roman" w:hAnsi="Times New Roman"/>
          <w:color w:val="000000"/>
          <w:sz w:val="22"/>
          <w:u w:val="single"/>
        </w:rPr>
        <w:t>Section 9.02</w:t>
      </w:r>
      <w:r>
        <w:rPr>
          <w:rFonts w:ascii="Times New Roman" w:hAnsi="Times New Roman"/>
          <w:color w:val="000000"/>
          <w:sz w:val="20"/>
        </w:rPr>
        <w:t xml:space="preserve"> </w:t>
      </w:r>
      <w:r>
        <w:rPr>
          <w:rFonts w:ascii="Times New Roman" w:hAnsi="Times New Roman"/>
          <w:color w:val="000000"/>
          <w:sz w:val="22"/>
        </w:rPr>
        <w:t xml:space="preserve">or if the Aggregate Revolving Commitments have expired, then the Applicable Percentage with respect to each Lender’s Revolving Commitment shall be determined based on the Applicable Percentage of such Lender’s Revolving Commitment most recently in effect, giving effect to any subsequent assignments; and (b) with respect to such Lender’s portion of any outstanding Term Loan at any time, the percentage (carried out to the ninth decimal place) of the outstanding principal amount of such Term Loan represented by the portion of such Term Loan held by such Lender at such time. The initial Applicable Percentages of each Lender are set forth opposite the name of such Lender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 xml:space="preserve">or in the Assignment and Assumption pursuant to which such Lender becomes a party hereto or in any documentation executed by such Lender pursuant to this Agreement. The Applicable Percentages shall be subject to adjustment as provided in </w:t>
      </w:r>
      <w:r>
        <w:rPr>
          <w:rFonts w:ascii="Times New Roman" w:hAnsi="Times New Roman"/>
          <w:color w:val="000000"/>
          <w:sz w:val="22"/>
          <w:u w:val="single"/>
        </w:rPr>
        <w:t>Section 2.15</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Applicable Rate</w:t>
      </w:r>
      <w:r>
        <w:rPr>
          <w:rFonts w:ascii="Times New Roman" w:hAnsi="Times New Roman"/>
          <w:color w:val="000000"/>
          <w:sz w:val="20"/>
        </w:rPr>
        <w:t xml:space="preserve">” </w:t>
      </w:r>
      <w:r>
        <w:rPr>
          <w:rFonts w:ascii="Times New Roman" w:hAnsi="Times New Roman"/>
          <w:color w:val="000000"/>
          <w:sz w:val="22"/>
        </w:rPr>
        <w:t xml:space="preserve">means, except as otherwise provided in any Incremental Amendment with respect to the applicable Loans and Commitments thereunder, the following percentages per annum, determined by reference to (x) during any Non-Investment Grade Period, the Pricing Tier corresponding to the Consolidated Leverage Ratio as of the end of the period of the four fiscal quarters of the Borrower most recently ended as set forth in the most recent Compliance Certificate received by the Administrative Agent pursuant to </w:t>
      </w:r>
      <w:r>
        <w:rPr>
          <w:rFonts w:ascii="Times New Roman" w:hAnsi="Times New Roman"/>
          <w:color w:val="000000"/>
          <w:sz w:val="22"/>
          <w:u w:val="single"/>
        </w:rPr>
        <w:t>Section 7.02(b)</w:t>
      </w:r>
      <w:r>
        <w:rPr>
          <w:rFonts w:ascii="Times New Roman" w:hAnsi="Times New Roman"/>
          <w:color w:val="000000"/>
          <w:sz w:val="20"/>
        </w:rPr>
        <w:t xml:space="preserve"> </w:t>
      </w:r>
      <w:r>
        <w:rPr>
          <w:rFonts w:ascii="Times New Roman" w:hAnsi="Times New Roman"/>
          <w:color w:val="000000"/>
          <w:sz w:val="22"/>
        </w:rPr>
        <w:t>and (y) during any Investment Grade Period, the Pricing Tier corresponding to the Applicable Ratings:</w:t>
      </w:r>
    </w:p>
    <w:p>
      <w:pPr>
        <w:pStyle w:val="TextBody"/>
        <w:bidi w:val="0"/>
        <w:spacing w:before="0" w:after="240"/>
        <w:jc w:val="both"/>
        <w:rPr>
          <w:rFonts w:ascii="Times New Roman" w:hAnsi="Times New Roman"/>
          <w:sz w:val="20"/>
        </w:rPr>
      </w:pPr>
      <w:r>
        <w:rPr>
          <w:rFonts w:ascii="Times New Roman" w:hAnsi="Times New Roman"/>
          <w:color w:val="000000"/>
          <w:sz w:val="22"/>
        </w:rPr>
        <w:t>(a) during any Non-Investment Grade Period:</w:t>
      </w:r>
      <w:r>
        <w:rPr>
          <w:rFonts w:ascii="Times New Roman" w:hAnsi="Times New Roman"/>
          <w:color w:val="000000"/>
          <w:sz w:val="20"/>
        </w:rPr>
        <w:t xml:space="preserve"> </w:t>
      </w:r>
    </w:p>
    <w:tbl>
      <w:tblPr>
        <w:tblW w:w="9230" w:type="dxa"/>
        <w:jc w:val="left"/>
        <w:tblInd w:w="0" w:type="dxa"/>
        <w:tblLayout w:type="fixed"/>
        <w:tblCellMar>
          <w:top w:w="28" w:type="dxa"/>
          <w:left w:w="28" w:type="dxa"/>
          <w:bottom w:w="28" w:type="dxa"/>
          <w:right w:w="28" w:type="dxa"/>
        </w:tblCellMar>
      </w:tblPr>
      <w:tblGrid>
        <w:gridCol w:w="1216"/>
        <w:gridCol w:w="2821"/>
        <w:gridCol w:w="2401"/>
        <w:gridCol w:w="1036"/>
        <w:gridCol w:w="1756"/>
      </w:tblGrid>
      <w:tr>
        <w:trPr/>
        <w:tc>
          <w:tcPr>
            <w:tcW w:w="121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21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40" w:after="40"/>
              <w:jc w:val="left"/>
              <w:rPr>
                <w:rFonts w:ascii="Times New Roman" w:hAnsi="Times New Roman"/>
                <w:color w:val="000000"/>
                <w:sz w:val="22"/>
                <w:u w:val="single"/>
              </w:rPr>
            </w:pPr>
            <w:r>
              <w:rPr>
                <w:rFonts w:ascii="Times New Roman" w:hAnsi="Times New Roman"/>
                <w:color w:val="000000"/>
                <w:sz w:val="22"/>
                <w:u w:val="single"/>
              </w:rPr>
              <w:t>Pricing Tier</w:t>
            </w:r>
          </w:p>
        </w:tc>
        <w:tc>
          <w:tcPr>
            <w:tcW w:w="28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40" w:after="40"/>
              <w:jc w:val="left"/>
              <w:rPr>
                <w:rFonts w:ascii="Times New Roman" w:hAnsi="Times New Roman"/>
                <w:color w:val="000000"/>
                <w:sz w:val="22"/>
                <w:u w:val="single"/>
              </w:rPr>
            </w:pPr>
            <w:r>
              <w:rPr>
                <w:rFonts w:ascii="Times New Roman" w:hAnsi="Times New Roman"/>
                <w:color w:val="000000"/>
                <w:sz w:val="22"/>
                <w:u w:val="single"/>
              </w:rPr>
              <w:t>Consolidated Leverage Ratio</w:t>
            </w:r>
          </w:p>
        </w:tc>
        <w:tc>
          <w:tcPr>
            <w:tcW w:w="24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40" w:after="40"/>
              <w:jc w:val="left"/>
              <w:rPr>
                <w:rFonts w:ascii="Times New Roman" w:hAnsi="Times New Roman"/>
                <w:color w:val="000000"/>
                <w:sz w:val="22"/>
                <w:u w:val="single"/>
              </w:rPr>
            </w:pPr>
            <w:r>
              <w:rPr>
                <w:rFonts w:ascii="Times New Roman" w:hAnsi="Times New Roman"/>
                <w:color w:val="000000"/>
                <w:sz w:val="22"/>
                <w:u w:val="single"/>
              </w:rPr>
              <w:t>Term SOFR</w:t>
              <w:br/>
              <w:t>Loans (Letters of Credit)</w:t>
            </w:r>
          </w:p>
        </w:tc>
        <w:tc>
          <w:tcPr>
            <w:tcW w:w="103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40" w:after="40"/>
              <w:jc w:val="left"/>
              <w:rPr>
                <w:rFonts w:ascii="Times New Roman" w:hAnsi="Times New Roman"/>
                <w:color w:val="000000"/>
                <w:sz w:val="22"/>
                <w:u w:val="single"/>
              </w:rPr>
            </w:pPr>
            <w:r>
              <w:rPr>
                <w:rFonts w:ascii="Times New Roman" w:hAnsi="Times New Roman"/>
                <w:color w:val="000000"/>
                <w:sz w:val="22"/>
                <w:u w:val="single"/>
              </w:rPr>
              <w:t>Base Rate</w:t>
            </w:r>
          </w:p>
          <w:p>
            <w:pPr>
              <w:pStyle w:val="TableContents"/>
              <w:bidi w:val="0"/>
              <w:spacing w:before="0" w:after="40"/>
              <w:jc w:val="left"/>
              <w:rPr>
                <w:rFonts w:ascii="Times New Roman" w:hAnsi="Times New Roman"/>
                <w:color w:val="000000"/>
                <w:sz w:val="22"/>
                <w:u w:val="single"/>
              </w:rPr>
            </w:pPr>
            <w:r>
              <w:rPr>
                <w:rFonts w:ascii="Times New Roman" w:hAnsi="Times New Roman"/>
                <w:color w:val="000000"/>
                <w:sz w:val="22"/>
                <w:u w:val="single"/>
              </w:rPr>
              <w:t>Loans</w:t>
            </w:r>
          </w:p>
        </w:tc>
        <w:tc>
          <w:tcPr>
            <w:tcW w:w="175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40" w:after="40"/>
              <w:jc w:val="left"/>
              <w:rPr>
                <w:rFonts w:ascii="Times New Roman" w:hAnsi="Times New Roman"/>
                <w:color w:val="000000"/>
                <w:sz w:val="22"/>
                <w:u w:val="single"/>
              </w:rPr>
            </w:pPr>
            <w:r>
              <w:rPr>
                <w:rFonts w:ascii="Times New Roman" w:hAnsi="Times New Roman"/>
                <w:color w:val="000000"/>
                <w:sz w:val="22"/>
                <w:u w:val="single"/>
              </w:rPr>
              <w:t>Commitment Fee</w:t>
            </w:r>
          </w:p>
        </w:tc>
      </w:tr>
      <w:tr>
        <w:trPr/>
        <w:tc>
          <w:tcPr>
            <w:tcW w:w="12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1</w:t>
            </w:r>
          </w:p>
        </w:tc>
        <w:tc>
          <w:tcPr>
            <w:tcW w:w="28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color w:val="000000"/>
              </w:rPr>
            </w:pPr>
            <w:r>
              <w:rPr>
                <w:color w:val="000000"/>
              </w:rPr>
              <w:t xml:space="preserve">≤ </w:t>
            </w:r>
            <w:r>
              <w:rPr>
                <w:rFonts w:ascii="Times New Roman" w:hAnsi="Times New Roman"/>
                <w:color w:val="000000"/>
                <w:sz w:val="22"/>
              </w:rPr>
              <w:t>1.75:1.0</w:t>
            </w:r>
          </w:p>
        </w:tc>
        <w:tc>
          <w:tcPr>
            <w:tcW w:w="24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1.500%</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0.500%</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0.200%</w:t>
            </w:r>
          </w:p>
        </w:tc>
      </w:tr>
      <w:tr>
        <w:trPr/>
        <w:tc>
          <w:tcPr>
            <w:tcW w:w="12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2</w:t>
            </w:r>
          </w:p>
        </w:tc>
        <w:tc>
          <w:tcPr>
            <w:tcW w:w="28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color w:val="000000"/>
              </w:rPr>
            </w:pPr>
            <w:r>
              <w:rPr>
                <w:color w:val="000000"/>
              </w:rPr>
              <w:t xml:space="preserve">≤ </w:t>
            </w:r>
            <w:r>
              <w:rPr>
                <w:rFonts w:ascii="Times New Roman" w:hAnsi="Times New Roman"/>
                <w:color w:val="000000"/>
                <w:sz w:val="22"/>
              </w:rPr>
              <w:t>2.50:1.0 but &gt; 1.75:1.0</w:t>
            </w:r>
          </w:p>
        </w:tc>
        <w:tc>
          <w:tcPr>
            <w:tcW w:w="24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1.625%</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0.625%</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0.250%</w:t>
            </w:r>
          </w:p>
        </w:tc>
      </w:tr>
      <w:tr>
        <w:trPr/>
        <w:tc>
          <w:tcPr>
            <w:tcW w:w="12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3</w:t>
            </w:r>
          </w:p>
        </w:tc>
        <w:tc>
          <w:tcPr>
            <w:tcW w:w="28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color w:val="000000"/>
              </w:rPr>
            </w:pPr>
            <w:r>
              <w:rPr>
                <w:color w:val="000000"/>
              </w:rPr>
              <w:t xml:space="preserve">≤ </w:t>
            </w:r>
            <w:r>
              <w:rPr>
                <w:rFonts w:ascii="Times New Roman" w:hAnsi="Times New Roman"/>
                <w:color w:val="000000"/>
                <w:sz w:val="22"/>
              </w:rPr>
              <w:t>3.25:1.0 but &gt; 2.50:1.0</w:t>
            </w:r>
          </w:p>
        </w:tc>
        <w:tc>
          <w:tcPr>
            <w:tcW w:w="24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1.750%</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0.750%</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0.250%</w:t>
            </w:r>
          </w:p>
        </w:tc>
      </w:tr>
    </w:tbl>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950" w:type="dxa"/>
        <w:jc w:val="left"/>
        <w:tblInd w:w="0" w:type="dxa"/>
        <w:tblLayout w:type="fixed"/>
        <w:tblCellMar>
          <w:top w:w="28" w:type="dxa"/>
          <w:left w:w="28" w:type="dxa"/>
          <w:bottom w:w="28" w:type="dxa"/>
          <w:right w:w="28" w:type="dxa"/>
        </w:tblCellMar>
      </w:tblPr>
      <w:tblGrid>
        <w:gridCol w:w="241"/>
        <w:gridCol w:w="1186"/>
        <w:gridCol w:w="826"/>
        <w:gridCol w:w="826"/>
        <w:gridCol w:w="871"/>
      </w:tblGrid>
      <w:tr>
        <w:trPr/>
        <w:tc>
          <w:tcPr>
            <w:tcW w:w="24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4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4</w:t>
            </w:r>
          </w:p>
        </w:tc>
        <w:tc>
          <w:tcPr>
            <w:tcW w:w="11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&gt; 3.25:1.00</w:t>
            </w:r>
          </w:p>
        </w:tc>
        <w:tc>
          <w:tcPr>
            <w:tcW w:w="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1.875%</w:t>
            </w:r>
          </w:p>
        </w:tc>
        <w:tc>
          <w:tcPr>
            <w:tcW w:w="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0.875%</w:t>
            </w:r>
          </w:p>
        </w:tc>
        <w:tc>
          <w:tcPr>
            <w:tcW w:w="8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0.300%</w:t>
            </w:r>
          </w:p>
        </w:tc>
      </w:tr>
    </w:tbl>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(b) during any Investment Grade Period: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204"/>
        <w:gridCol w:w="3870"/>
        <w:gridCol w:w="2358"/>
        <w:gridCol w:w="1026"/>
        <w:gridCol w:w="1747"/>
      </w:tblGrid>
      <w:tr>
        <w:trPr/>
        <w:tc>
          <w:tcPr>
            <w:tcW w:w="1204"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r>
      <w:tr>
        <w:trPr/>
        <w:tc>
          <w:tcPr>
            <w:tcW w:w="120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40" w:after="40"/>
              <w:jc w:val="left"/>
              <w:rPr>
                <w:rFonts w:ascii="Times New Roman" w:hAnsi="Times New Roman"/>
                <w:color w:val="000000"/>
                <w:sz w:val="22"/>
                <w:u w:val="single"/>
              </w:rPr>
            </w:pPr>
            <w:r>
              <w:rPr>
                <w:rFonts w:ascii="Times New Roman" w:hAnsi="Times New Roman"/>
                <w:color w:val="000000"/>
                <w:sz w:val="22"/>
                <w:u w:val="single"/>
              </w:rPr>
              <w:t>Pricing Tier</w:t>
            </w:r>
          </w:p>
        </w:tc>
        <w:tc>
          <w:tcPr>
            <w:tcW w:w="387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40" w:after="40"/>
              <w:jc w:val="left"/>
              <w:rPr>
                <w:rFonts w:ascii="Times New Roman" w:hAnsi="Times New Roman"/>
                <w:color w:val="000000"/>
                <w:sz w:val="22"/>
                <w:u w:val="single"/>
              </w:rPr>
            </w:pPr>
            <w:r>
              <w:rPr>
                <w:rFonts w:ascii="Times New Roman" w:hAnsi="Times New Roman"/>
                <w:color w:val="000000"/>
                <w:sz w:val="22"/>
                <w:u w:val="single"/>
              </w:rPr>
              <w:t>Applicable Ratings (Moody’s/S&amp;P/Fitch)</w:t>
            </w:r>
          </w:p>
        </w:tc>
        <w:tc>
          <w:tcPr>
            <w:tcW w:w="235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40" w:after="40"/>
              <w:jc w:val="left"/>
              <w:rPr>
                <w:rFonts w:ascii="Times New Roman" w:hAnsi="Times New Roman"/>
                <w:color w:val="000000"/>
                <w:sz w:val="22"/>
                <w:u w:val="single"/>
              </w:rPr>
            </w:pPr>
            <w:r>
              <w:rPr>
                <w:rFonts w:ascii="Times New Roman" w:hAnsi="Times New Roman"/>
                <w:color w:val="000000"/>
                <w:sz w:val="22"/>
                <w:u w:val="single"/>
              </w:rPr>
              <w:t>Term SOFR</w:t>
              <w:br/>
              <w:t>Loans (Letters of Credit)</w:t>
            </w:r>
          </w:p>
        </w:tc>
        <w:tc>
          <w:tcPr>
            <w:tcW w:w="10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40" w:after="40"/>
              <w:jc w:val="left"/>
              <w:rPr>
                <w:rFonts w:ascii="Times New Roman" w:hAnsi="Times New Roman"/>
                <w:color w:val="000000"/>
                <w:sz w:val="22"/>
                <w:u w:val="single"/>
              </w:rPr>
            </w:pPr>
            <w:r>
              <w:rPr>
                <w:rFonts w:ascii="Times New Roman" w:hAnsi="Times New Roman"/>
                <w:color w:val="000000"/>
                <w:sz w:val="22"/>
                <w:u w:val="single"/>
              </w:rPr>
              <w:t>Base Rate</w:t>
            </w:r>
          </w:p>
          <w:p>
            <w:pPr>
              <w:pStyle w:val="TableContents"/>
              <w:bidi w:val="0"/>
              <w:spacing w:before="0" w:after="40"/>
              <w:jc w:val="left"/>
              <w:rPr>
                <w:rFonts w:ascii="Times New Roman" w:hAnsi="Times New Roman"/>
                <w:color w:val="000000"/>
                <w:sz w:val="22"/>
                <w:u w:val="single"/>
              </w:rPr>
            </w:pPr>
            <w:r>
              <w:rPr>
                <w:rFonts w:ascii="Times New Roman" w:hAnsi="Times New Roman"/>
                <w:color w:val="000000"/>
                <w:sz w:val="22"/>
                <w:u w:val="single"/>
              </w:rPr>
              <w:t>Loans</w:t>
            </w:r>
          </w:p>
        </w:tc>
        <w:tc>
          <w:tcPr>
            <w:tcW w:w="174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40" w:after="40"/>
              <w:jc w:val="left"/>
              <w:rPr>
                <w:rFonts w:ascii="Times New Roman" w:hAnsi="Times New Roman"/>
                <w:color w:val="000000"/>
                <w:sz w:val="22"/>
                <w:u w:val="single"/>
              </w:rPr>
            </w:pPr>
            <w:r>
              <w:rPr>
                <w:rFonts w:ascii="Times New Roman" w:hAnsi="Times New Roman"/>
                <w:color w:val="000000"/>
                <w:sz w:val="22"/>
                <w:u w:val="single"/>
              </w:rPr>
              <w:t>Commitment Fee</w:t>
            </w:r>
          </w:p>
        </w:tc>
      </w:tr>
      <w:tr>
        <w:trPr/>
        <w:tc>
          <w:tcPr>
            <w:tcW w:w="120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1</w:t>
            </w:r>
          </w:p>
        </w:tc>
        <w:tc>
          <w:tcPr>
            <w:tcW w:w="38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Baa1 / BBB + /BBB+ or higher</w:t>
            </w:r>
          </w:p>
        </w:tc>
        <w:tc>
          <w:tcPr>
            <w:tcW w:w="23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1.125%</w:t>
            </w:r>
          </w:p>
        </w:tc>
        <w:tc>
          <w:tcPr>
            <w:tcW w:w="10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0.125%</w:t>
            </w:r>
          </w:p>
        </w:tc>
        <w:tc>
          <w:tcPr>
            <w:tcW w:w="17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0.125%</w:t>
            </w:r>
          </w:p>
        </w:tc>
      </w:tr>
      <w:tr>
        <w:trPr/>
        <w:tc>
          <w:tcPr>
            <w:tcW w:w="120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2</w:t>
            </w:r>
          </w:p>
        </w:tc>
        <w:tc>
          <w:tcPr>
            <w:tcW w:w="38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Baa2 / BBB /BBB</w:t>
            </w:r>
          </w:p>
        </w:tc>
        <w:tc>
          <w:tcPr>
            <w:tcW w:w="23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1.250%</w:t>
            </w:r>
          </w:p>
        </w:tc>
        <w:tc>
          <w:tcPr>
            <w:tcW w:w="10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0.250%</w:t>
            </w:r>
          </w:p>
        </w:tc>
        <w:tc>
          <w:tcPr>
            <w:tcW w:w="17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0.150%</w:t>
            </w:r>
          </w:p>
        </w:tc>
      </w:tr>
      <w:tr>
        <w:trPr/>
        <w:tc>
          <w:tcPr>
            <w:tcW w:w="120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3</w:t>
            </w:r>
          </w:p>
        </w:tc>
        <w:tc>
          <w:tcPr>
            <w:tcW w:w="38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Baa3 / BBB- / BBB-</w:t>
            </w:r>
          </w:p>
        </w:tc>
        <w:tc>
          <w:tcPr>
            <w:tcW w:w="23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1.375%</w:t>
            </w:r>
          </w:p>
        </w:tc>
        <w:tc>
          <w:tcPr>
            <w:tcW w:w="10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0.375%</w:t>
            </w:r>
          </w:p>
        </w:tc>
        <w:tc>
          <w:tcPr>
            <w:tcW w:w="17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left"/>
              <w:rPr>
                <w:rFonts w:ascii="Times New Roman" w:hAnsi="Times New Roman"/>
                <w:color w:val="000000"/>
                <w:sz w:val="22"/>
              </w:rPr>
            </w:pPr>
            <w:r>
              <w:rPr>
                <w:rFonts w:ascii="Times New Roman" w:hAnsi="Times New Roman"/>
                <w:color w:val="000000"/>
                <w:sz w:val="22"/>
              </w:rPr>
              <w:t>0.200%</w:t>
            </w:r>
          </w:p>
        </w:tc>
      </w:tr>
    </w:tbl>
    <w:p>
      <w:pPr>
        <w:pStyle w:val="TextBody"/>
        <w:bidi w:val="0"/>
        <w:spacing w:before="240" w:after="240"/>
        <w:jc w:val="both"/>
        <w:rPr>
          <w:rFonts w:ascii="Times New Roman" w:hAnsi="Times New Roman"/>
          <w:sz w:val="20"/>
        </w:rPr>
      </w:pPr>
      <w:r>
        <w:rPr>
          <w:rFonts w:ascii="Times New Roman" w:hAnsi="Times New Roman"/>
          <w:color w:val="000000"/>
          <w:sz w:val="22"/>
        </w:rPr>
        <w:t xml:space="preserve">Any increase or decrease in the Applicable Rate resulting from a change in the Consolidated Leverage Ratio shall become effective during the period commencing on and including the first Business Day immediately following the date the consolidated financial statements are delivered and the related Compliance Certificate is delivered pursuant to </w:t>
      </w:r>
      <w:r>
        <w:rPr>
          <w:rFonts w:ascii="Times New Roman" w:hAnsi="Times New Roman"/>
          <w:color w:val="000000"/>
          <w:sz w:val="22"/>
          <w:u w:val="single"/>
        </w:rPr>
        <w:t>Section 7.02(b)</w:t>
      </w:r>
      <w:r>
        <w:rPr>
          <w:rFonts w:ascii="Times New Roman" w:hAnsi="Times New Roman"/>
          <w:color w:val="000000"/>
          <w:sz w:val="20"/>
        </w:rPr>
        <w:t xml:space="preserve"> </w:t>
      </w:r>
      <w:r>
        <w:rPr>
          <w:rFonts w:ascii="Times New Roman" w:hAnsi="Times New Roman"/>
          <w:color w:val="000000"/>
          <w:sz w:val="22"/>
        </w:rPr>
        <w:t xml:space="preserve">indicating such change and ending on the date immediately preceding the effective date of the next such change;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such consolidated financial statements or the related Compliance Certificate are not delivered when due in accordance with such Section, then, in the case of clause (a) above, the Pricing Tier 4 shall apply as of the first Business Day after the date on which such financial statements or Compliance Certificate were required to have been delivered and shall remain in effect until the first Business Day immediately following the date on which such consolidated financial statements and the related Compliance Certificate are delivered in accordance with </w:t>
      </w:r>
      <w:r>
        <w:rPr>
          <w:rFonts w:ascii="Times New Roman" w:hAnsi="Times New Roman"/>
          <w:color w:val="000000"/>
          <w:sz w:val="22"/>
          <w:u w:val="single"/>
        </w:rPr>
        <w:t>Section 7.02(b)</w:t>
      </w:r>
      <w:r>
        <w:rPr>
          <w:rFonts w:ascii="Times New Roman" w:hAnsi="Times New Roman"/>
          <w:color w:val="000000"/>
          <w:sz w:val="22"/>
        </w:rPr>
        <w:t xml:space="preserve">, whereupon the Applicable Rate shall be adjusted based upon the calculation of the Consolidated Leverage Ratio contained in such Compliance Certificate. In the case of clause (a) above, the Applicable Rate in effect from the Effective Date until the first Business Day immediately following the date the consolidated financial statements and the related Compliance Certificate are delivered pursuant to </w:t>
      </w:r>
      <w:r>
        <w:rPr>
          <w:rFonts w:ascii="Times New Roman" w:hAnsi="Times New Roman"/>
          <w:color w:val="000000"/>
          <w:sz w:val="22"/>
          <w:u w:val="single"/>
        </w:rPr>
        <w:t>Section 7.02(b)</w:t>
      </w:r>
      <w:r>
        <w:rPr>
          <w:rFonts w:ascii="Times New Roman" w:hAnsi="Times New Roman"/>
          <w:color w:val="000000"/>
          <w:sz w:val="20"/>
        </w:rPr>
        <w:t xml:space="preserve"> </w:t>
      </w:r>
      <w:r>
        <w:rPr>
          <w:rFonts w:ascii="Times New Roman" w:hAnsi="Times New Roman"/>
          <w:color w:val="000000"/>
          <w:sz w:val="22"/>
        </w:rPr>
        <w:t>for the first full fiscal quarter of the Borrower ending after the Effective Date shall be determined based upon Pricing Tier 1.</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In the case of clause (b) above, for purposes of determining the Applicable Margin and Commitment Fee, (i) if the Applicable Ratings assigned by Moody’s, S&amp;P and Fitch shall fall within different Pricing Tiers, then (a) if three Applicable Ratings are in effect, either (x) if two of the three Applicable Ratings are in the same Pricing Tier, such Pricing Tier shall be the applicable Pricing Tier based on the Applicable Ratings or (y) if all three of the Applicable Ratings are in differing Pricing Tiers, the Pricing Tier corresponding to the middle Applicable Rating shall be the applicable Pricing Tier based on the Applicable Ratings and (b) if only two Applicable Ratings are in effect, the applicable Pricing Tier based on the Applicable Ratings shall be the Pricing Tier in which the higher of the Applicable Ratings shall fall unless the Applicable Ratings differ by two or more Pricing Tiers, in which case the applicable Pricing Tier based on the Applicable Ratings shall be the Pricing Tier one level below that corresponding to the higher Applicable Rating, (ii) if any of Moody’s, S&amp;P and Fitch shall not have an Applicable Rating in effect, then (a) if only one rating agency shall not have an Applicable Rating in effect, the applicable Pricing Tier based on the Applicable Ratings shall be determined by reference to the remaining two effective Applicable Ratings as set forth above and (b) if only one rating agency shall have an Applicable Rating in effect, the applicable Pricing Tier based on the Applicable Ratings shall be based on such Applicable Rating, (iii) subject to the next following sentence, if none of Moody’s, S&amp;P or Fitch shall have an Applicable Rating in effect or if the Investment Grade Ratings Status is not maintained, the applicable Pricing Tier shall be based solely on the Consolidated Leverage Ratio, and (iv) if any Applicable Rating shall be changed (other than as a result of a change in the rating system of the applicable rating agency),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change shall be effective on the first Business Day following the date on which the Borrower has provided to the Administrative Agent a notice of such change following it is publicly announced by the applicable rating agency making such change. If the rating system of any of Moody’s, S&amp;P or Fitch shall change, or if such rating agency shall cease to be in the business of rating corporate debt obligations and corporate credit, the Borrower and the Required Lenders shall negotiate in good faith to amend the Applicable Rate to reflect such changed rating system or the unavailability of Applicable Ratings from such rating agency and, pending the effectiveness of any such amendment, the Pricing Tier based on the Applicable Ratings shall be determined based on the remaining Applicable Ratings (or, if there shall be no remaining Applicable Rating, the Applicable Rating shall be deemed to be that most recently in effect from such rating agency prior to such change or cessation).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anything to the contrary contained in this definition, the determination of the Applicable Rate for any period shall be subject to the provisions of </w:t>
      </w:r>
      <w:r>
        <w:rPr>
          <w:rFonts w:ascii="Times New Roman" w:hAnsi="Times New Roman"/>
          <w:color w:val="000000"/>
          <w:sz w:val="22"/>
          <w:u w:val="single"/>
        </w:rPr>
        <w:t>Section 2.10(b)</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change to the Applicable Rate as a result of the occurrence of an Investment Grade Trigger Event or Reinstatement Event, as applicable, shall be effective on the date of delivery of written notice to the Administrative Agent of the occurrence of such Investment Grade Trigger Event or Reinstatement Event.</w:t>
      </w:r>
    </w:p>
    <w:p>
      <w:pPr>
        <w:pStyle w:val="TextBody"/>
        <w:bidi w:val="0"/>
        <w:spacing w:before="0" w:after="240"/>
        <w:jc w:val="both"/>
        <w:rPr/>
      </w:pPr>
      <w:r>
        <w:rPr>
          <w:color w:val="000000"/>
        </w:rPr>
        <w:t>“</w:t>
      </w:r>
      <w:r>
        <w:rPr>
          <w:rFonts w:ascii="Times New Roman" w:hAnsi="Times New Roman"/>
          <w:color w:val="000000"/>
          <w:sz w:val="22"/>
          <w:u w:val="single"/>
        </w:rPr>
        <w:t>Applicable Rating</w:t>
      </w:r>
      <w:r>
        <w:rPr>
          <w:rFonts w:ascii="Times New Roman" w:hAnsi="Times New Roman"/>
          <w:color w:val="000000"/>
          <w:sz w:val="20"/>
        </w:rPr>
        <w:t xml:space="preserve">” </w:t>
      </w:r>
      <w:r>
        <w:rPr>
          <w:rFonts w:ascii="Times New Roman" w:hAnsi="Times New Roman"/>
          <w:color w:val="000000"/>
          <w:sz w:val="22"/>
        </w:rPr>
        <w:t>means, as to Moody’s, S&amp;P or Fitch, (a) senior unsecured rating of such rating agency and (b) if and only if such rating agency does not have in effect a senior unsecured rating, the corporate rating of such rating agency.</w:t>
      </w:r>
    </w:p>
    <w:p>
      <w:pPr>
        <w:pStyle w:val="TextBody"/>
        <w:bidi w:val="0"/>
        <w:spacing w:before="0" w:after="240"/>
        <w:jc w:val="both"/>
        <w:rPr/>
      </w:pPr>
      <w:r>
        <w:rPr>
          <w:color w:val="000000"/>
        </w:rPr>
        <w:t>“</w:t>
      </w:r>
      <w:r>
        <w:rPr>
          <w:rFonts w:ascii="Times New Roman" w:hAnsi="Times New Roman"/>
          <w:color w:val="000000"/>
          <w:sz w:val="22"/>
          <w:u w:val="single"/>
        </w:rPr>
        <w:t>Applicable Revolving Percentage</w:t>
      </w:r>
      <w:r>
        <w:rPr>
          <w:rFonts w:ascii="Times New Roman" w:hAnsi="Times New Roman"/>
          <w:color w:val="000000"/>
          <w:sz w:val="20"/>
        </w:rPr>
        <w:t xml:space="preserve">” </w:t>
      </w:r>
      <w:r>
        <w:rPr>
          <w:rFonts w:ascii="Times New Roman" w:hAnsi="Times New Roman"/>
          <w:color w:val="000000"/>
          <w:sz w:val="22"/>
        </w:rPr>
        <w:t>means, with respect to any Lender at any time, such Lender’s Applicable Percentage in respect of such Lender’s Revolving Commitment at such time.</w:t>
      </w:r>
    </w:p>
    <w:p>
      <w:pPr>
        <w:pStyle w:val="TextBody"/>
        <w:bidi w:val="0"/>
        <w:spacing w:before="0" w:after="240"/>
        <w:jc w:val="both"/>
        <w:rPr/>
      </w:pPr>
      <w:r>
        <w:rPr>
          <w:color w:val="000000"/>
        </w:rPr>
        <w:t>“</w:t>
      </w:r>
      <w:r>
        <w:rPr>
          <w:rFonts w:ascii="Times New Roman" w:hAnsi="Times New Roman"/>
          <w:color w:val="000000"/>
          <w:sz w:val="22"/>
          <w:u w:val="single"/>
        </w:rPr>
        <w:t>Approved Fund</w:t>
      </w:r>
      <w:r>
        <w:rPr>
          <w:rFonts w:ascii="Times New Roman" w:hAnsi="Times New Roman"/>
          <w:color w:val="000000"/>
          <w:sz w:val="20"/>
        </w:rPr>
        <w:t xml:space="preserve">” </w:t>
      </w:r>
      <w:r>
        <w:rPr>
          <w:rFonts w:ascii="Times New Roman" w:hAnsi="Times New Roman"/>
          <w:color w:val="000000"/>
          <w:sz w:val="22"/>
        </w:rPr>
        <w:t>means any Fund that is administered or managed by (a) a Lender, (b) an Affiliate of a Lender or (c) an entity or an Affiliate of an entity that administers or manages a Lender.</w:t>
      </w:r>
    </w:p>
    <w:p>
      <w:pPr>
        <w:pStyle w:val="TextBody"/>
        <w:bidi w:val="0"/>
        <w:jc w:val="both"/>
        <w:rPr/>
      </w:pPr>
      <w:r>
        <w:rPr>
          <w:color w:val="000000"/>
        </w:rPr>
        <w:t>“</w:t>
      </w:r>
      <w:r>
        <w:rPr>
          <w:rFonts w:ascii="Times New Roman" w:hAnsi="Times New Roman"/>
          <w:color w:val="000000"/>
          <w:sz w:val="22"/>
          <w:u w:val="single"/>
        </w:rPr>
        <w:t>Arranger</w:t>
      </w:r>
      <w:r>
        <w:rPr>
          <w:rFonts w:ascii="Times New Roman" w:hAnsi="Times New Roman"/>
          <w:color w:val="000000"/>
          <w:sz w:val="20"/>
        </w:rPr>
        <w:t xml:space="preserve">” </w:t>
      </w:r>
      <w:r>
        <w:rPr>
          <w:rFonts w:ascii="Times New Roman" w:hAnsi="Times New Roman"/>
          <w:color w:val="000000"/>
          <w:sz w:val="22"/>
        </w:rPr>
        <w:t>means each of (i) BofA Securities in its capacity as a lead arranger and (ii) BofA Securities in its capacity as a bookrunner.</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Assignment and Assumption</w:t>
      </w:r>
      <w:r>
        <w:rPr>
          <w:rFonts w:ascii="Times New Roman" w:hAnsi="Times New Roman"/>
          <w:color w:val="000000"/>
          <w:sz w:val="20"/>
        </w:rPr>
        <w:t xml:space="preserve">” </w:t>
      </w:r>
      <w:r>
        <w:rPr>
          <w:rFonts w:ascii="Times New Roman" w:hAnsi="Times New Roman"/>
          <w:color w:val="000000"/>
          <w:sz w:val="22"/>
        </w:rPr>
        <w:t xml:space="preserve">means an assignment and assumption entered into by a Lender and an Eligible Assignee (with the consent of any party whose consent is required by </w:t>
      </w:r>
      <w:r>
        <w:rPr>
          <w:rFonts w:ascii="Times New Roman" w:hAnsi="Times New Roman"/>
          <w:color w:val="000000"/>
          <w:sz w:val="22"/>
          <w:u w:val="single"/>
        </w:rPr>
        <w:t>Section 11.06(b)</w:t>
      </w:r>
      <w:r>
        <w:rPr>
          <w:rFonts w:ascii="Times New Roman" w:hAnsi="Times New Roman"/>
          <w:color w:val="000000"/>
          <w:sz w:val="22"/>
        </w:rPr>
        <w:t xml:space="preserve">), and accepted by the Administrative Agent, in substantially the form of </w:t>
      </w:r>
      <w:r>
        <w:rPr>
          <w:rFonts w:ascii="Times New Roman" w:hAnsi="Times New Roman"/>
          <w:color w:val="000000"/>
          <w:sz w:val="22"/>
          <w:u w:val="single"/>
        </w:rPr>
        <w:t>Exhibit F-1</w:t>
      </w:r>
      <w:r>
        <w:rPr>
          <w:rFonts w:ascii="Times New Roman" w:hAnsi="Times New Roman"/>
          <w:color w:val="000000"/>
          <w:sz w:val="20"/>
        </w:rPr>
        <w:t xml:space="preserve"> </w:t>
      </w:r>
      <w:r>
        <w:rPr>
          <w:rFonts w:ascii="Times New Roman" w:hAnsi="Times New Roman"/>
          <w:color w:val="000000"/>
          <w:sz w:val="22"/>
        </w:rPr>
        <w:t>or any other form (including electronic documentation generated by use of an electronic platform) approved by the Administrative Agent.</w:t>
      </w:r>
    </w:p>
    <w:p>
      <w:pPr>
        <w:pStyle w:val="TextBody"/>
        <w:bidi w:val="0"/>
        <w:spacing w:before="0" w:after="240"/>
        <w:jc w:val="both"/>
        <w:rPr/>
      </w:pPr>
      <w:r>
        <w:rPr>
          <w:color w:val="000000"/>
        </w:rPr>
        <w:t>“</w:t>
      </w:r>
      <w:r>
        <w:rPr>
          <w:rFonts w:ascii="Times New Roman" w:hAnsi="Times New Roman"/>
          <w:color w:val="000000"/>
          <w:sz w:val="22"/>
          <w:u w:val="single"/>
        </w:rPr>
        <w:t>Attributable Indebtedness</w:t>
      </w:r>
      <w:r>
        <w:rPr>
          <w:rFonts w:ascii="Times New Roman" w:hAnsi="Times New Roman"/>
          <w:color w:val="000000"/>
          <w:sz w:val="20"/>
        </w:rPr>
        <w:t xml:space="preserve">” </w:t>
      </w:r>
      <w:r>
        <w:rPr>
          <w:rFonts w:ascii="Times New Roman" w:hAnsi="Times New Roman"/>
          <w:color w:val="000000"/>
          <w:sz w:val="22"/>
        </w:rPr>
        <w:t>means, with respect to any Person on any date, (a) in respect of any capital lease, the capitalized amount thereof that would appear on a balance sheet of such Person prepared as of such date in accordance with GAAP,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and (c) in respect of any Sale and Leaseback Transaction, the present value (discounted in accordance with GAAP at the debt rate implied in the applicable lease) of the obligations of the lessee for rental payments during the term of such lease.</w:t>
      </w:r>
    </w:p>
    <w:p>
      <w:pPr>
        <w:pStyle w:val="TextBody"/>
        <w:bidi w:val="0"/>
        <w:spacing w:before="0" w:after="240"/>
        <w:jc w:val="both"/>
        <w:rPr/>
      </w:pPr>
      <w:r>
        <w:rPr>
          <w:color w:val="000000"/>
        </w:rPr>
        <w:t>“</w:t>
      </w:r>
      <w:r>
        <w:rPr>
          <w:rFonts w:ascii="Times New Roman" w:hAnsi="Times New Roman"/>
          <w:color w:val="000000"/>
          <w:sz w:val="22"/>
          <w:u w:val="single"/>
        </w:rPr>
        <w:t>Auto-Extension Letter of Credit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2.03(b)(iii)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Auto-Reinstatement Letter of Credit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2.03(b)(iv)</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Availability Period</w:t>
      </w:r>
      <w:r>
        <w:rPr>
          <w:rFonts w:ascii="Times New Roman" w:hAnsi="Times New Roman"/>
          <w:color w:val="000000"/>
          <w:sz w:val="20"/>
        </w:rPr>
        <w:t xml:space="preserve">” </w:t>
      </w:r>
      <w:r>
        <w:rPr>
          <w:rFonts w:ascii="Times New Roman" w:hAnsi="Times New Roman"/>
          <w:color w:val="000000"/>
          <w:sz w:val="22"/>
        </w:rPr>
        <w:t xml:space="preserve">means the period from and including the Effective Date to the earliest of (a) the Maturity Date with respect to the Revolving Loans, (b) the date of termination of the Aggregate Revolving Commitments pursuant to </w:t>
      </w:r>
      <w:r>
        <w:rPr>
          <w:rFonts w:ascii="Times New Roman" w:hAnsi="Times New Roman"/>
          <w:color w:val="000000"/>
          <w:sz w:val="22"/>
          <w:u w:val="single"/>
        </w:rPr>
        <w:t>Section 2.06</w:t>
      </w:r>
      <w:r>
        <w:rPr>
          <w:rFonts w:ascii="Times New Roman" w:hAnsi="Times New Roman"/>
          <w:color w:val="000000"/>
          <w:sz w:val="20"/>
        </w:rPr>
        <w:t xml:space="preserve"> </w:t>
      </w:r>
      <w:r>
        <w:rPr>
          <w:rFonts w:ascii="Times New Roman" w:hAnsi="Times New Roman"/>
          <w:color w:val="000000"/>
          <w:sz w:val="22"/>
        </w:rPr>
        <w:t xml:space="preserve">and (c) the date of termination of the commitment of each Lender to make Revolving Loans and of the obligations of each L/C Issuer to make L/C Credit Extensions pursuant to </w:t>
      </w:r>
      <w:r>
        <w:rPr>
          <w:rFonts w:ascii="Times New Roman" w:hAnsi="Times New Roman"/>
          <w:color w:val="000000"/>
          <w:sz w:val="22"/>
          <w:u w:val="single"/>
        </w:rPr>
        <w:t>Section 9.02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Bail-In Action</w:t>
      </w:r>
      <w:r>
        <w:rPr>
          <w:rFonts w:ascii="Times New Roman" w:hAnsi="Times New Roman"/>
          <w:color w:val="000000"/>
          <w:sz w:val="20"/>
        </w:rPr>
        <w:t xml:space="preserve">” </w:t>
      </w:r>
      <w:r>
        <w:rPr>
          <w:rFonts w:ascii="Times New Roman" w:hAnsi="Times New Roman"/>
          <w:color w:val="000000"/>
          <w:sz w:val="22"/>
        </w:rPr>
        <w:t>means the exercise of any Write-Down and Conversion Powers by the applicable Resolution Authority in respect of any liability of an Affected Financial Institution.</w:t>
      </w:r>
    </w:p>
    <w:p>
      <w:pPr>
        <w:pStyle w:val="TextBody"/>
        <w:bidi w:val="0"/>
        <w:spacing w:before="0" w:after="240"/>
        <w:jc w:val="both"/>
        <w:rPr/>
      </w:pPr>
      <w:r>
        <w:rPr>
          <w:color w:val="000000"/>
        </w:rPr>
        <w:t>“</w:t>
      </w:r>
      <w:r>
        <w:rPr>
          <w:rFonts w:ascii="Times New Roman" w:hAnsi="Times New Roman"/>
          <w:color w:val="000000"/>
          <w:sz w:val="22"/>
          <w:u w:val="single"/>
        </w:rPr>
        <w:t>Bail-In Legislation</w:t>
      </w:r>
      <w:r>
        <w:rPr>
          <w:rFonts w:ascii="Times New Roman" w:hAnsi="Times New Roman"/>
          <w:color w:val="000000"/>
          <w:sz w:val="20"/>
        </w:rPr>
        <w:t xml:space="preserve">” </w:t>
      </w:r>
      <w:r>
        <w:rPr>
          <w:rFonts w:ascii="Times New Roman" w:hAnsi="Times New Roman"/>
          <w:color w:val="000000"/>
          <w:sz w:val="22"/>
        </w:rPr>
        <w:t>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jc w:val="both"/>
        <w:rPr/>
      </w:pPr>
      <w:r>
        <w:rPr>
          <w:color w:val="000000"/>
        </w:rPr>
        <w:t>“</w:t>
      </w:r>
      <w:r>
        <w:rPr>
          <w:rFonts w:ascii="Times New Roman" w:hAnsi="Times New Roman"/>
          <w:color w:val="000000"/>
          <w:sz w:val="22"/>
          <w:u w:val="single"/>
        </w:rPr>
        <w:t>Bank of America</w:t>
      </w:r>
      <w:r>
        <w:rPr>
          <w:rFonts w:ascii="Times New Roman" w:hAnsi="Times New Roman"/>
          <w:color w:val="000000"/>
          <w:sz w:val="20"/>
        </w:rPr>
        <w:t xml:space="preserve">” </w:t>
      </w:r>
      <w:r>
        <w:rPr>
          <w:rFonts w:ascii="Times New Roman" w:hAnsi="Times New Roman"/>
          <w:color w:val="000000"/>
          <w:sz w:val="22"/>
        </w:rPr>
        <w:t>means Bank of America, N.A. and its successors.</w:t>
      </w:r>
    </w:p>
    <w:p>
      <w:pPr>
        <w:pStyle w:val="TextBody"/>
        <w:bidi w:val="0"/>
        <w:spacing w:before="0" w:after="240"/>
        <w:jc w:val="both"/>
        <w:rPr/>
      </w:pPr>
      <w:r>
        <w:rPr>
          <w:color w:val="000000"/>
        </w:rPr>
        <w:t>“</w:t>
      </w:r>
      <w:r>
        <w:rPr>
          <w:rFonts w:ascii="Times New Roman" w:hAnsi="Times New Roman"/>
          <w:color w:val="000000"/>
          <w:sz w:val="22"/>
          <w:u w:val="single"/>
        </w:rPr>
        <w:t>Base Rate</w:t>
      </w:r>
      <w:r>
        <w:rPr>
          <w:rFonts w:ascii="Times New Roman" w:hAnsi="Times New Roman"/>
          <w:color w:val="000000"/>
          <w:sz w:val="20"/>
        </w:rPr>
        <w:t xml:space="preserve">” </w:t>
      </w:r>
      <w:r>
        <w:rPr>
          <w:rFonts w:ascii="Times New Roman" w:hAnsi="Times New Roman"/>
          <w:color w:val="000000"/>
          <w:sz w:val="22"/>
        </w:rPr>
        <w:t xml:space="preserve">means for any day a fluctuating rate per annum equal to the highest of (a) the Federal Funds Rate plus 1/2 of 1.0%, (b) the rate of interest in effect for such day as publicly announced from time to time by Bank of America as its “prime rate,” and (c) Term SOFR for a tenor of one month plus 1.00%;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the Base Rate shall be less than 1.00%, such rate shall be deemed 1.00%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hAnsi="Times New Roman"/>
          <w:color w:val="000000"/>
          <w:sz w:val="22"/>
          <w:u w:val="single"/>
        </w:rPr>
        <w:t>Section 3.03</w:t>
      </w:r>
      <w:r>
        <w:rPr>
          <w:rFonts w:ascii="Times New Roman" w:hAnsi="Times New Roman"/>
          <w:color w:val="000000"/>
          <w:sz w:val="20"/>
        </w:rPr>
        <w:t xml:space="preserve"> </w:t>
      </w:r>
      <w:r>
        <w:rPr>
          <w:rFonts w:ascii="Times New Roman" w:hAnsi="Times New Roman"/>
          <w:color w:val="000000"/>
          <w:sz w:val="22"/>
        </w:rPr>
        <w:t xml:space="preserve">hereof, then the Base Rate shall be the greater of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above and shall be determined without reference to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above.</w:t>
      </w:r>
    </w:p>
    <w:p>
      <w:pPr>
        <w:pStyle w:val="TextBody"/>
        <w:bidi w:val="0"/>
        <w:spacing w:before="0" w:after="240"/>
        <w:jc w:val="both"/>
        <w:rPr/>
      </w:pPr>
      <w:r>
        <w:rPr>
          <w:color w:val="000000"/>
        </w:rPr>
        <w:t>“</w:t>
      </w:r>
      <w:r>
        <w:rPr>
          <w:rFonts w:ascii="Times New Roman" w:hAnsi="Times New Roman"/>
          <w:color w:val="000000"/>
          <w:sz w:val="22"/>
          <w:u w:val="single"/>
        </w:rPr>
        <w:t>Base Rate Loan</w:t>
      </w:r>
      <w:r>
        <w:rPr>
          <w:rFonts w:ascii="Times New Roman" w:hAnsi="Times New Roman"/>
          <w:color w:val="000000"/>
          <w:sz w:val="20"/>
        </w:rPr>
        <w:t xml:space="preserve">” </w:t>
      </w:r>
      <w:r>
        <w:rPr>
          <w:rFonts w:ascii="Times New Roman" w:hAnsi="Times New Roman"/>
          <w:color w:val="000000"/>
          <w:sz w:val="22"/>
        </w:rPr>
        <w:t>means a Revolving Loan or a Term Loan that bears interest based on the Base Rate.</w:t>
      </w:r>
    </w:p>
    <w:p>
      <w:pPr>
        <w:pStyle w:val="TextBody"/>
        <w:bidi w:val="0"/>
        <w:spacing w:before="0" w:after="240"/>
        <w:jc w:val="both"/>
        <w:rPr/>
      </w:pPr>
      <w:r>
        <w:rPr>
          <w:color w:val="000000"/>
        </w:rPr>
        <w:t>“</w:t>
      </w:r>
      <w:r>
        <w:rPr>
          <w:rFonts w:ascii="Times New Roman" w:hAnsi="Times New Roman"/>
          <w:color w:val="000000"/>
          <w:sz w:val="22"/>
          <w:u w:val="single"/>
        </w:rPr>
        <w:t>Beneficial Ownership Certification</w:t>
      </w:r>
      <w:r>
        <w:rPr>
          <w:rFonts w:ascii="Times New Roman" w:hAnsi="Times New Roman"/>
          <w:color w:val="000000"/>
          <w:sz w:val="20"/>
        </w:rPr>
        <w:t xml:space="preserve">” </w:t>
      </w:r>
      <w:r>
        <w:rPr>
          <w:rFonts w:ascii="Times New Roman" w:hAnsi="Times New Roman"/>
          <w:color w:val="000000"/>
          <w:sz w:val="22"/>
        </w:rPr>
        <w:t>means a certification regarding beneficial ownership required by the Beneficial Ownership Regulation.</w:t>
      </w:r>
    </w:p>
    <w:p>
      <w:pPr>
        <w:pStyle w:val="TextBody"/>
        <w:bidi w:val="0"/>
        <w:spacing w:before="0" w:after="240"/>
        <w:jc w:val="both"/>
        <w:rPr/>
      </w:pPr>
      <w:r>
        <w:rPr>
          <w:color w:val="000000"/>
        </w:rPr>
        <w:t>“</w:t>
      </w:r>
      <w:r>
        <w:rPr>
          <w:rFonts w:ascii="Times New Roman" w:hAnsi="Times New Roman"/>
          <w:color w:val="000000"/>
          <w:sz w:val="22"/>
          <w:u w:val="single"/>
        </w:rPr>
        <w:t>Beneficial Ownership Regulation</w:t>
      </w:r>
      <w:r>
        <w:rPr>
          <w:rFonts w:ascii="Times New Roman" w:hAnsi="Times New Roman"/>
          <w:color w:val="000000"/>
          <w:sz w:val="20"/>
        </w:rPr>
        <w:t xml:space="preserve">” </w:t>
      </w:r>
      <w:r>
        <w:rPr>
          <w:rFonts w:ascii="Times New Roman" w:hAnsi="Times New Roman"/>
          <w:color w:val="000000"/>
          <w:sz w:val="22"/>
        </w:rPr>
        <w:t>means 31 C.F.R. § 1010.230.</w:t>
      </w:r>
    </w:p>
    <w:p>
      <w:pPr>
        <w:pStyle w:val="TextBody"/>
        <w:bidi w:val="0"/>
        <w:spacing w:before="0" w:after="240"/>
        <w:jc w:val="both"/>
        <w:rPr/>
      </w:pPr>
      <w:r>
        <w:rPr>
          <w:color w:val="000000"/>
        </w:rPr>
        <w:t>“</w:t>
      </w:r>
      <w:r>
        <w:rPr>
          <w:rFonts w:ascii="Times New Roman" w:hAnsi="Times New Roman"/>
          <w:color w:val="000000"/>
          <w:sz w:val="22"/>
          <w:u w:val="single"/>
        </w:rPr>
        <w:t>Benefit Plan</w:t>
      </w:r>
      <w:r>
        <w:rPr>
          <w:rFonts w:ascii="Times New Roman" w:hAnsi="Times New Roman"/>
          <w:color w:val="000000"/>
          <w:sz w:val="20"/>
        </w:rPr>
        <w:t xml:space="preserve">” </w:t>
      </w:r>
      <w:r>
        <w:rPr>
          <w:rFonts w:ascii="Times New Roman" w:hAnsi="Times New Roman"/>
          <w:color w:val="000000"/>
          <w:sz w:val="22"/>
        </w:rPr>
        <w:t>means any of (a) an “employee benefit plan” (as defined in ERISA) that is subject to Title I of ERISA, (b) a “plan” as defined in and subject to Section 4975 of the Internal Revenue Code or (c) any Person whose assets include (for purposes of ERISA Section 3(42) or otherwise for purposes of Title I of ERISA or Section 4975 of the Internal Revenue Code) the assets of any such “employee benefit plan” or “plan”.</w:t>
      </w:r>
    </w:p>
    <w:p>
      <w:pPr>
        <w:pStyle w:val="TextBody"/>
        <w:bidi w:val="0"/>
        <w:spacing w:before="0" w:after="240"/>
        <w:jc w:val="both"/>
        <w:rPr/>
      </w:pPr>
      <w:r>
        <w:rPr>
          <w:color w:val="000000"/>
        </w:rPr>
        <w:t>“</w:t>
      </w:r>
      <w:r>
        <w:rPr>
          <w:rFonts w:ascii="Times New Roman" w:hAnsi="Times New Roman"/>
          <w:color w:val="000000"/>
          <w:sz w:val="22"/>
          <w:u w:val="single"/>
        </w:rPr>
        <w:t>BHC Act Affiliate</w:t>
      </w:r>
      <w:r>
        <w:rPr>
          <w:rFonts w:ascii="Times New Roman" w:hAnsi="Times New Roman"/>
          <w:color w:val="000000"/>
          <w:sz w:val="20"/>
        </w:rPr>
        <w:t xml:space="preserve">” </w:t>
      </w:r>
      <w:r>
        <w:rPr>
          <w:rFonts w:ascii="Times New Roman" w:hAnsi="Times New Roman"/>
          <w:color w:val="000000"/>
          <w:sz w:val="22"/>
        </w:rPr>
        <w:t>of a party means an “affiliate” (as such term is defined under, and interpreted in accordance with, 12 U.S.C. 1841(k)) of such party.</w:t>
      </w:r>
    </w:p>
    <w:p>
      <w:pPr>
        <w:pStyle w:val="TextBody"/>
        <w:bidi w:val="0"/>
        <w:spacing w:before="0" w:after="240"/>
        <w:jc w:val="both"/>
        <w:rPr/>
      </w:pPr>
      <w:r>
        <w:rPr>
          <w:color w:val="000000"/>
        </w:rPr>
        <w:t>“</w:t>
      </w:r>
      <w:r>
        <w:rPr>
          <w:rFonts w:ascii="Times New Roman" w:hAnsi="Times New Roman"/>
          <w:color w:val="000000"/>
          <w:sz w:val="22"/>
          <w:u w:val="single"/>
        </w:rPr>
        <w:t>BofA Securities</w:t>
      </w:r>
      <w:r>
        <w:rPr>
          <w:rFonts w:ascii="Times New Roman" w:hAnsi="Times New Roman"/>
          <w:color w:val="000000"/>
          <w:sz w:val="20"/>
        </w:rPr>
        <w:t xml:space="preserve">” </w:t>
      </w:r>
      <w:r>
        <w:rPr>
          <w:rFonts w:ascii="Times New Roman" w:hAnsi="Times New Roman"/>
          <w:color w:val="000000"/>
          <w:sz w:val="22"/>
        </w:rPr>
        <w:t>means BofA Securities, Inc.</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Borrower</w:t>
      </w:r>
      <w:r>
        <w:rPr>
          <w:rFonts w:ascii="Times New Roman" w:hAnsi="Times New Roman"/>
          <w:color w:val="000000"/>
          <w:sz w:val="20"/>
        </w:rPr>
        <w:t xml:space="preserve">” </w:t>
      </w:r>
      <w:r>
        <w:rPr>
          <w:rFonts w:ascii="Times New Roman" w:hAnsi="Times New Roman"/>
          <w:color w:val="000000"/>
          <w:sz w:val="22"/>
        </w:rPr>
        <w:t>has the meaning specified in the introductory paragraph hereto.</w:t>
      </w:r>
    </w:p>
    <w:p>
      <w:pPr>
        <w:pStyle w:val="TextBody"/>
        <w:bidi w:val="0"/>
        <w:spacing w:before="0" w:after="240"/>
        <w:jc w:val="both"/>
        <w:rPr/>
      </w:pPr>
      <w:r>
        <w:rPr>
          <w:color w:val="000000"/>
        </w:rPr>
        <w:t>“</w:t>
      </w:r>
      <w:r>
        <w:rPr>
          <w:rFonts w:ascii="Times New Roman" w:hAnsi="Times New Roman"/>
          <w:color w:val="000000"/>
          <w:sz w:val="22"/>
          <w:u w:val="single"/>
        </w:rPr>
        <w:t>Borrower Materials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7.02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Borrowing</w:t>
      </w:r>
      <w:r>
        <w:rPr>
          <w:rFonts w:ascii="Times New Roman" w:hAnsi="Times New Roman"/>
          <w:color w:val="000000"/>
          <w:sz w:val="20"/>
        </w:rPr>
        <w:t xml:space="preserve">” </w:t>
      </w:r>
      <w:r>
        <w:rPr>
          <w:rFonts w:ascii="Times New Roman" w:hAnsi="Times New Roman"/>
          <w:color w:val="000000"/>
          <w:sz w:val="22"/>
        </w:rPr>
        <w:t xml:space="preserve">means a borrowing consisting of simultaneous Loans of the same Type and Class and, in the case of Term SOFR Loans, having the same Interest Period made by each of the applicable Lenders pursuant to </w:t>
      </w:r>
      <w:r>
        <w:rPr>
          <w:rFonts w:ascii="Times New Roman" w:hAnsi="Times New Roman"/>
          <w:color w:val="000000"/>
          <w:sz w:val="22"/>
          <w:u w:val="single"/>
        </w:rPr>
        <w:t>Section 2.01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Business Day</w:t>
      </w:r>
      <w:r>
        <w:rPr>
          <w:rFonts w:ascii="Times New Roman" w:hAnsi="Times New Roman"/>
          <w:color w:val="000000"/>
          <w:sz w:val="20"/>
        </w:rPr>
        <w:t xml:space="preserve">” </w:t>
      </w:r>
      <w:r>
        <w:rPr>
          <w:rFonts w:ascii="Times New Roman" w:hAnsi="Times New Roman"/>
          <w:color w:val="000000"/>
          <w:sz w:val="22"/>
        </w:rPr>
        <w:t>means any day other than a Saturday, Sunday or other day on which commercial banks are authorized to close under the Laws of, or are in fact closed in, the state where the Administrative Agent’s Office is located.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Businesses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6.09(a)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CAD</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means the lawful money of Canada.</w:t>
      </w:r>
    </w:p>
    <w:p>
      <w:pPr>
        <w:pStyle w:val="TextBody"/>
        <w:bidi w:val="0"/>
        <w:spacing w:before="0" w:after="240"/>
        <w:jc w:val="both"/>
        <w:rPr/>
      </w:pPr>
      <w:r>
        <w:rPr>
          <w:color w:val="000000"/>
        </w:rPr>
        <w:t>“</w:t>
      </w:r>
      <w:r>
        <w:rPr>
          <w:rFonts w:ascii="Times New Roman" w:hAnsi="Times New Roman"/>
          <w:color w:val="000000"/>
          <w:sz w:val="22"/>
          <w:u w:val="single"/>
        </w:rPr>
        <w:t>Cash Collateralize</w:t>
      </w:r>
      <w:r>
        <w:rPr>
          <w:rFonts w:ascii="Times New Roman" w:hAnsi="Times New Roman"/>
          <w:color w:val="000000"/>
          <w:sz w:val="20"/>
        </w:rPr>
        <w:t xml:space="preserve">” </w:t>
      </w:r>
      <w:r>
        <w:rPr>
          <w:rFonts w:ascii="Times New Roman" w:hAnsi="Times New Roman"/>
          <w:color w:val="000000"/>
          <w:sz w:val="22"/>
        </w:rPr>
        <w:t>means to pledge and deposit with or deliver to the Administrative Agent, for the benefit of one or more of the L/C Issuers or the Lenders, as collateral for the L/C Obligations or obligations of the Lenders to fund participations in respect of L/C Obligations, cash or deposit account balances or, if the Administrative Agent and the applicable L/C Issuer shall agree in their sole discretion, other credit support, in each case pursuant to documentation in form and substance satisfactory to the Administrative Agent and such L/C Issuer. “Cash Collateral” shall have a meaning correlative to the foregoing and shall include the proceeds of such cash collateral and other credit support.</w:t>
      </w:r>
    </w:p>
    <w:p>
      <w:pPr>
        <w:pStyle w:val="TextBody"/>
        <w:bidi w:val="0"/>
        <w:spacing w:before="0" w:after="240"/>
        <w:jc w:val="both"/>
        <w:rPr/>
      </w:pPr>
      <w:r>
        <w:rPr>
          <w:color w:val="000000"/>
        </w:rPr>
        <w:t>“</w:t>
      </w:r>
      <w:r>
        <w:rPr>
          <w:rFonts w:ascii="Times New Roman" w:hAnsi="Times New Roman"/>
          <w:color w:val="000000"/>
          <w:sz w:val="22"/>
          <w:u w:val="single"/>
        </w:rPr>
        <w:t>Cash Equivalents</w:t>
      </w:r>
      <w:r>
        <w:rPr>
          <w:rFonts w:ascii="Times New Roman" w:hAnsi="Times New Roman"/>
          <w:color w:val="000000"/>
          <w:sz w:val="20"/>
        </w:rPr>
        <w:t xml:space="preserve">” </w:t>
      </w:r>
      <w:r>
        <w:rPr>
          <w:rFonts w:ascii="Times New Roman" w:hAnsi="Times New Roman"/>
          <w:color w:val="000000"/>
          <w:sz w:val="22"/>
        </w:rPr>
        <w:t>means, as at any date, (a) with respect to the Borrower or any of its Subsidiaries: (i) securities issued or directly and fully guaranteed or insured by the United States or any agency or instrumentality thereof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full faith and credit of the United States is pledged in support thereof) having maturities of not more than twelve months from the date of acquisition, (ii) time deposits and certificates of deposit of (A) any Lender, (B) any domestic commercial bank of recognized standing having capital and surplus in excess of $500,000,000 or (C) any bank whose short-term commercial paper rating from S&amp;P is at least A-1 or the equivalent thereof or from Moody’s is at least P-1 or the equivalent thereof (any such bank being an “</w:t>
      </w:r>
      <w:r>
        <w:rPr>
          <w:rFonts w:ascii="Times New Roman" w:hAnsi="Times New Roman"/>
          <w:color w:val="000000"/>
          <w:sz w:val="22"/>
          <w:u w:val="single"/>
        </w:rPr>
        <w:t>Approved Bank</w:t>
      </w:r>
      <w:r>
        <w:rPr>
          <w:rFonts w:ascii="Times New Roman" w:hAnsi="Times New Roman"/>
          <w:color w:val="000000"/>
          <w:sz w:val="20"/>
        </w:rPr>
        <w:t>”</w:t>
      </w:r>
      <w:r>
        <w:rPr>
          <w:rFonts w:ascii="Times New Roman" w:hAnsi="Times New Roman"/>
          <w:color w:val="000000"/>
          <w:sz w:val="22"/>
        </w:rPr>
        <w:t xml:space="preserve">), in each case with maturities of not more than twelve months from the date of acquisition, (iii) commercial paper and variable or fixed rate notes issued by any Approved Bank (or by the parent company thereof) or any variable rate notes issued by, or guaranteed by, any domestic corporation rated A-1 (or the equivalent thereof) or better by S&amp;P or P -1 (or the equivalent thereof) or better by Moody’s and maturing within twelve months of the date of acquisition, (iv) repurchase agreements entered into by any Person with a bank or trust company (including any Lender) or recognized securities dealer having capital and surplus in excess of $500,000,000 for direct obligations issued by or fully guaranteed by the United States in which such Person shall have a perfected first priority security interest (subject to no other Liens) and having, on the date of purchase thereof, a fair market value of at least 100% of the amount of the repurchase obligations, (v) securities with maturities of one year or less from the date of acquisition which (or the issuer of which) are rated at least A or A-1 by S&amp;P or A2 or P-1 by Moody’s, (vi) investments, classified in accordance with GAAP as current assets, in money market investment programs registered under the Investment Company Act of 1940 which are administered by reputable financial institutions having capital of at least $500,000,000 and the portfolios of which are limited to Investments of the character described in the foregoing </w:t>
      </w:r>
      <w:r>
        <w:rPr>
          <w:rFonts w:ascii="Times New Roman" w:hAnsi="Times New Roman"/>
          <w:color w:val="000000"/>
          <w:sz w:val="22"/>
          <w:u w:val="single"/>
        </w:rPr>
        <w:t>clauses (a)(i)</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(a)(v)</w:t>
      </w:r>
      <w:r>
        <w:rPr>
          <w:rFonts w:ascii="Times New Roman" w:hAnsi="Times New Roman"/>
          <w:color w:val="000000"/>
          <w:sz w:val="22"/>
        </w:rPr>
        <w:t xml:space="preserve">, (vii) Investments similar to those described in the foregoing clauses (a)(i) through (a)(vi) above that are permitted pursuant to Borrower’s investment policy as approved by the board of directors (or committee thereof) of the Borrower from time to time; and (b) with respect to any Foreign Subsidiary: (i) investments of the type and maturity described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above of foreign commercial banks, which investments or commercial banks (or the parents of such commercial banks) have comparable credit quality and are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customarily used by companies in the jurisdictions of such Foreign Subsidiaries for cash management purposes and (ii) other short-term investments utilized by Foreign Subsidiaries in accordance with normal investment practices for cash management of comparable tenure and credit quality to those described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above or other high quality short term investments, in each case, customarily utilized in countries in which such Foreign Subsidiary operates for short term cash management purposes.</w:t>
      </w:r>
    </w:p>
    <w:p>
      <w:pPr>
        <w:pStyle w:val="TextBody"/>
        <w:bidi w:val="0"/>
        <w:spacing w:before="0" w:after="240"/>
        <w:jc w:val="both"/>
        <w:rPr/>
      </w:pPr>
      <w:r>
        <w:rPr>
          <w:color w:val="000000"/>
        </w:rPr>
        <w:t>“</w:t>
      </w:r>
      <w:r>
        <w:rPr>
          <w:rFonts w:ascii="Times New Roman" w:hAnsi="Times New Roman"/>
          <w:color w:val="000000"/>
          <w:sz w:val="22"/>
          <w:u w:val="single"/>
        </w:rPr>
        <w:t>Cash Management Agreement</w:t>
      </w:r>
      <w:r>
        <w:rPr>
          <w:rFonts w:ascii="Times New Roman" w:hAnsi="Times New Roman"/>
          <w:color w:val="000000"/>
          <w:sz w:val="20"/>
        </w:rPr>
        <w:t xml:space="preserve">” </w:t>
      </w:r>
      <w:r>
        <w:rPr>
          <w:rFonts w:ascii="Times New Roman" w:hAnsi="Times New Roman"/>
          <w:color w:val="000000"/>
          <w:sz w:val="22"/>
        </w:rPr>
        <w:t>means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pStyle w:val="TextBody"/>
        <w:bidi w:val="0"/>
        <w:spacing w:before="0" w:after="240"/>
        <w:jc w:val="both"/>
        <w:rPr/>
      </w:pPr>
      <w:r>
        <w:rPr>
          <w:color w:val="000000"/>
        </w:rPr>
        <w:t>“</w:t>
      </w:r>
      <w:r>
        <w:rPr>
          <w:rFonts w:ascii="Times New Roman" w:hAnsi="Times New Roman"/>
          <w:color w:val="000000"/>
          <w:sz w:val="22"/>
          <w:u w:val="single"/>
        </w:rPr>
        <w:t>Cash Management Bank</w:t>
      </w:r>
      <w:r>
        <w:rPr>
          <w:rFonts w:ascii="Times New Roman" w:hAnsi="Times New Roman"/>
          <w:color w:val="000000"/>
          <w:sz w:val="20"/>
        </w:rPr>
        <w:t xml:space="preserve">” </w:t>
      </w:r>
      <w:r>
        <w:rPr>
          <w:rFonts w:ascii="Times New Roman" w:hAnsi="Times New Roman"/>
          <w:color w:val="000000"/>
          <w:sz w:val="22"/>
        </w:rPr>
        <w:t xml:space="preserve">means any Person in its capacity as a party to a Cash Management Agreement with the Borrower or any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 at the time such Person enters into such Cash Management Agreement, such Person is a Lender or an Affiliate of a Lender (even if such Person ceases to be a Lender or such Person’s Affiliate ceases to be a Lender) or (b) such Cash Management Agreement exists at the time such Person or Affiliate of such Person becomes a Lender (even if such Person ceases to be a Lender or such Person’s Affiliate ceases to be a Lender).</w:t>
      </w:r>
    </w:p>
    <w:p>
      <w:pPr>
        <w:pStyle w:val="TextBody"/>
        <w:bidi w:val="0"/>
        <w:spacing w:before="0" w:after="240"/>
        <w:jc w:val="both"/>
        <w:rPr/>
      </w:pPr>
      <w:r>
        <w:rPr>
          <w:color w:val="000000"/>
        </w:rPr>
        <w:t>“</w:t>
      </w:r>
      <w:r>
        <w:rPr>
          <w:rFonts w:ascii="Times New Roman" w:hAnsi="Times New Roman"/>
          <w:color w:val="000000"/>
          <w:sz w:val="22"/>
          <w:u w:val="single"/>
        </w:rPr>
        <w:t>Change in Law</w:t>
      </w:r>
      <w:r>
        <w:rPr>
          <w:rFonts w:ascii="Times New Roman" w:hAnsi="Times New Roman"/>
          <w:color w:val="000000"/>
          <w:sz w:val="20"/>
        </w:rPr>
        <w:t xml:space="preserve">” </w:t>
      </w:r>
      <w:r>
        <w:rPr>
          <w:rFonts w:ascii="Times New Roman" w:hAnsi="Times New Roman"/>
          <w:color w:val="000000"/>
          <w:sz w:val="22"/>
        </w:rPr>
        <w:t xml:space="preserve">means the occurrence, after the Effective Date, of any of the following: (a) the adoption or taking effect of any Law, (b) any change in any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pStyle w:val="TextBody"/>
        <w:bidi w:val="0"/>
        <w:spacing w:before="0" w:after="240"/>
        <w:jc w:val="both"/>
        <w:rPr/>
      </w:pPr>
      <w:r>
        <w:rPr>
          <w:color w:val="000000"/>
        </w:rPr>
        <w:t>“</w:t>
      </w:r>
      <w:r>
        <w:rPr>
          <w:rFonts w:ascii="Times New Roman" w:hAnsi="Times New Roman"/>
          <w:color w:val="000000"/>
          <w:sz w:val="22"/>
          <w:u w:val="single"/>
        </w:rPr>
        <w:t>Change of Control</w:t>
      </w:r>
      <w:r>
        <w:rPr>
          <w:rFonts w:ascii="Times New Roman" w:hAnsi="Times New Roman"/>
          <w:color w:val="000000"/>
          <w:sz w:val="20"/>
        </w:rPr>
        <w:t xml:space="preserve">” </w:t>
      </w:r>
      <w:r>
        <w:rPr>
          <w:rFonts w:ascii="Times New Roman" w:hAnsi="Times New Roman"/>
          <w:color w:val="000000"/>
          <w:sz w:val="22"/>
        </w:rPr>
        <w:t>means an event or series of events by which 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Equity Interests that such person or group has the right to acquire, whether such right is exercisable immediately or only after the passage of time (such right, an “option right”)), directly or indirectly, of Voting Equity Interests of the Borrower representing forty percent (40%) or more of the combined voting power of all Voting Equity Interests of the Borrower on a fully diluted basis (and taking into account all such securities that such person or group has the right to acquire pursuant to any option right).</w:t>
      </w:r>
    </w:p>
    <w:p>
      <w:pPr>
        <w:pStyle w:val="TextBody"/>
        <w:bidi w:val="0"/>
        <w:spacing w:before="0" w:after="240"/>
        <w:jc w:val="both"/>
        <w:rPr/>
      </w:pPr>
      <w:r>
        <w:rPr>
          <w:color w:val="000000"/>
        </w:rPr>
        <w:t>“</w:t>
      </w:r>
      <w:r>
        <w:rPr>
          <w:rFonts w:ascii="Times New Roman" w:hAnsi="Times New Roman"/>
          <w:color w:val="000000"/>
          <w:sz w:val="22"/>
          <w:u w:val="single"/>
        </w:rPr>
        <w:t>Class</w:t>
      </w:r>
      <w:r>
        <w:rPr>
          <w:rFonts w:ascii="Times New Roman" w:hAnsi="Times New Roman"/>
          <w:color w:val="000000"/>
          <w:sz w:val="20"/>
        </w:rPr>
        <w:t xml:space="preserve">” </w:t>
      </w:r>
      <w:r>
        <w:rPr>
          <w:rFonts w:ascii="Times New Roman" w:hAnsi="Times New Roman"/>
          <w:color w:val="000000"/>
          <w:sz w:val="22"/>
        </w:rPr>
        <w:t>(a) when used with respect to any Lender, refers to whether such Lender has a Loan or Commitment with respect to a particular Class of Loans or Commitments, (b) when used with respect to Commitments, refers to whether such Commitments are Revolving Commitments or Incremental Term Loan Commitments and (c) when used with respect to Loans or a Borrowing, refers to whether such Loans, or the Loans comprising such Borrowing, are Revolving Loans or an Incremental Term Loan. Commitments (and the Loans made pursuant to such Commitments) that have different terms and conditions shall be construed to be in different Classes. Commitments (and the Loans made pursuant to such Commitments) that have the same terms and conditions shall be construed to be in the same Class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otherwise agreed by the Borrower and the Administrative Agent). There shall be no more than one Class of revolving loan facilities under this Agreement.</w:t>
      </w:r>
    </w:p>
    <w:p>
      <w:pPr>
        <w:pStyle w:val="TextBody"/>
        <w:bidi w:val="0"/>
        <w:spacing w:before="0" w:after="240"/>
        <w:jc w:val="both"/>
        <w:rPr/>
      </w:pPr>
      <w:r>
        <w:rPr>
          <w:color w:val="000000"/>
        </w:rPr>
        <w:t>“</w:t>
      </w:r>
      <w:r>
        <w:rPr>
          <w:rFonts w:ascii="Times New Roman" w:hAnsi="Times New Roman"/>
          <w:color w:val="000000"/>
          <w:sz w:val="22"/>
          <w:u w:val="single"/>
        </w:rPr>
        <w:t>CME</w:t>
      </w:r>
      <w:r>
        <w:rPr>
          <w:rFonts w:ascii="Times New Roman" w:hAnsi="Times New Roman"/>
          <w:color w:val="000000"/>
          <w:sz w:val="20"/>
        </w:rPr>
        <w:t xml:space="preserve">” </w:t>
      </w:r>
      <w:r>
        <w:rPr>
          <w:rFonts w:ascii="Times New Roman" w:hAnsi="Times New Roman"/>
          <w:color w:val="000000"/>
          <w:sz w:val="22"/>
        </w:rPr>
        <w:t>means CME Group Benchmark Administration Limited.</w:t>
      </w:r>
    </w:p>
    <w:p>
      <w:pPr>
        <w:pStyle w:val="TextBody"/>
        <w:bidi w:val="0"/>
        <w:spacing w:before="0" w:after="240"/>
        <w:jc w:val="both"/>
        <w:rPr/>
      </w:pPr>
      <w:r>
        <w:rPr>
          <w:color w:val="000000"/>
        </w:rPr>
        <w:t>“</w:t>
      </w:r>
      <w:r>
        <w:rPr>
          <w:rFonts w:ascii="Times New Roman" w:hAnsi="Times New Roman"/>
          <w:color w:val="000000"/>
          <w:sz w:val="22"/>
          <w:u w:val="single"/>
        </w:rPr>
        <w:t>Collateral</w:t>
      </w:r>
      <w:r>
        <w:rPr>
          <w:rFonts w:ascii="Times New Roman" w:hAnsi="Times New Roman"/>
          <w:color w:val="000000"/>
          <w:sz w:val="20"/>
        </w:rPr>
        <w:t xml:space="preserve">” </w:t>
      </w:r>
      <w:r>
        <w:rPr>
          <w:rFonts w:ascii="Times New Roman" w:hAnsi="Times New Roman"/>
          <w:color w:val="000000"/>
          <w:sz w:val="22"/>
        </w:rPr>
        <w:t>means a collective reference to all property, other than Excluded Property, with respect to which Liens in favor of the Administrative Agent, for the benefit of itself and the other holders of the Obligations, are purported to be granted pursuant to and in accordance with the terms of the Collateral Documents.</w:t>
      </w:r>
    </w:p>
    <w:p>
      <w:pPr>
        <w:pStyle w:val="TextBody"/>
        <w:bidi w:val="0"/>
        <w:spacing w:before="0" w:after="240"/>
        <w:jc w:val="both"/>
        <w:rPr/>
      </w:pPr>
      <w:r>
        <w:rPr>
          <w:color w:val="000000"/>
        </w:rPr>
        <w:t>“</w:t>
      </w:r>
      <w:r>
        <w:rPr>
          <w:rFonts w:ascii="Times New Roman" w:hAnsi="Times New Roman"/>
          <w:color w:val="000000"/>
          <w:sz w:val="22"/>
          <w:u w:val="single"/>
        </w:rPr>
        <w:t>Collateral Documents</w:t>
      </w:r>
      <w:r>
        <w:rPr>
          <w:rFonts w:ascii="Times New Roman" w:hAnsi="Times New Roman"/>
          <w:color w:val="000000"/>
          <w:sz w:val="20"/>
        </w:rPr>
        <w:t xml:space="preserve">” </w:t>
      </w:r>
      <w:r>
        <w:rPr>
          <w:rFonts w:ascii="Times New Roman" w:hAnsi="Times New Roman"/>
          <w:color w:val="000000"/>
          <w:sz w:val="22"/>
        </w:rPr>
        <w:t xml:space="preserve">means a collective reference to the Security Agreement and other security documents as may be executed and delivered by any Loan Party pursuant to the terms of </w:t>
      </w:r>
      <w:r>
        <w:rPr>
          <w:rFonts w:ascii="Times New Roman" w:hAnsi="Times New Roman"/>
          <w:color w:val="000000"/>
          <w:sz w:val="22"/>
          <w:u w:val="single"/>
        </w:rPr>
        <w:t>Section 7.13</w:t>
      </w:r>
      <w:r>
        <w:rPr>
          <w:rFonts w:ascii="Times New Roman" w:hAnsi="Times New Roman"/>
          <w:color w:val="000000"/>
          <w:sz w:val="20"/>
        </w:rPr>
        <w:t xml:space="preserve"> </w:t>
      </w:r>
      <w:r>
        <w:rPr>
          <w:rFonts w:ascii="Times New Roman" w:hAnsi="Times New Roman"/>
          <w:color w:val="000000"/>
          <w:sz w:val="22"/>
        </w:rPr>
        <w:t>or any of the Loan Documents.</w:t>
      </w:r>
    </w:p>
    <w:p>
      <w:pPr>
        <w:pStyle w:val="TextBody"/>
        <w:bidi w:val="0"/>
        <w:spacing w:before="0" w:after="240"/>
        <w:jc w:val="both"/>
        <w:rPr/>
      </w:pPr>
      <w:r>
        <w:rPr>
          <w:color w:val="000000"/>
        </w:rPr>
        <w:t>“</w:t>
      </w:r>
      <w:r>
        <w:rPr>
          <w:rFonts w:ascii="Times New Roman" w:hAnsi="Times New Roman"/>
          <w:color w:val="000000"/>
          <w:sz w:val="22"/>
          <w:u w:val="single"/>
        </w:rPr>
        <w:t>Commitment</w:t>
      </w:r>
      <w:r>
        <w:rPr>
          <w:rFonts w:ascii="Times New Roman" w:hAnsi="Times New Roman"/>
          <w:color w:val="000000"/>
          <w:sz w:val="20"/>
        </w:rPr>
        <w:t xml:space="preserve">” </w:t>
      </w:r>
      <w:r>
        <w:rPr>
          <w:rFonts w:ascii="Times New Roman" w:hAnsi="Times New Roman"/>
          <w:color w:val="000000"/>
          <w:sz w:val="22"/>
        </w:rPr>
        <w:t>means, as the context requires, a Revolving Commitment and/or an Incremental Term Loan Commitment.</w:t>
      </w:r>
    </w:p>
    <w:p>
      <w:pPr>
        <w:pStyle w:val="TextBody"/>
        <w:bidi w:val="0"/>
        <w:spacing w:before="0" w:after="240"/>
        <w:jc w:val="both"/>
        <w:rPr/>
      </w:pPr>
      <w:r>
        <w:rPr>
          <w:color w:val="000000"/>
        </w:rPr>
        <w:t>“</w:t>
      </w:r>
      <w:r>
        <w:rPr>
          <w:rFonts w:ascii="Times New Roman" w:hAnsi="Times New Roman"/>
          <w:color w:val="000000"/>
          <w:sz w:val="22"/>
          <w:u w:val="single"/>
        </w:rPr>
        <w:t>Commitment Fee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2.09(a)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Commodity Exchange Act</w:t>
      </w:r>
      <w:r>
        <w:rPr>
          <w:rFonts w:ascii="Times New Roman" w:hAnsi="Times New Roman"/>
          <w:color w:val="000000"/>
          <w:sz w:val="20"/>
        </w:rPr>
        <w:t xml:space="preserve">” </w:t>
      </w:r>
      <w:r>
        <w:rPr>
          <w:rFonts w:ascii="Times New Roman" w:hAnsi="Times New Roman"/>
          <w:color w:val="000000"/>
          <w:sz w:val="22"/>
        </w:rPr>
        <w:t xml:space="preserve">means the Commodity Exchange Act (7 U.S.C. Section 1 </w:t>
      </w:r>
      <w:r>
        <w:rPr>
          <w:rFonts w:ascii="Times New Roman" w:hAnsi="Times New Roman"/>
          <w:i/>
          <w:color w:val="000000"/>
          <w:sz w:val="22"/>
        </w:rPr>
        <w:t>et seq</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Communication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11.17</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Compliance Certificate</w:t>
      </w:r>
      <w:r>
        <w:rPr>
          <w:rFonts w:ascii="Times New Roman" w:hAnsi="Times New Roman"/>
          <w:color w:val="000000"/>
          <w:sz w:val="20"/>
        </w:rPr>
        <w:t xml:space="preserve">” </w:t>
      </w:r>
      <w:r>
        <w:rPr>
          <w:rFonts w:ascii="Times New Roman" w:hAnsi="Times New Roman"/>
          <w:color w:val="000000"/>
          <w:sz w:val="22"/>
        </w:rPr>
        <w:t xml:space="preserve">means a certificate substantially in the form of </w:t>
      </w:r>
      <w:r>
        <w:rPr>
          <w:rFonts w:ascii="Times New Roman" w:hAnsi="Times New Roman"/>
          <w:color w:val="000000"/>
          <w:sz w:val="22"/>
          <w:u w:val="single"/>
        </w:rPr>
        <w:t>Exhibit 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Conforming Changes</w:t>
      </w:r>
      <w:r>
        <w:rPr>
          <w:rFonts w:ascii="Times New Roman" w:hAnsi="Times New Roman"/>
          <w:color w:val="000000"/>
          <w:sz w:val="20"/>
        </w:rPr>
        <w:t xml:space="preserve">” </w:t>
      </w:r>
      <w:r>
        <w:rPr>
          <w:rFonts w:ascii="Times New Roman" w:hAnsi="Times New Roman"/>
          <w:color w:val="000000"/>
          <w:sz w:val="22"/>
        </w:rPr>
        <w:t>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in consultation with the Borrower,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in consultation with the Borrower is reasonably necessary in connection with the administration of this Agreement and any other Loan Document).</w:t>
      </w:r>
    </w:p>
    <w:p>
      <w:pPr>
        <w:pStyle w:val="TextBody"/>
        <w:bidi w:val="0"/>
        <w:spacing w:before="0" w:after="240"/>
        <w:jc w:val="both"/>
        <w:rPr/>
      </w:pPr>
      <w:r>
        <w:rPr>
          <w:color w:val="000000"/>
        </w:rPr>
        <w:t>“</w:t>
      </w:r>
      <w:r>
        <w:rPr>
          <w:rFonts w:ascii="Times New Roman" w:hAnsi="Times New Roman"/>
          <w:color w:val="000000"/>
          <w:sz w:val="22"/>
          <w:u w:val="single"/>
        </w:rPr>
        <w:t>Connection Income Taxes</w:t>
      </w:r>
      <w:r>
        <w:rPr>
          <w:rFonts w:ascii="Times New Roman" w:hAnsi="Times New Roman"/>
          <w:color w:val="000000"/>
          <w:sz w:val="20"/>
        </w:rPr>
        <w:t xml:space="preserve">” </w:t>
      </w:r>
      <w:r>
        <w:rPr>
          <w:rFonts w:ascii="Times New Roman" w:hAnsi="Times New Roman"/>
          <w:color w:val="000000"/>
          <w:sz w:val="22"/>
        </w:rPr>
        <w:t>means Other Connection Taxes that are imposed on or measured by net income (however denominated) or that are franchise Taxes or branch profits Taxes.</w:t>
      </w:r>
    </w:p>
    <w:p>
      <w:pPr>
        <w:pStyle w:val="TextBody"/>
        <w:bidi w:val="0"/>
        <w:spacing w:before="0" w:after="240"/>
        <w:jc w:val="both"/>
        <w:rPr/>
      </w:pPr>
      <w:r>
        <w:rPr>
          <w:color w:val="000000"/>
        </w:rPr>
        <w:t>“</w:t>
      </w:r>
      <w:r>
        <w:rPr>
          <w:rFonts w:ascii="Times New Roman" w:hAnsi="Times New Roman"/>
          <w:color w:val="000000"/>
          <w:sz w:val="22"/>
          <w:u w:val="single"/>
        </w:rPr>
        <w:t>Consolidated EBITDA</w:t>
      </w:r>
      <w:r>
        <w:rPr>
          <w:rFonts w:ascii="Times New Roman" w:hAnsi="Times New Roman"/>
          <w:color w:val="000000"/>
          <w:sz w:val="20"/>
        </w:rPr>
        <w:t xml:space="preserve">” </w:t>
      </w:r>
      <w:r>
        <w:rPr>
          <w:rFonts w:ascii="Times New Roman" w:hAnsi="Times New Roman"/>
          <w:color w:val="000000"/>
          <w:sz w:val="22"/>
        </w:rPr>
        <w:t>means, for any period, for the Borrower and its Subsidiaries on a consolidated basis, an amount equal to Consolidated Net Income for such period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plus: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the following (without duplication) to the extent deducted in calculating such Consolidated Net Income for such period (except in the cases of clauses (a)(iv) and (a)(vi)):</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(i) Consolidated Interest Charges for such period;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 the provision for federal, state, local and foreign income taxes payable by the Borrower and its Subsidiaries for such period, including any franchise taxes or other taxes based on income, profits or capital (including in respect of repatriated funds) and all other taxes that are included in the provision for income tax line item on the consolidated income statement of the Borrower and its Subsidiaries for such period;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(iii) depreciation and amortization expense, including the amortization or impairment of intangible assets, for such period;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any changes in deferred or unearned revenue or substantially equivalent items for such period (net of any changes in deferred contract acquisition and fulfillment costs, net of related amortization for such period);</w:t>
      </w:r>
    </w:p>
    <w:p>
      <w:pPr>
        <w:pStyle w:val="TextBody"/>
        <w:bidi w:val="0"/>
        <w:spacing w:before="0" w:after="240"/>
        <w:jc w:val="both"/>
        <w:rPr>
          <w:rFonts w:ascii="Times New Roman" w:hAnsi="Times New Roman"/>
          <w:sz w:val="20"/>
        </w:rPr>
      </w:pPr>
      <w:r>
        <w:rPr>
          <w:rFonts w:ascii="Times New Roman" w:hAnsi="Times New Roman"/>
          <w:color w:val="000000"/>
          <w:sz w:val="22"/>
        </w:rPr>
        <w:t>(v) all non-cash expenses, losses or charges for such period (other than any such non-cash expenses, losses or charges that represent an accrual or reserve for future cash expenses, losses or charges or that relate to the write-down of current assets), including, without limitation, (A) non-cash equity based employee compensation expenses for such period, (B) unrealized losses resulting from mark-to-market accounting in respect of convertible notes, Swap Contracts, bond hedge transactions, non-cash foreign currency translation losses and other derivative or similar instruments, (C) unrealized losses on equity investments and (D) expenses, losses and charges for deferred tax asset valuation allowances and (E) non-cash operating lease costs;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 any cost-savings, operating expense reductions, other operating improvements and initiatives and synergies related to any Acquisition, business combination, Material Disposition or other initiative that are projected by a Responsible Officer in good faith to be reasonably anticipated to be realizable within 18 months of the date of such event (to be added on a Pro Forma Basis as so projected until fully realized), net of the amount of actual benefits realized during such period from such actions;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that</w:t>
      </w:r>
      <w:r>
        <w:rPr>
          <w:rFonts w:ascii="Times New Roman" w:hAnsi="Times New Roman"/>
          <w:color w:val="000000"/>
          <w:sz w:val="22"/>
        </w:rPr>
        <w:t xml:space="preserve">, with respect to this clause (vi) such cost-savings, operating expense reductions, other operating improvements and initiatives or synergies are reasonably identifiable and factually supportable (in the good faith determination of a Responsible Officer of the Borrower);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aggregate amount of cost-savings, operating expense reductions, other operating improvements and initiatives or synergies added pursuant to this </w:t>
      </w:r>
      <w:r>
        <w:rPr>
          <w:rFonts w:ascii="Times New Roman" w:hAnsi="Times New Roman"/>
          <w:color w:val="000000"/>
          <w:sz w:val="22"/>
          <w:u w:val="single"/>
        </w:rPr>
        <w:t>clause (vi)</w:t>
      </w:r>
      <w:r>
        <w:rPr>
          <w:rFonts w:ascii="Times New Roman" w:hAnsi="Times New Roman"/>
          <w:color w:val="000000"/>
          <w:sz w:val="22"/>
        </w:rPr>
        <w:t xml:space="preserve">, combined with the aggregate amount of fees and expenses and non-recurring charges added pursuant to </w:t>
      </w:r>
      <w:r>
        <w:rPr>
          <w:rFonts w:ascii="Times New Roman" w:hAnsi="Times New Roman"/>
          <w:color w:val="000000"/>
          <w:sz w:val="22"/>
          <w:u w:val="single"/>
        </w:rPr>
        <w:t>clause (vii)</w:t>
      </w:r>
      <w:r>
        <w:rPr>
          <w:rFonts w:ascii="Times New Roman" w:hAnsi="Times New Roman"/>
          <w:color w:val="000000"/>
          <w:sz w:val="20"/>
        </w:rPr>
        <w:t xml:space="preserve"> </w:t>
      </w:r>
      <w:r>
        <w:rPr>
          <w:rFonts w:ascii="Times New Roman" w:hAnsi="Times New Roman"/>
          <w:color w:val="000000"/>
          <w:sz w:val="22"/>
        </w:rPr>
        <w:t xml:space="preserve">below, shall not exceed 20% of Consolidated EBITDA (calculated without giving effect to such </w:t>
      </w:r>
      <w:r>
        <w:rPr>
          <w:rFonts w:ascii="Times New Roman" w:hAnsi="Times New Roman"/>
          <w:color w:val="000000"/>
          <w:sz w:val="22"/>
          <w:u w:val="single"/>
        </w:rPr>
        <w:t>clauses (vi)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(vii)</w:t>
      </w:r>
      <w:r>
        <w:rPr>
          <w:rFonts w:ascii="Times New Roman" w:hAnsi="Times New Roman"/>
          <w:color w:val="000000"/>
          <w:sz w:val="20"/>
        </w:rPr>
        <w:t xml:space="preserve"> </w:t>
      </w:r>
      <w:r>
        <w:rPr>
          <w:rFonts w:ascii="Times New Roman" w:hAnsi="Times New Roman"/>
          <w:color w:val="000000"/>
          <w:sz w:val="22"/>
        </w:rPr>
        <w:t>for such period);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(vii) any unusual or non-recurring fees, expenses and charges, including (to the extent unusual or non-recurring) (A) severance and restructuring charges, closing or consolidation expenses, charges and fees, and (B) fees, expenses and charges related to, arising out of or made in connection with any Acquisition, Material Disposition, settlements, legal proceedings, investigations and regulatory matters;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aggregate amount of fees and expenses and non-recurring charges added pursuant to this </w:t>
      </w:r>
      <w:r>
        <w:rPr>
          <w:rFonts w:ascii="Times New Roman" w:hAnsi="Times New Roman"/>
          <w:color w:val="000000"/>
          <w:sz w:val="22"/>
          <w:u w:val="single"/>
        </w:rPr>
        <w:t>clause (vii)</w:t>
      </w:r>
      <w:r>
        <w:rPr>
          <w:rFonts w:ascii="Times New Roman" w:hAnsi="Times New Roman"/>
          <w:color w:val="000000"/>
          <w:sz w:val="22"/>
        </w:rPr>
        <w:t xml:space="preserve">, combined with the aggregate amount of cost-savings, operating expense reductions, other operating improvements and initiatives or synergies added pursuant to </w:t>
      </w:r>
      <w:r>
        <w:rPr>
          <w:rFonts w:ascii="Times New Roman" w:hAnsi="Times New Roman"/>
          <w:color w:val="000000"/>
          <w:sz w:val="22"/>
          <w:u w:val="single"/>
        </w:rPr>
        <w:t>clause (vi)</w:t>
      </w:r>
      <w:r>
        <w:rPr>
          <w:rFonts w:ascii="Times New Roman" w:hAnsi="Times New Roman"/>
          <w:color w:val="000000"/>
          <w:sz w:val="20"/>
        </w:rPr>
        <w:t xml:space="preserve"> </w:t>
      </w:r>
      <w:r>
        <w:rPr>
          <w:rFonts w:ascii="Times New Roman" w:hAnsi="Times New Roman"/>
          <w:color w:val="000000"/>
          <w:sz w:val="22"/>
        </w:rPr>
        <w:t xml:space="preserve">above, shall not exceed 20% of Consolidated EBITDA (calculated without giving effect to such </w:t>
      </w:r>
      <w:r>
        <w:rPr>
          <w:rFonts w:ascii="Times New Roman" w:hAnsi="Times New Roman"/>
          <w:color w:val="000000"/>
          <w:sz w:val="22"/>
          <w:u w:val="single"/>
        </w:rPr>
        <w:t>clauses (vi)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(vii)</w:t>
      </w:r>
      <w:r>
        <w:rPr>
          <w:rFonts w:ascii="Times New Roman" w:hAnsi="Times New Roman"/>
          <w:color w:val="000000"/>
          <w:sz w:val="20"/>
        </w:rPr>
        <w:t xml:space="preserve"> </w:t>
      </w:r>
      <w:r>
        <w:rPr>
          <w:rFonts w:ascii="Times New Roman" w:hAnsi="Times New Roman"/>
          <w:color w:val="000000"/>
          <w:sz w:val="22"/>
        </w:rPr>
        <w:t>for such period);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(viii) fees, costs and expenses incurred in connection with the Transactions, the incurrence of any Indebtedness permitted hereunder, the offering of any Equity Interests by the Borrower, any acquisition, investment or disposition transactions, in each case whether or not completed;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(ix) any extraordinary expenses, charges or losses;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 expenses associated with any loss from the early extinguishment of Indebtedness or of any Permitted Call Spread Transaction, and expenses associated with the equity component of, and any mark-to-market losses with respect to convertible notes;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 any net loss incurred in such period from foreign currency exchanges, conversions, translations and/or related contracts; and</w:t>
      </w:r>
    </w:p>
    <w:p>
      <w:pPr>
        <w:pStyle w:val="TextBody"/>
        <w:bidi w:val="0"/>
        <w:spacing w:before="0" w:after="240"/>
        <w:jc w:val="both"/>
        <w:rPr>
          <w:rFonts w:ascii="Times New Roman" w:hAnsi="Times New Roman"/>
          <w:sz w:val="20"/>
        </w:rPr>
      </w:pPr>
      <w:r>
        <w:rPr>
          <w:rFonts w:ascii="Times New Roman" w:hAnsi="Times New Roman"/>
          <w:color w:val="000000"/>
          <w:sz w:val="22"/>
        </w:rPr>
        <w:t>(xii) adjustments relating to purchase accounting, or the allocation of the purchase price, paid in Acquisitions;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minus: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the following (without duplication) to the extent included in calculating such Consolidated Net Income: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any extraordinary gains (less all fees and expenses related thereto);</w:t>
      </w:r>
    </w:p>
    <w:p>
      <w:pPr>
        <w:pStyle w:val="TextBody"/>
        <w:bidi w:val="0"/>
        <w:spacing w:before="0" w:after="240"/>
        <w:jc w:val="both"/>
        <w:rPr>
          <w:rFonts w:ascii="Times New Roman" w:hAnsi="Times New Roman"/>
          <w:sz w:val="20"/>
        </w:rPr>
      </w:pPr>
      <w:r>
        <w:rPr>
          <w:rFonts w:ascii="Times New Roman" w:hAnsi="Times New Roman"/>
          <w:color w:val="000000"/>
          <w:sz w:val="22"/>
        </w:rPr>
        <w:t>(ii) all non-cash income or gains for such period including unrealized gains resulting from mark-to-market accounting in respect of convertible notes, Swap Contracts, bond hedge transactions, foreign currency exchanges, conversions, transactions and/or contracts and other derivative or similar instruments and unrealized gains on equity investments (excluding any items that represent the reversal of any accrual of, or cash reserve for, anticipated cash charges in any prior period that are described in clause (a)(v) above or any such item that is non-cash during such period but the subject of a cash payment in a prior or future period);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any non-cash income or gains representing a reversal of any addback described in subclause (vii) of clause (a) above that increased Consolidated EBITDA in a prior period;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any other gains related to any of the addbacks described in subclauses (x), (xi) or (xii) of clause (a) above.</w:t>
      </w:r>
    </w:p>
    <w:p>
      <w:pPr>
        <w:pStyle w:val="TextBody"/>
        <w:bidi w:val="0"/>
        <w:spacing w:before="0" w:after="240"/>
        <w:jc w:val="both"/>
        <w:rPr/>
      </w:pPr>
      <w:r>
        <w:rPr>
          <w:color w:val="000000"/>
        </w:rPr>
        <w:t>“</w:t>
      </w:r>
      <w:r>
        <w:rPr>
          <w:rFonts w:ascii="Times New Roman" w:hAnsi="Times New Roman"/>
          <w:color w:val="000000"/>
          <w:sz w:val="22"/>
          <w:u w:val="single"/>
        </w:rPr>
        <w:t>Consolidated Funded Indebtedness</w:t>
      </w:r>
      <w:r>
        <w:rPr>
          <w:rFonts w:ascii="Times New Roman" w:hAnsi="Times New Roman"/>
          <w:color w:val="000000"/>
          <w:sz w:val="20"/>
        </w:rPr>
        <w:t xml:space="preserve">” </w:t>
      </w:r>
      <w:r>
        <w:rPr>
          <w:rFonts w:ascii="Times New Roman" w:hAnsi="Times New Roman"/>
          <w:color w:val="000000"/>
          <w:sz w:val="22"/>
        </w:rPr>
        <w:t xml:space="preserve">means, as of any date of determination, the (x) then outstanding principal amount of Funded Indebtedness of the Borrower and its Subsidiaries on a consolidated basis </w:t>
      </w:r>
      <w:r>
        <w:rPr>
          <w:rFonts w:ascii="Times New Roman" w:hAnsi="Times New Roman"/>
          <w:color w:val="000000"/>
          <w:sz w:val="22"/>
          <w:u w:val="single"/>
        </w:rPr>
        <w:t>minus</w:t>
      </w:r>
      <w:r>
        <w:rPr>
          <w:rFonts w:ascii="Times New Roman" w:hAnsi="Times New Roman"/>
          <w:color w:val="000000"/>
          <w:sz w:val="20"/>
        </w:rPr>
        <w:t xml:space="preserve"> </w:t>
      </w:r>
      <w:r>
        <w:rPr>
          <w:rFonts w:ascii="Times New Roman" w:hAnsi="Times New Roman"/>
          <w:color w:val="000000"/>
          <w:sz w:val="22"/>
        </w:rPr>
        <w:t xml:space="preserve">(y) the aggregate amount of unrestricted cash and Cash Equivalents included in the consolidated balance sheet of the Borrower and its Subsidiaries as of the date of the most recently ended fiscal quarter of the Borrower for which the Borrower has delivered financial statements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(or, prior to the first such delivery, the financial statements for the fiscal quarter ended September 30, 2025), without duplication;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aggregate amount included in this clause (y) shall not exceed 50% of the Consolidated EBITDA for the period of the four fiscal quarters of the Borrower most recently ended.</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Consolidated Gross Leverage Ratio</w:t>
      </w:r>
      <w:r>
        <w:rPr>
          <w:rFonts w:ascii="Times New Roman" w:hAnsi="Times New Roman"/>
          <w:color w:val="000000"/>
          <w:sz w:val="20"/>
        </w:rPr>
        <w:t xml:space="preserve">” </w:t>
      </w:r>
      <w:r>
        <w:rPr>
          <w:rFonts w:ascii="Times New Roman" w:hAnsi="Times New Roman"/>
          <w:color w:val="000000"/>
          <w:sz w:val="22"/>
        </w:rPr>
        <w:t xml:space="preserve">means, as of any date of determination, the ratio of (a) the then outstanding principal amount of Funded Indebtedness of the Borrower and its Subsidiaries on a consolidated basis </w:t>
      </w:r>
      <w:r>
        <w:rPr>
          <w:rFonts w:ascii="Times New Roman" w:hAnsi="Times New Roman"/>
          <w:color w:val="000000"/>
          <w:sz w:val="22"/>
          <w:u w:val="single"/>
        </w:rPr>
        <w:t>to</w:t>
      </w:r>
      <w:r>
        <w:rPr>
          <w:rFonts w:ascii="Times New Roman" w:hAnsi="Times New Roman"/>
          <w:color w:val="000000"/>
          <w:sz w:val="20"/>
        </w:rPr>
        <w:t xml:space="preserve"> </w:t>
      </w:r>
      <w:r>
        <w:rPr>
          <w:rFonts w:ascii="Times New Roman" w:hAnsi="Times New Roman"/>
          <w:color w:val="000000"/>
          <w:sz w:val="22"/>
        </w:rPr>
        <w:t>(b) Consolidated EBITDA for the period of the four fiscal quarters of the Borrower most recently ended.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Consolidated Interest Charges</w:t>
      </w:r>
      <w:r>
        <w:rPr>
          <w:rFonts w:ascii="Times New Roman" w:hAnsi="Times New Roman"/>
          <w:color w:val="000000"/>
          <w:sz w:val="20"/>
        </w:rPr>
        <w:t xml:space="preserve">” </w:t>
      </w:r>
      <w:r>
        <w:rPr>
          <w:rFonts w:ascii="Times New Roman" w:hAnsi="Times New Roman"/>
          <w:color w:val="000000"/>
          <w:sz w:val="22"/>
        </w:rPr>
        <w:t xml:space="preserve">means, for any period, for the Borrower and its Subsidiaries on a consolidated basis,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(b) the portion of rent expense with respect to such period under capital leases that is treated as interest in accordance with GAAP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(c) the implied interest component of Synthetic Lease Obligations with respect to such period, but excluding any payments with respect to make-whole premiums, prepayment penalties or other breakage costs of any Indebtedness.</w:t>
      </w:r>
    </w:p>
    <w:p>
      <w:pPr>
        <w:pStyle w:val="TextBody"/>
        <w:bidi w:val="0"/>
        <w:spacing w:before="0" w:after="240"/>
        <w:jc w:val="both"/>
        <w:rPr/>
      </w:pPr>
      <w:r>
        <w:rPr>
          <w:color w:val="000000"/>
        </w:rPr>
        <w:t>“</w:t>
      </w:r>
      <w:r>
        <w:rPr>
          <w:rFonts w:ascii="Times New Roman" w:hAnsi="Times New Roman"/>
          <w:color w:val="000000"/>
          <w:sz w:val="22"/>
          <w:u w:val="single"/>
        </w:rPr>
        <w:t>Consolidated Leverage Ratio</w:t>
      </w:r>
      <w:r>
        <w:rPr>
          <w:rFonts w:ascii="Times New Roman" w:hAnsi="Times New Roman"/>
          <w:color w:val="000000"/>
          <w:sz w:val="20"/>
        </w:rPr>
        <w:t xml:space="preserve">” </w:t>
      </w:r>
      <w:r>
        <w:rPr>
          <w:rFonts w:ascii="Times New Roman" w:hAnsi="Times New Roman"/>
          <w:color w:val="000000"/>
          <w:sz w:val="22"/>
        </w:rPr>
        <w:t xml:space="preserve">means, as of any date of determination, the ratio of (a) Consolidated Funded Indebtedness as of such date </w:t>
      </w:r>
      <w:r>
        <w:rPr>
          <w:rFonts w:ascii="Times New Roman" w:hAnsi="Times New Roman"/>
          <w:color w:val="000000"/>
          <w:sz w:val="22"/>
          <w:u w:val="single"/>
        </w:rPr>
        <w:t>to</w:t>
      </w:r>
      <w:r>
        <w:rPr>
          <w:rFonts w:ascii="Times New Roman" w:hAnsi="Times New Roman"/>
          <w:color w:val="000000"/>
          <w:sz w:val="20"/>
        </w:rPr>
        <w:t xml:space="preserve"> </w:t>
      </w:r>
      <w:r>
        <w:rPr>
          <w:rFonts w:ascii="Times New Roman" w:hAnsi="Times New Roman"/>
          <w:color w:val="000000"/>
          <w:sz w:val="22"/>
        </w:rPr>
        <w:t>(b) Consolidated EBITDA for the period of the four fiscal quarters of the Borrower most recently ended.</w:t>
      </w:r>
    </w:p>
    <w:p>
      <w:pPr>
        <w:pStyle w:val="TextBody"/>
        <w:bidi w:val="0"/>
        <w:spacing w:before="0" w:after="240"/>
        <w:jc w:val="both"/>
        <w:rPr/>
      </w:pPr>
      <w:r>
        <w:rPr>
          <w:color w:val="000000"/>
        </w:rPr>
        <w:t>“</w:t>
      </w:r>
      <w:r>
        <w:rPr>
          <w:rFonts w:ascii="Times New Roman" w:hAnsi="Times New Roman"/>
          <w:color w:val="000000"/>
          <w:sz w:val="22"/>
          <w:u w:val="single"/>
        </w:rPr>
        <w:t>Consolidated Net Income</w:t>
      </w:r>
      <w:r>
        <w:rPr>
          <w:rFonts w:ascii="Times New Roman" w:hAnsi="Times New Roman"/>
          <w:color w:val="000000"/>
          <w:sz w:val="20"/>
        </w:rPr>
        <w:t xml:space="preserve">” </w:t>
      </w:r>
      <w:r>
        <w:rPr>
          <w:rFonts w:ascii="Times New Roman" w:hAnsi="Times New Roman"/>
          <w:color w:val="000000"/>
          <w:sz w:val="22"/>
        </w:rPr>
        <w:t xml:space="preserve">means, for any period, for the Borrower and its Subsidiaries on a consolidated basis, net income for such period;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Consolidated Net Income shall exclude (a) the net income of any Subsidiary during such period to the extent that the declaration or payment of dividends or similar distributions by such Subsidiary of such income is not permitted by operation of the terms of its Organization Documents or Law applicable to such Subsidiary during such period, except that the Borrower’s equity in any net loss of any such Subsidiary for such period shall be included in determining Consolidated Net Income and (b) any income (or loss) for such period of any Person if such Person is not a Subsidiary, except to the extent that such income (or loss) for such period would be included in Consolidated Net Income of the Borrower and its Subsidiaries when calculating Consolidated Net Income in accordance with GAAP.</w:t>
      </w:r>
    </w:p>
    <w:p>
      <w:pPr>
        <w:pStyle w:val="TextBody"/>
        <w:bidi w:val="0"/>
        <w:spacing w:before="0" w:after="240"/>
        <w:jc w:val="both"/>
        <w:rPr/>
      </w:pPr>
      <w:r>
        <w:rPr>
          <w:color w:val="000000"/>
        </w:rPr>
        <w:t>“</w:t>
      </w:r>
      <w:r>
        <w:rPr>
          <w:rFonts w:ascii="Times New Roman" w:hAnsi="Times New Roman"/>
          <w:color w:val="000000"/>
          <w:sz w:val="22"/>
          <w:u w:val="single"/>
        </w:rPr>
        <w:t>Consolidated Secured Indebtedness</w:t>
      </w:r>
      <w:r>
        <w:rPr>
          <w:rFonts w:ascii="Times New Roman" w:hAnsi="Times New Roman"/>
          <w:color w:val="000000"/>
          <w:sz w:val="20"/>
        </w:rPr>
        <w:t xml:space="preserve">” </w:t>
      </w:r>
      <w:r>
        <w:rPr>
          <w:rFonts w:ascii="Times New Roman" w:hAnsi="Times New Roman"/>
          <w:color w:val="000000"/>
          <w:sz w:val="22"/>
        </w:rPr>
        <w:t>means, as of any date of determination, Consolidated Funded Indebtedness of the Borrower and its Subsidiaries that is secured by a Lien on the properties or assets of the Borrower and/or one of more of its Subsidiaries.</w:t>
      </w:r>
    </w:p>
    <w:p>
      <w:pPr>
        <w:pStyle w:val="TextBody"/>
        <w:bidi w:val="0"/>
        <w:spacing w:before="0" w:after="240"/>
        <w:jc w:val="both"/>
        <w:rPr/>
      </w:pPr>
      <w:r>
        <w:rPr>
          <w:color w:val="000000"/>
        </w:rPr>
        <w:t>“</w:t>
      </w:r>
      <w:r>
        <w:rPr>
          <w:rFonts w:ascii="Times New Roman" w:hAnsi="Times New Roman"/>
          <w:color w:val="000000"/>
          <w:sz w:val="22"/>
          <w:u w:val="single"/>
        </w:rPr>
        <w:t>Consolidated Secured Leverage Ratio</w:t>
      </w:r>
      <w:r>
        <w:rPr>
          <w:rFonts w:ascii="Times New Roman" w:hAnsi="Times New Roman"/>
          <w:color w:val="000000"/>
          <w:sz w:val="20"/>
        </w:rPr>
        <w:t xml:space="preserve">” </w:t>
      </w:r>
      <w:r>
        <w:rPr>
          <w:rFonts w:ascii="Times New Roman" w:hAnsi="Times New Roman"/>
          <w:color w:val="000000"/>
          <w:sz w:val="22"/>
        </w:rPr>
        <w:t xml:space="preserve">means, as of any date of determination, the ratio of (a) Consolidated Secured Indebtedness as of such date </w:t>
      </w:r>
      <w:r>
        <w:rPr>
          <w:rFonts w:ascii="Times New Roman" w:hAnsi="Times New Roman"/>
          <w:color w:val="000000"/>
          <w:sz w:val="22"/>
          <w:u w:val="single"/>
        </w:rPr>
        <w:t>to</w:t>
      </w:r>
      <w:r>
        <w:rPr>
          <w:rFonts w:ascii="Times New Roman" w:hAnsi="Times New Roman"/>
          <w:color w:val="000000"/>
          <w:sz w:val="20"/>
        </w:rPr>
        <w:t xml:space="preserve"> </w:t>
      </w:r>
      <w:r>
        <w:rPr>
          <w:rFonts w:ascii="Times New Roman" w:hAnsi="Times New Roman"/>
          <w:color w:val="000000"/>
          <w:sz w:val="22"/>
        </w:rPr>
        <w:t>(b) Consolidated EBITDA for the period of the four fiscal quarters of the Borrower most recently ended.</w:t>
      </w:r>
    </w:p>
    <w:p>
      <w:pPr>
        <w:pStyle w:val="TextBody"/>
        <w:bidi w:val="0"/>
        <w:spacing w:before="0" w:after="240"/>
        <w:jc w:val="both"/>
        <w:rPr/>
      </w:pPr>
      <w:r>
        <w:rPr>
          <w:color w:val="000000"/>
        </w:rPr>
        <w:t>“</w:t>
      </w:r>
      <w:r>
        <w:rPr>
          <w:rFonts w:ascii="Times New Roman" w:hAnsi="Times New Roman"/>
          <w:color w:val="000000"/>
          <w:sz w:val="22"/>
          <w:u w:val="single"/>
        </w:rPr>
        <w:t>Consolidated Net Tangible Assets</w:t>
      </w:r>
      <w:r>
        <w:rPr>
          <w:rFonts w:ascii="Times New Roman" w:hAnsi="Times New Roman"/>
          <w:color w:val="000000"/>
          <w:sz w:val="20"/>
        </w:rPr>
        <w:t xml:space="preserve">” </w:t>
      </w:r>
      <w:r>
        <w:rPr>
          <w:rFonts w:ascii="Times New Roman" w:hAnsi="Times New Roman"/>
          <w:color w:val="000000"/>
          <w:sz w:val="22"/>
        </w:rPr>
        <w:t>means, as of any date of determination, for the Borrower and its Subsidiaries on a consolidated basis, Consolidated Total Assets, after deducting therefrom (a) to the extent included therein, all goodwill, unamortized debt discount and expense and any amounts classified under net intangible assets under GAAP and (b) all current liabilities (other than current maturities of long-term Indebtedness), all as set forth on the books and records of the Borrower and its consolidated Subsidiaries and determined in accordance with GAAP.</w:t>
      </w:r>
    </w:p>
    <w:p>
      <w:pPr>
        <w:pStyle w:val="TextBody"/>
        <w:bidi w:val="0"/>
        <w:spacing w:before="0" w:after="240"/>
        <w:jc w:val="both"/>
        <w:rPr/>
      </w:pPr>
      <w:r>
        <w:rPr>
          <w:color w:val="000000"/>
        </w:rPr>
        <w:t>“</w:t>
      </w:r>
      <w:r>
        <w:rPr>
          <w:rFonts w:ascii="Times New Roman" w:hAnsi="Times New Roman"/>
          <w:color w:val="000000"/>
          <w:sz w:val="22"/>
          <w:u w:val="single"/>
        </w:rPr>
        <w:t>Consolidated Total Assets</w:t>
      </w:r>
      <w:r>
        <w:rPr>
          <w:rFonts w:ascii="Times New Roman" w:hAnsi="Times New Roman"/>
          <w:color w:val="000000"/>
          <w:sz w:val="20"/>
        </w:rPr>
        <w:t xml:space="preserve">” </w:t>
      </w:r>
      <w:r>
        <w:rPr>
          <w:rFonts w:ascii="Times New Roman" w:hAnsi="Times New Roman"/>
          <w:color w:val="000000"/>
          <w:sz w:val="22"/>
        </w:rPr>
        <w:t xml:space="preserve">means, as of any date of determination, for the Borrower and its Subsidiaries on a consolidated basis, the total assets of the Borrower and its Subsidiaries as of such date as set forth on the most recent financial statements delivered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(or, prior to the first such delivery, the financial statements for the fiscal year ended September 30, 2025).</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Contractual Obligation</w:t>
      </w:r>
      <w:r>
        <w:rPr>
          <w:rFonts w:ascii="Times New Roman" w:hAnsi="Times New Roman"/>
          <w:color w:val="000000"/>
          <w:sz w:val="20"/>
        </w:rPr>
        <w:t xml:space="preserve">” </w:t>
      </w:r>
      <w:r>
        <w:rPr>
          <w:rFonts w:ascii="Times New Roman" w:hAnsi="Times New Roman"/>
          <w:color w:val="000000"/>
          <w:sz w:val="22"/>
        </w:rPr>
        <w:t>means, as to any Person, any provision of any security issued by such Person or of any agreement, instrument or other undertaking to which such Person is a party or by which it or any of its property is bound.</w:t>
      </w:r>
    </w:p>
    <w:p>
      <w:pPr>
        <w:pStyle w:val="TextBody"/>
        <w:bidi w:val="0"/>
        <w:spacing w:before="0" w:after="240"/>
        <w:jc w:val="both"/>
        <w:rPr/>
      </w:pPr>
      <w:r>
        <w:rPr>
          <w:color w:val="000000"/>
        </w:rPr>
        <w:t>“</w:t>
      </w:r>
      <w:r>
        <w:rPr>
          <w:rFonts w:ascii="Times New Roman" w:hAnsi="Times New Roman"/>
          <w:color w:val="000000"/>
          <w:sz w:val="22"/>
          <w:u w:val="single"/>
        </w:rPr>
        <w:t>Control</w:t>
      </w:r>
      <w:r>
        <w:rPr>
          <w:rFonts w:ascii="Times New Roman" w:hAnsi="Times New Roman"/>
          <w:color w:val="000000"/>
          <w:sz w:val="20"/>
        </w:rPr>
        <w:t xml:space="preserve">” </w:t>
      </w:r>
      <w:r>
        <w:rPr>
          <w:rFonts w:ascii="Times New Roman" w:hAnsi="Times New Roman"/>
          <w:color w:val="000000"/>
          <w:sz w:val="22"/>
        </w:rPr>
        <w:t>means the possession, directly or indirectly, of the power to direct or cause the direction of the management or policies of a Person, whether through the ability to exercise voting power, by contract or otherwise. “</w:t>
      </w:r>
      <w:r>
        <w:rPr>
          <w:rFonts w:ascii="Times New Roman" w:hAnsi="Times New Roman"/>
          <w:color w:val="000000"/>
          <w:sz w:val="22"/>
          <w:u w:val="single"/>
        </w:rPr>
        <w:t>Controlling</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Controlled</w:t>
      </w:r>
      <w:r>
        <w:rPr>
          <w:rFonts w:ascii="Times New Roman" w:hAnsi="Times New Roman"/>
          <w:color w:val="000000"/>
          <w:sz w:val="20"/>
        </w:rPr>
        <w:t xml:space="preserve">” </w:t>
      </w:r>
      <w:r>
        <w:rPr>
          <w:rFonts w:ascii="Times New Roman" w:hAnsi="Times New Roman"/>
          <w:color w:val="000000"/>
          <w:sz w:val="22"/>
        </w:rPr>
        <w:t>have meanings correlative thereto.</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Covered Entity</w:t>
      </w:r>
      <w:r>
        <w:rPr>
          <w:rFonts w:ascii="Times New Roman" w:hAnsi="Times New Roman"/>
          <w:color w:val="000000"/>
          <w:sz w:val="20"/>
        </w:rPr>
        <w:t xml:space="preserve">” </w:t>
      </w:r>
      <w:r>
        <w:rPr>
          <w:rFonts w:ascii="Times New Roman" w:hAnsi="Times New Roman"/>
          <w:color w:val="000000"/>
          <w:sz w:val="22"/>
        </w:rPr>
        <w:t>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pStyle w:val="TextBody"/>
        <w:bidi w:val="0"/>
        <w:spacing w:before="0" w:after="240"/>
        <w:jc w:val="both"/>
        <w:rPr/>
      </w:pPr>
      <w:r>
        <w:rPr>
          <w:color w:val="000000"/>
        </w:rPr>
        <w:t>“</w:t>
      </w:r>
      <w:r>
        <w:rPr>
          <w:rFonts w:ascii="Times New Roman" w:hAnsi="Times New Roman"/>
          <w:color w:val="000000"/>
          <w:sz w:val="22"/>
          <w:u w:val="single"/>
        </w:rPr>
        <w:t>Covered Party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11.25</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Credit Extension</w:t>
      </w:r>
      <w:r>
        <w:rPr>
          <w:rFonts w:ascii="Times New Roman" w:hAnsi="Times New Roman"/>
          <w:color w:val="000000"/>
          <w:sz w:val="20"/>
        </w:rPr>
        <w:t xml:space="preserve">” </w:t>
      </w:r>
      <w:r>
        <w:rPr>
          <w:rFonts w:ascii="Times New Roman" w:hAnsi="Times New Roman"/>
          <w:color w:val="000000"/>
          <w:sz w:val="22"/>
        </w:rPr>
        <w:t>means each of the following: (a) a Borrowing; and (b) an L/C Credit Extension.</w:t>
      </w:r>
    </w:p>
    <w:p>
      <w:pPr>
        <w:pStyle w:val="TextBody"/>
        <w:bidi w:val="0"/>
        <w:spacing w:before="0" w:after="240"/>
        <w:jc w:val="both"/>
        <w:rPr/>
      </w:pPr>
      <w:r>
        <w:rPr>
          <w:color w:val="000000"/>
        </w:rPr>
        <w:t>“</w:t>
      </w:r>
      <w:r>
        <w:rPr>
          <w:rFonts w:ascii="Times New Roman" w:hAnsi="Times New Roman"/>
          <w:color w:val="000000"/>
          <w:sz w:val="22"/>
          <w:u w:val="single"/>
        </w:rPr>
        <w:t>Daily Simple SOFR</w:t>
      </w:r>
      <w:r>
        <w:rPr>
          <w:rFonts w:ascii="Times New Roman" w:hAnsi="Times New Roman"/>
          <w:color w:val="000000"/>
          <w:sz w:val="20"/>
        </w:rPr>
        <w:t xml:space="preserve">” </w:t>
      </w:r>
      <w:r>
        <w:rPr>
          <w:rFonts w:ascii="Times New Roman" w:hAnsi="Times New Roman"/>
          <w:color w:val="000000"/>
          <w:sz w:val="22"/>
        </w:rPr>
        <w:t>means, with respect to any applicable determination date, SOFR published on such date on the Federal Reserve Bank of New York’s website (or any successor source).</w:t>
      </w:r>
    </w:p>
    <w:p>
      <w:pPr>
        <w:pStyle w:val="TextBody"/>
        <w:bidi w:val="0"/>
        <w:spacing w:before="0" w:after="240"/>
        <w:jc w:val="both"/>
        <w:rPr/>
      </w:pPr>
      <w:r>
        <w:rPr>
          <w:color w:val="000000"/>
        </w:rPr>
        <w:t>“</w:t>
      </w:r>
      <w:r>
        <w:rPr>
          <w:rFonts w:ascii="Times New Roman" w:hAnsi="Times New Roman"/>
          <w:color w:val="000000"/>
          <w:sz w:val="22"/>
          <w:u w:val="single"/>
        </w:rPr>
        <w:t>Debt Issuance</w:t>
      </w:r>
      <w:r>
        <w:rPr>
          <w:rFonts w:ascii="Times New Roman" w:hAnsi="Times New Roman"/>
          <w:color w:val="000000"/>
          <w:sz w:val="20"/>
        </w:rPr>
        <w:t xml:space="preserve">” </w:t>
      </w:r>
      <w:r>
        <w:rPr>
          <w:rFonts w:ascii="Times New Roman" w:hAnsi="Times New Roman"/>
          <w:color w:val="000000"/>
          <w:sz w:val="22"/>
        </w:rPr>
        <w:t xml:space="preserve">means the issuance by a Loan Party of any Indebtedness other than Indebtedness permitted under </w:t>
      </w:r>
      <w:r>
        <w:rPr>
          <w:rFonts w:ascii="Times New Roman" w:hAnsi="Times New Roman"/>
          <w:color w:val="000000"/>
          <w:sz w:val="22"/>
          <w:u w:val="single"/>
        </w:rPr>
        <w:t>Section 8.03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Debtor Relief Laws</w:t>
      </w:r>
      <w:r>
        <w:rPr>
          <w:rFonts w:ascii="Times New Roman" w:hAnsi="Times New Roman"/>
          <w:color w:val="000000"/>
          <w:sz w:val="20"/>
        </w:rPr>
        <w:t xml:space="preserve">” </w:t>
      </w:r>
      <w:r>
        <w:rPr>
          <w:rFonts w:ascii="Times New Roman" w:hAnsi="Times New Roman"/>
          <w:color w:val="000000"/>
          <w:sz w:val="22"/>
        </w:rPr>
        <w:t>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240"/>
        <w:jc w:val="both"/>
        <w:rPr/>
      </w:pPr>
      <w:r>
        <w:rPr>
          <w:color w:val="000000"/>
        </w:rPr>
        <w:t>“</w:t>
      </w:r>
      <w:r>
        <w:rPr>
          <w:rFonts w:ascii="Times New Roman" w:hAnsi="Times New Roman"/>
          <w:color w:val="000000"/>
          <w:sz w:val="22"/>
          <w:u w:val="single"/>
        </w:rPr>
        <w:t>Default</w:t>
      </w:r>
      <w:r>
        <w:rPr>
          <w:rFonts w:ascii="Times New Roman" w:hAnsi="Times New Roman"/>
          <w:color w:val="000000"/>
          <w:sz w:val="20"/>
        </w:rPr>
        <w:t xml:space="preserve">” </w:t>
      </w:r>
      <w:r>
        <w:rPr>
          <w:rFonts w:ascii="Times New Roman" w:hAnsi="Times New Roman"/>
          <w:color w:val="000000"/>
          <w:sz w:val="22"/>
        </w:rPr>
        <w:t>means any event or condition that constitutes an Event of Default or that, with the giving of any notice, the passage of time, or both, would be an Event of Default.</w:t>
      </w:r>
    </w:p>
    <w:p>
      <w:pPr>
        <w:pStyle w:val="TextBody"/>
        <w:bidi w:val="0"/>
        <w:spacing w:before="0" w:after="240"/>
        <w:jc w:val="both"/>
        <w:rPr/>
      </w:pPr>
      <w:r>
        <w:rPr>
          <w:color w:val="000000"/>
        </w:rPr>
        <w:t>“</w:t>
      </w:r>
      <w:r>
        <w:rPr>
          <w:rFonts w:ascii="Times New Roman" w:hAnsi="Times New Roman"/>
          <w:color w:val="000000"/>
          <w:sz w:val="22"/>
          <w:u w:val="single"/>
        </w:rPr>
        <w:t>Default Rate</w:t>
      </w:r>
      <w:r>
        <w:rPr>
          <w:rFonts w:ascii="Times New Roman" w:hAnsi="Times New Roman"/>
          <w:color w:val="000000"/>
          <w:sz w:val="20"/>
        </w:rPr>
        <w:t xml:space="preserve">” </w:t>
      </w:r>
      <w:r>
        <w:rPr>
          <w:rFonts w:ascii="Times New Roman" w:hAnsi="Times New Roman"/>
          <w:color w:val="000000"/>
          <w:sz w:val="22"/>
        </w:rPr>
        <w:t xml:space="preserve">means: (a) when used with respect to Obligations other than Letter of Credit Fees, an interest rate equal to (i) the Base Rate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(ii) the Applicable Rate, if any, applicable to Base Rate Loans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(iii) 2% per annum; </w:t>
      </w:r>
      <w:r>
        <w:rPr>
          <w:rFonts w:ascii="Times New Roman" w:hAnsi="Times New Roman"/>
          <w:color w:val="000000"/>
          <w:sz w:val="22"/>
          <w:u w:val="single"/>
        </w:rPr>
        <w:t>provided</w:t>
      </w:r>
      <w:r>
        <w:rPr>
          <w:rFonts w:ascii="Times New Roman" w:hAnsi="Times New Roman"/>
          <w:color w:val="000000"/>
          <w:sz w:val="22"/>
        </w:rPr>
        <w:t>, that, with respect to a Term SOFR Loan, the Default Rate shall be an interest rate equal to the interest rate (including any Applicable Rate) otherwise applicable to such Loan plus 2% per annum; and (b) when used with respect to Letter of Credit Fees, a rate equal to the Applicable Rate for Revolving Loans that are Term SOFR Loans plus 2% per annum.</w:t>
      </w:r>
    </w:p>
    <w:p>
      <w:pPr>
        <w:pStyle w:val="TextBody"/>
        <w:bidi w:val="0"/>
        <w:spacing w:before="0" w:after="240"/>
        <w:jc w:val="both"/>
        <w:rPr/>
      </w:pPr>
      <w:r>
        <w:rPr>
          <w:color w:val="000000"/>
        </w:rPr>
        <w:t>“</w:t>
      </w:r>
      <w:r>
        <w:rPr>
          <w:rFonts w:ascii="Times New Roman" w:hAnsi="Times New Roman"/>
          <w:color w:val="000000"/>
          <w:sz w:val="22"/>
          <w:u w:val="single"/>
        </w:rPr>
        <w:t>Default Right</w:t>
      </w:r>
      <w:r>
        <w:rPr>
          <w:rFonts w:ascii="Times New Roman" w:hAnsi="Times New Roman"/>
          <w:color w:val="000000"/>
          <w:sz w:val="20"/>
        </w:rPr>
        <w:t xml:space="preserve">” </w:t>
      </w:r>
      <w:r>
        <w:rPr>
          <w:rFonts w:ascii="Times New Roman" w:hAnsi="Times New Roman"/>
          <w:color w:val="000000"/>
          <w:sz w:val="22"/>
        </w:rPr>
        <w:t>has the meaning assigned to that term in, and shall be interpreted in accordance with, 12 C.F.R. §§ 252.81, 47.2 or 382.1, as applicable.</w:t>
      </w:r>
    </w:p>
    <w:p>
      <w:pPr>
        <w:pStyle w:val="TextBody"/>
        <w:bidi w:val="0"/>
        <w:spacing w:before="0" w:after="240"/>
        <w:jc w:val="both"/>
        <w:rPr/>
      </w:pPr>
      <w:r>
        <w:rPr>
          <w:color w:val="000000"/>
        </w:rPr>
        <w:t>“</w:t>
      </w:r>
      <w:r>
        <w:rPr>
          <w:rFonts w:ascii="Times New Roman" w:hAnsi="Times New Roman"/>
          <w:color w:val="000000"/>
          <w:sz w:val="22"/>
          <w:u w:val="single"/>
        </w:rPr>
        <w:t>Defaulting Lender</w:t>
      </w:r>
      <w:r>
        <w:rPr>
          <w:rFonts w:ascii="Times New Roman" w:hAnsi="Times New Roman"/>
          <w:color w:val="000000"/>
          <w:sz w:val="20"/>
        </w:rPr>
        <w:t xml:space="preserve">” </w:t>
      </w:r>
      <w:r>
        <w:rPr>
          <w:rFonts w:ascii="Times New Roman" w:hAnsi="Times New Roman"/>
          <w:color w:val="000000"/>
          <w:sz w:val="22"/>
        </w:rPr>
        <w:t xml:space="preserve">means, subject to </w:t>
      </w:r>
      <w:r>
        <w:rPr>
          <w:rFonts w:ascii="Times New Roman" w:hAnsi="Times New Roman"/>
          <w:color w:val="000000"/>
          <w:sz w:val="22"/>
          <w:u w:val="single"/>
        </w:rPr>
        <w:t>Section 2.15(d)</w:t>
      </w:r>
      <w:r>
        <w:rPr>
          <w:rFonts w:ascii="Times New Roman" w:hAnsi="Times New Roman"/>
          <w:color w:val="000000"/>
          <w:sz w:val="22"/>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or any other Lender any other amount required to be paid by it hereunder (including in respect of its participation in Letters of Credit) within two Business Days of the date when due, (b) has notified the Borrower, the Administrative Agent or any L/C Issuer in writing that it does not intend to comply with its funding obligations hereunder, or has made a public statement to that effect (unless such writing or public statement relates to such Lender’s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Lender shall cease to be a Defaulting Lender pursuant to this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(d)</w:t>
      </w:r>
      <w:r>
        <w:rPr>
          <w:rFonts w:ascii="Times New Roman" w:hAnsi="Times New Roman"/>
          <w:color w:val="000000"/>
          <w:sz w:val="20"/>
        </w:rPr>
        <w:t xml:space="preserve"> </w:t>
      </w:r>
      <w:r>
        <w:rPr>
          <w:rFonts w:ascii="Times New Roman" w:hAnsi="Times New Roman"/>
          <w:color w:val="000000"/>
          <w:sz w:val="22"/>
        </w:rPr>
        <w:t xml:space="preserve">above, and of the effective date of such status, shall be conclusive and binding absent manifest error, and such Lender shall be deemed to be a Defaulting Lender (subject to </w:t>
      </w:r>
      <w:r>
        <w:rPr>
          <w:rFonts w:ascii="Times New Roman" w:hAnsi="Times New Roman"/>
          <w:color w:val="000000"/>
          <w:sz w:val="22"/>
          <w:u w:val="single"/>
        </w:rPr>
        <w:t>Section 2.15(d)</w:t>
      </w:r>
      <w:r>
        <w:rPr>
          <w:rFonts w:ascii="Times New Roman" w:hAnsi="Times New Roman"/>
          <w:color w:val="000000"/>
          <w:sz w:val="22"/>
        </w:rPr>
        <w:t>) as of the date established therefor by the Administrative Agent in a written notice of such determination, which shall be delivered by the Administrative Agent to the Borrower, each L/C Issuer and each other Lender promptly following such determination.</w:t>
      </w:r>
    </w:p>
    <w:p>
      <w:pPr>
        <w:pStyle w:val="TextBody"/>
        <w:bidi w:val="0"/>
        <w:spacing w:before="0" w:after="240"/>
        <w:jc w:val="both"/>
        <w:rPr/>
      </w:pPr>
      <w:r>
        <w:rPr>
          <w:color w:val="000000"/>
        </w:rPr>
        <w:t>“</w:t>
      </w:r>
      <w:r>
        <w:rPr>
          <w:rFonts w:ascii="Times New Roman" w:hAnsi="Times New Roman"/>
          <w:color w:val="000000"/>
          <w:sz w:val="22"/>
          <w:u w:val="single"/>
        </w:rPr>
        <w:t>Designated Jurisdiction</w:t>
      </w:r>
      <w:r>
        <w:rPr>
          <w:rFonts w:ascii="Times New Roman" w:hAnsi="Times New Roman"/>
          <w:color w:val="000000"/>
          <w:sz w:val="20"/>
        </w:rPr>
        <w:t xml:space="preserve">” </w:t>
      </w:r>
      <w:r>
        <w:rPr>
          <w:rFonts w:ascii="Times New Roman" w:hAnsi="Times New Roman"/>
          <w:color w:val="000000"/>
          <w:sz w:val="22"/>
        </w:rPr>
        <w:t>means any country or territory to the extent that such country or territory itself is the subject of any comprehensive embargo or country-wide or territory-wide Sanctions.</w:t>
      </w:r>
    </w:p>
    <w:p>
      <w:pPr>
        <w:pStyle w:val="TextBody"/>
        <w:bidi w:val="0"/>
        <w:spacing w:before="0" w:after="240"/>
        <w:jc w:val="both"/>
        <w:rPr/>
      </w:pPr>
      <w:r>
        <w:rPr>
          <w:color w:val="000000"/>
        </w:rPr>
        <w:t>“</w:t>
      </w:r>
      <w:r>
        <w:rPr>
          <w:rFonts w:ascii="Times New Roman" w:hAnsi="Times New Roman"/>
          <w:color w:val="000000"/>
          <w:sz w:val="22"/>
          <w:u w:val="single"/>
        </w:rPr>
        <w:t>Disposition</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Dispose</w:t>
      </w:r>
      <w:r>
        <w:rPr>
          <w:rFonts w:ascii="Times New Roman" w:hAnsi="Times New Roman"/>
          <w:color w:val="000000"/>
          <w:sz w:val="20"/>
        </w:rPr>
        <w:t xml:space="preserve">” </w:t>
      </w:r>
      <w:r>
        <w:rPr>
          <w:rFonts w:ascii="Times New Roman" w:hAnsi="Times New Roman"/>
          <w:color w:val="000000"/>
          <w:sz w:val="22"/>
        </w:rPr>
        <w:t xml:space="preserve">means the sale, transfer, license, lease or other disposition of any property by the Borrower or any Subsidiary, including any Sale and Leaseback Transaction and any sale, assignment, transfer or other disposal, with or without recourse, of any notes or accounts receivable or any rights and claims associated therewith, but excluding: (a) the disposition of inventory in the ordinary course of business; (b) the disposition of machinery and equipment no longer used or useful in the conduct of business of the Borrower and its Subsidiaries in the ordinary course of business; (c) the disposition of property (including any Collateral) to the Borrower or any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the transferor of such property is a Loan Party then the transferee thereof must be a Loan Party; (d) the disposition of accounts receivable in connection with the collection or compromise thereof; (e) licenses, sublicenses, leases or subleases granted to others (including licenses and sublicenses of IP Rights) and not interfering in any material respect with the business of the Borrower and its Subsidiaries;</w:t>
      </w:r>
      <w:r>
        <w:rPr>
          <w:rFonts w:ascii="Times New Roman" w:hAnsi="Times New Roman"/>
          <w:color w:val="000000"/>
          <w:sz w:val="20"/>
        </w:rPr>
        <w:t xml:space="preserve"> </w:t>
      </w:r>
      <w:r>
        <w:rPr>
          <w:rFonts w:ascii="Times New Roman" w:hAnsi="Times New Roman"/>
          <w:color w:val="000000"/>
          <w:sz w:val="22"/>
        </w:rPr>
        <w:t xml:space="preserve">(f) the sale or disposition of Cash Equivalents for fair market value; (g) any Recovery Event; (h) [reserved]; (i) the sale by the Borrower of any securities and other Investments held from time to time in securities accounts maintained in connection with deferred compensation arrangements pursuant to </w:t>
      </w:r>
      <w:r>
        <w:rPr>
          <w:rFonts w:ascii="Times New Roman" w:hAnsi="Times New Roman"/>
          <w:color w:val="000000"/>
          <w:sz w:val="22"/>
          <w:u w:val="single"/>
        </w:rPr>
        <w:t>Section 8.02(c)</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proceeds of such sale are paid to the beneficiary thereof or designee of such beneficiary or maintained in such securities accounts and reinvested in accordance with the terms of such deferred compensation arrangements; (j) the disposition of Equity Interests of the Borrower; (k) the disposition of real property (i) no longer used or useful in the conduct of business of the Borrower and its Subsidiaries in the ordinary course of business or (ii) that is no longer material to the Borrower and its Subsidiaries, taken as a whole; and (l) to the extent otherwise constituting a Disposition, Restricted Payments permitted under </w:t>
      </w:r>
      <w:r>
        <w:rPr>
          <w:rFonts w:ascii="Times New Roman" w:hAnsi="Times New Roman"/>
          <w:color w:val="000000"/>
          <w:sz w:val="22"/>
          <w:u w:val="single"/>
        </w:rPr>
        <w:t>Section 8.06</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Disqualified Stock</w:t>
      </w:r>
      <w:r>
        <w:rPr>
          <w:rFonts w:ascii="Times New Roman" w:hAnsi="Times New Roman"/>
          <w:color w:val="000000"/>
          <w:sz w:val="20"/>
        </w:rPr>
        <w:t xml:space="preserve">” </w:t>
      </w:r>
      <w:r>
        <w:rPr>
          <w:rFonts w:ascii="Times New Roman" w:hAnsi="Times New Roman"/>
          <w:color w:val="000000"/>
          <w:sz w:val="22"/>
        </w:rPr>
        <w:t>means, with respect to any Person, any Equity Interest of such Person which by its terms (or by the terms of any security into which it is convertible or for which it is exchangeable) or upon the happening of any event: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matures or is mandatorily redeemable pursuant to a sinking fund obligation or otherwise;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is convertible or exchangeable for Indebtedness or Disqualified Stock (excluding Equity Interest which is convertible or exchangeable solely at the option of the Borrower or a Subsidiary);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is redeemable at the option of the holder of the Equity Interest in whole or in part,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 each case on or prior to the date that is 91 days after the then-latest Maturity Date;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only the portion of Equity Interest which so matures or is mandatorily redeemable, is so convertible or exchangeable or is redeemable at the option of the holder thereof prior to such date will be deemed to be Disqualified Stock.</w:t>
      </w:r>
    </w:p>
    <w:p>
      <w:pPr>
        <w:pStyle w:val="TextBody"/>
        <w:bidi w:val="0"/>
        <w:spacing w:before="0" w:after="240"/>
        <w:jc w:val="both"/>
        <w:rPr/>
      </w:pPr>
      <w:r>
        <w:rPr>
          <w:color w:val="000000"/>
        </w:rPr>
        <w:t>“</w:t>
      </w:r>
      <w:r>
        <w:rPr>
          <w:rFonts w:ascii="Times New Roman" w:hAnsi="Times New Roman"/>
          <w:color w:val="000000"/>
          <w:sz w:val="22"/>
          <w:u w:val="single"/>
        </w:rPr>
        <w:t>Dollar</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w:t>
      </w:r>
      <w:r>
        <w:rPr>
          <w:rFonts w:ascii="Times New Roman" w:hAnsi="Times New Roman"/>
          <w:color w:val="000000"/>
          <w:sz w:val="20"/>
        </w:rPr>
        <w:t xml:space="preserve">” </w:t>
      </w:r>
      <w:r>
        <w:rPr>
          <w:rFonts w:ascii="Times New Roman" w:hAnsi="Times New Roman"/>
          <w:color w:val="000000"/>
          <w:sz w:val="22"/>
        </w:rPr>
        <w:t>mean lawful money of the United States.</w:t>
      </w:r>
    </w:p>
    <w:p>
      <w:pPr>
        <w:pStyle w:val="TextBody"/>
        <w:bidi w:val="0"/>
        <w:spacing w:before="0" w:after="240"/>
        <w:jc w:val="both"/>
        <w:rPr/>
      </w:pPr>
      <w:r>
        <w:rPr>
          <w:color w:val="000000"/>
        </w:rPr>
        <w:t>“</w:t>
      </w:r>
      <w:r>
        <w:rPr>
          <w:rFonts w:ascii="Times New Roman" w:hAnsi="Times New Roman"/>
          <w:color w:val="000000"/>
          <w:sz w:val="22"/>
          <w:u w:val="single"/>
        </w:rPr>
        <w:t>Dollar Equivalent</w:t>
      </w:r>
      <w:r>
        <w:rPr>
          <w:rFonts w:ascii="Times New Roman" w:hAnsi="Times New Roman"/>
          <w:color w:val="000000"/>
          <w:sz w:val="20"/>
        </w:rPr>
        <w:t xml:space="preserve">” </w:t>
      </w:r>
      <w:r>
        <w:rPr>
          <w:rFonts w:ascii="Times New Roman" w:hAnsi="Times New Roman"/>
          <w:color w:val="000000"/>
          <w:sz w:val="22"/>
        </w:rPr>
        <w:t>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L/C Issuer,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or the L/C Issuer, as applicable using any method of determination it deems appropriate in its sole discretion) and (c) if such amount is denominated in any other currency, the equivalent of such amount in Dollars as determined by the Administrative Agent or the L/C Issuer, as applicable, using any method of determination it deems appropriate in its sole discretion. Any determination by the Administrative Agent or the applicable L/C Issuer pursuant to clauses (b) or (c) above shall be conclusive absent manifest error.</w:t>
      </w:r>
    </w:p>
    <w:p>
      <w:pPr>
        <w:pStyle w:val="TextBody"/>
        <w:bidi w:val="0"/>
        <w:spacing w:before="0" w:after="240"/>
        <w:jc w:val="both"/>
        <w:rPr/>
      </w:pPr>
      <w:r>
        <w:rPr>
          <w:color w:val="000000"/>
        </w:rPr>
        <w:t>“</w:t>
      </w:r>
      <w:r>
        <w:rPr>
          <w:rFonts w:ascii="Times New Roman" w:hAnsi="Times New Roman"/>
          <w:color w:val="000000"/>
          <w:sz w:val="22"/>
          <w:u w:val="single"/>
        </w:rPr>
        <w:t>Domestic Subsidiary</w:t>
      </w:r>
      <w:r>
        <w:rPr>
          <w:rFonts w:ascii="Times New Roman" w:hAnsi="Times New Roman"/>
          <w:color w:val="000000"/>
          <w:sz w:val="20"/>
        </w:rPr>
        <w:t xml:space="preserve">” </w:t>
      </w:r>
      <w:r>
        <w:rPr>
          <w:rFonts w:ascii="Times New Roman" w:hAnsi="Times New Roman"/>
          <w:color w:val="000000"/>
          <w:sz w:val="22"/>
        </w:rPr>
        <w:t>means any Subsidiary that is organized under the Laws of any state of the United States or the District of Columbia.</w:t>
      </w:r>
    </w:p>
    <w:p>
      <w:pPr>
        <w:pStyle w:val="TextBody"/>
        <w:bidi w:val="0"/>
        <w:spacing w:before="0" w:after="240"/>
        <w:jc w:val="both"/>
        <w:rPr/>
      </w:pPr>
      <w:r>
        <w:rPr>
          <w:color w:val="000000"/>
        </w:rPr>
        <w:t>“</w:t>
      </w:r>
      <w:r>
        <w:rPr>
          <w:rFonts w:ascii="Times New Roman" w:hAnsi="Times New Roman"/>
          <w:color w:val="000000"/>
          <w:sz w:val="22"/>
          <w:u w:val="single"/>
        </w:rPr>
        <w:t>EEA Financial Institution</w:t>
      </w:r>
      <w:r>
        <w:rPr>
          <w:rFonts w:ascii="Times New Roman" w:hAnsi="Times New Roman"/>
          <w:color w:val="000000"/>
          <w:sz w:val="20"/>
        </w:rPr>
        <w:t xml:space="preserve">” </w:t>
      </w:r>
      <w:r>
        <w:rPr>
          <w:rFonts w:ascii="Times New Roman" w:hAnsi="Times New Roman"/>
          <w:color w:val="000000"/>
          <w:sz w:val="22"/>
        </w:rPr>
        <w:t xml:space="preserve">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of this definition, or (c) any financial institution established in an EEA Member Country which is a Subsidiary of an institution described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of this definition and is subject to consolidated supervision with its parent.</w:t>
      </w:r>
    </w:p>
    <w:p>
      <w:pPr>
        <w:pStyle w:val="TextBody"/>
        <w:bidi w:val="0"/>
        <w:spacing w:before="0" w:after="240"/>
        <w:jc w:val="both"/>
        <w:rPr/>
      </w:pPr>
      <w:r>
        <w:rPr>
          <w:color w:val="000000"/>
        </w:rPr>
        <w:t>“</w:t>
      </w:r>
      <w:r>
        <w:rPr>
          <w:rFonts w:ascii="Times New Roman" w:hAnsi="Times New Roman"/>
          <w:color w:val="000000"/>
          <w:sz w:val="22"/>
          <w:u w:val="single"/>
        </w:rPr>
        <w:t>EEA Member Country</w:t>
      </w:r>
      <w:r>
        <w:rPr>
          <w:rFonts w:ascii="Times New Roman" w:hAnsi="Times New Roman"/>
          <w:color w:val="000000"/>
          <w:sz w:val="20"/>
        </w:rPr>
        <w:t xml:space="preserve">” </w:t>
      </w:r>
      <w:r>
        <w:rPr>
          <w:rFonts w:ascii="Times New Roman" w:hAnsi="Times New Roman"/>
          <w:color w:val="000000"/>
          <w:sz w:val="22"/>
        </w:rPr>
        <w:t>means any of the member states of the European Union, Iceland, Liechtenstein, and Norway.</w:t>
      </w:r>
    </w:p>
    <w:p>
      <w:pPr>
        <w:pStyle w:val="TextBody"/>
        <w:bidi w:val="0"/>
        <w:spacing w:before="0" w:after="240"/>
        <w:jc w:val="both"/>
        <w:rPr/>
      </w:pPr>
      <w:r>
        <w:rPr>
          <w:color w:val="000000"/>
        </w:rPr>
        <w:t>“</w:t>
      </w:r>
      <w:r>
        <w:rPr>
          <w:rFonts w:ascii="Times New Roman" w:hAnsi="Times New Roman"/>
          <w:color w:val="000000"/>
          <w:sz w:val="22"/>
          <w:u w:val="single"/>
        </w:rPr>
        <w:t>EEA Resolution Authority</w:t>
      </w:r>
      <w:r>
        <w:rPr>
          <w:rFonts w:ascii="Times New Roman" w:hAnsi="Times New Roman"/>
          <w:color w:val="000000"/>
          <w:sz w:val="20"/>
        </w:rPr>
        <w:t xml:space="preserve">” </w:t>
      </w:r>
      <w:r>
        <w:rPr>
          <w:rFonts w:ascii="Times New Roman" w:hAnsi="Times New Roman"/>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Effective Date</w:t>
      </w:r>
      <w:r>
        <w:rPr>
          <w:rFonts w:ascii="Times New Roman" w:hAnsi="Times New Roman"/>
          <w:color w:val="000000"/>
          <w:sz w:val="20"/>
        </w:rPr>
        <w:t xml:space="preserve">” </w:t>
      </w:r>
      <w:r>
        <w:rPr>
          <w:rFonts w:ascii="Times New Roman" w:hAnsi="Times New Roman"/>
          <w:color w:val="000000"/>
          <w:sz w:val="22"/>
        </w:rPr>
        <w:t>means February 10, 2026.</w:t>
      </w:r>
    </w:p>
    <w:p>
      <w:pPr>
        <w:pStyle w:val="TextBody"/>
        <w:bidi w:val="0"/>
        <w:spacing w:before="0" w:after="240"/>
        <w:jc w:val="both"/>
        <w:rPr/>
      </w:pPr>
      <w:r>
        <w:rPr>
          <w:color w:val="000000"/>
        </w:rPr>
        <w:t>“</w:t>
      </w:r>
      <w:r>
        <w:rPr>
          <w:rFonts w:ascii="Times New Roman" w:hAnsi="Times New Roman"/>
          <w:color w:val="000000"/>
          <w:sz w:val="22"/>
          <w:u w:val="single"/>
        </w:rPr>
        <w:t>Electronic Copy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11.17</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Electronic Record</w:t>
      </w:r>
      <w:r>
        <w:rPr>
          <w:rFonts w:ascii="Times New Roman" w:hAnsi="Times New Roman"/>
          <w:color w:val="000000"/>
          <w:sz w:val="20"/>
        </w:rPr>
        <w:t xml:space="preserve">” </w:t>
      </w:r>
      <w:r>
        <w:rPr>
          <w:rFonts w:ascii="Times New Roman" w:hAnsi="Times New Roman"/>
          <w:color w:val="000000"/>
          <w:sz w:val="22"/>
        </w:rPr>
        <w:t>has the meaning assigned to such term in 15 U.S.C. §7006.</w:t>
      </w:r>
    </w:p>
    <w:p>
      <w:pPr>
        <w:pStyle w:val="TextBody"/>
        <w:bidi w:val="0"/>
        <w:spacing w:before="0" w:after="240"/>
        <w:jc w:val="both"/>
        <w:rPr/>
      </w:pPr>
      <w:r>
        <w:rPr>
          <w:color w:val="000000"/>
        </w:rPr>
        <w:t>“</w:t>
      </w:r>
      <w:r>
        <w:rPr>
          <w:rFonts w:ascii="Times New Roman" w:hAnsi="Times New Roman"/>
          <w:color w:val="000000"/>
          <w:sz w:val="22"/>
          <w:u w:val="single"/>
        </w:rPr>
        <w:t>Electronic Signature</w:t>
      </w:r>
      <w:r>
        <w:rPr>
          <w:rFonts w:ascii="Times New Roman" w:hAnsi="Times New Roman"/>
          <w:color w:val="000000"/>
          <w:sz w:val="20"/>
        </w:rPr>
        <w:t xml:space="preserve">” </w:t>
      </w:r>
      <w:r>
        <w:rPr>
          <w:rFonts w:ascii="Times New Roman" w:hAnsi="Times New Roman"/>
          <w:color w:val="000000"/>
          <w:sz w:val="22"/>
        </w:rPr>
        <w:t>has the meaning assigned to such term in 15 U.S.C. §7006.</w:t>
      </w:r>
    </w:p>
    <w:p>
      <w:pPr>
        <w:pStyle w:val="TextBody"/>
        <w:bidi w:val="0"/>
        <w:spacing w:before="0" w:after="240"/>
        <w:jc w:val="both"/>
        <w:rPr/>
      </w:pPr>
      <w:r>
        <w:rPr>
          <w:color w:val="000000"/>
        </w:rPr>
        <w:t>“</w:t>
      </w:r>
      <w:r>
        <w:rPr>
          <w:rFonts w:ascii="Times New Roman" w:hAnsi="Times New Roman"/>
          <w:color w:val="000000"/>
          <w:sz w:val="22"/>
          <w:u w:val="single"/>
        </w:rPr>
        <w:t>Eligible Assignee</w:t>
      </w:r>
      <w:r>
        <w:rPr>
          <w:rFonts w:ascii="Times New Roman" w:hAnsi="Times New Roman"/>
          <w:color w:val="000000"/>
          <w:sz w:val="20"/>
        </w:rPr>
        <w:t xml:space="preserve">” </w:t>
      </w:r>
      <w:r>
        <w:rPr>
          <w:rFonts w:ascii="Times New Roman" w:hAnsi="Times New Roman"/>
          <w:color w:val="000000"/>
          <w:sz w:val="22"/>
        </w:rPr>
        <w:t xml:space="preserve">means any Person that meets the requirements to be an assignee under </w:t>
      </w:r>
      <w:r>
        <w:rPr>
          <w:rFonts w:ascii="Times New Roman" w:hAnsi="Times New Roman"/>
          <w:color w:val="000000"/>
          <w:sz w:val="22"/>
          <w:u w:val="single"/>
        </w:rPr>
        <w:t>Sections 11.06(b)(iii)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(v)</w:t>
      </w:r>
      <w:r>
        <w:rPr>
          <w:rFonts w:ascii="Times New Roman" w:hAnsi="Times New Roman"/>
          <w:color w:val="000000"/>
          <w:sz w:val="20"/>
        </w:rPr>
        <w:t xml:space="preserve"> </w:t>
      </w:r>
      <w:r>
        <w:rPr>
          <w:rFonts w:ascii="Times New Roman" w:hAnsi="Times New Roman"/>
          <w:color w:val="000000"/>
          <w:sz w:val="22"/>
        </w:rPr>
        <w:t xml:space="preserve">(subject to such consents, if any, as may be required under </w:t>
      </w:r>
      <w:r>
        <w:rPr>
          <w:rFonts w:ascii="Times New Roman" w:hAnsi="Times New Roman"/>
          <w:color w:val="000000"/>
          <w:sz w:val="22"/>
          <w:u w:val="single"/>
        </w:rPr>
        <w:t>Section 11.06(b)(iii)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Eligible Currency</w:t>
      </w:r>
      <w:r>
        <w:rPr>
          <w:rFonts w:ascii="Times New Roman" w:hAnsi="Times New Roman"/>
          <w:color w:val="000000"/>
          <w:sz w:val="20"/>
        </w:rPr>
        <w:t xml:space="preserve">” </w:t>
      </w:r>
      <w:r>
        <w:rPr>
          <w:rFonts w:ascii="Times New Roman" w:hAnsi="Times New Roman"/>
          <w:color w:val="000000"/>
          <w:sz w:val="22"/>
        </w:rPr>
        <w:t>means any lawful currency other than Dollars that is readily available, freely transferable and convertible into Dollars in the international interbank market available to the Lenders in such market and as to which a Dollar Equivalent may be readily calculated. If, after the designation by the Lenders of any currency as an Alternative Currency, any change in currency controls or exchange regulations or any change in the national or international financial, political or economic conditions are imposed in the country in which such currency is issued, result in, in the reasonable opinion of an L/C Issuer (in the case of any Letter of Credit to be denominated in an Alternative Currency), (a) such currency no longer being readily available, freely transferable and convertible into Dollars, (b) a Dollar Equivalent is no longer readily calculable with respect to such currency or (c) providing such currency is impracticable for such L/C Issuer (each of clauses (a), (b) and (c), a “</w:t>
      </w:r>
      <w:r>
        <w:rPr>
          <w:rFonts w:ascii="Times New Roman" w:hAnsi="Times New Roman"/>
          <w:color w:val="000000"/>
          <w:sz w:val="22"/>
          <w:u w:val="single"/>
        </w:rPr>
        <w:t>Disqualifying Event</w:t>
      </w:r>
      <w:r>
        <w:rPr>
          <w:rFonts w:ascii="Times New Roman" w:hAnsi="Times New Roman"/>
          <w:color w:val="000000"/>
          <w:sz w:val="20"/>
        </w:rPr>
        <w:t>”</w:t>
      </w:r>
      <w:r>
        <w:rPr>
          <w:rFonts w:ascii="Times New Roman" w:hAnsi="Times New Roman"/>
          <w:color w:val="000000"/>
          <w:sz w:val="22"/>
        </w:rPr>
        <w:t>) and such L/C Issuer has notified the Administrative Agent of such Disqualifying Event, then the Administrative Agent shall promptly notify the Lenders and the Borrower, and such country’s currency shall no longer be an Alternative Currency until such time as the Disqualifying Event(s) no longer exist.</w:t>
      </w:r>
    </w:p>
    <w:p>
      <w:pPr>
        <w:pStyle w:val="TextBody"/>
        <w:bidi w:val="0"/>
        <w:spacing w:before="0" w:after="240"/>
        <w:jc w:val="both"/>
        <w:rPr/>
      </w:pPr>
      <w:r>
        <w:rPr>
          <w:color w:val="000000"/>
        </w:rPr>
        <w:t>“</w:t>
      </w:r>
      <w:r>
        <w:rPr>
          <w:rFonts w:ascii="Times New Roman" w:hAnsi="Times New Roman"/>
          <w:color w:val="000000"/>
          <w:sz w:val="22"/>
          <w:u w:val="single"/>
        </w:rPr>
        <w:t>Environmental Laws</w:t>
      </w:r>
      <w:r>
        <w:rPr>
          <w:rFonts w:ascii="Times New Roman" w:hAnsi="Times New Roman"/>
          <w:color w:val="000000"/>
          <w:sz w:val="20"/>
        </w:rPr>
        <w:t xml:space="preserve">” </w:t>
      </w:r>
      <w:r>
        <w:rPr>
          <w:rFonts w:ascii="Times New Roman" w:hAnsi="Times New Roman"/>
          <w:color w:val="000000"/>
          <w:sz w:val="22"/>
        </w:rPr>
        <w:t>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pStyle w:val="TextBody"/>
        <w:bidi w:val="0"/>
        <w:spacing w:before="0" w:after="240"/>
        <w:jc w:val="both"/>
        <w:rPr/>
      </w:pPr>
      <w:r>
        <w:rPr>
          <w:color w:val="000000"/>
        </w:rPr>
        <w:t>“</w:t>
      </w:r>
      <w:r>
        <w:rPr>
          <w:rFonts w:ascii="Times New Roman" w:hAnsi="Times New Roman"/>
          <w:color w:val="000000"/>
          <w:sz w:val="22"/>
          <w:u w:val="single"/>
        </w:rPr>
        <w:t>Environmental Liability</w:t>
      </w:r>
      <w:r>
        <w:rPr>
          <w:rFonts w:ascii="Times New Roman" w:hAnsi="Times New Roman"/>
          <w:color w:val="000000"/>
          <w:sz w:val="20"/>
        </w:rPr>
        <w:t xml:space="preserve">” </w:t>
      </w:r>
      <w:r>
        <w:rPr>
          <w:rFonts w:ascii="Times New Roman" w:hAnsi="Times New Roman"/>
          <w:color w:val="000000"/>
          <w:sz w:val="22"/>
        </w:rPr>
        <w:t>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0" w:after="240"/>
        <w:jc w:val="both"/>
        <w:rPr/>
      </w:pPr>
      <w:r>
        <w:rPr>
          <w:color w:val="000000"/>
        </w:rPr>
        <w:t>“</w:t>
      </w:r>
      <w:r>
        <w:rPr>
          <w:rFonts w:ascii="Times New Roman" w:hAnsi="Times New Roman"/>
          <w:color w:val="000000"/>
          <w:sz w:val="22"/>
          <w:u w:val="single"/>
        </w:rPr>
        <w:t>Equity Interests</w:t>
      </w:r>
      <w:r>
        <w:rPr>
          <w:rFonts w:ascii="Times New Roman" w:hAnsi="Times New Roman"/>
          <w:color w:val="000000"/>
          <w:sz w:val="20"/>
        </w:rPr>
        <w:t xml:space="preserve">” </w:t>
      </w:r>
      <w:r>
        <w:rPr>
          <w:rFonts w:ascii="Times New Roman" w:hAnsi="Times New Roman"/>
          <w:color w:val="000000"/>
          <w:sz w:val="22"/>
        </w:rPr>
        <w:t xml:space="preserve">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Times New Roman" w:hAnsi="Times New Roman"/>
          <w:color w:val="000000"/>
          <w:sz w:val="22"/>
          <w:u w:val="single"/>
        </w:rPr>
        <w:t>provided</w:t>
      </w:r>
      <w:r>
        <w:rPr>
          <w:rFonts w:ascii="Times New Roman" w:hAnsi="Times New Roman"/>
          <w:color w:val="000000"/>
          <w:sz w:val="22"/>
        </w:rPr>
        <w:t>, that Permitted Convertible Indebtedness does not constitute Equity Interests in the Company.</w:t>
      </w:r>
    </w:p>
    <w:p>
      <w:pPr>
        <w:pStyle w:val="TextBody"/>
        <w:bidi w:val="0"/>
        <w:spacing w:before="0" w:after="240"/>
        <w:jc w:val="both"/>
        <w:rPr/>
      </w:pPr>
      <w:r>
        <w:rPr>
          <w:color w:val="000000"/>
        </w:rPr>
        <w:t>“</w:t>
      </w:r>
      <w:r>
        <w:rPr>
          <w:rFonts w:ascii="Times New Roman" w:hAnsi="Times New Roman"/>
          <w:color w:val="000000"/>
          <w:sz w:val="22"/>
          <w:u w:val="single"/>
        </w:rPr>
        <w:t>ERISA</w:t>
      </w:r>
      <w:r>
        <w:rPr>
          <w:rFonts w:ascii="Times New Roman" w:hAnsi="Times New Roman"/>
          <w:color w:val="000000"/>
          <w:sz w:val="20"/>
        </w:rPr>
        <w:t xml:space="preserve">” </w:t>
      </w:r>
      <w:r>
        <w:rPr>
          <w:rFonts w:ascii="Times New Roman" w:hAnsi="Times New Roman"/>
          <w:color w:val="000000"/>
          <w:sz w:val="22"/>
        </w:rPr>
        <w:t>means the Employee Retirement Income Security Act of 1974.</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ERISA Affiliate</w:t>
      </w:r>
      <w:r>
        <w:rPr>
          <w:rFonts w:ascii="Times New Roman" w:hAnsi="Times New Roman"/>
          <w:color w:val="000000"/>
          <w:sz w:val="20"/>
        </w:rPr>
        <w:t xml:space="preserve">” </w:t>
      </w:r>
      <w:r>
        <w:rPr>
          <w:rFonts w:ascii="Times New Roman" w:hAnsi="Times New Roman"/>
          <w:color w:val="000000"/>
          <w:sz w:val="22"/>
        </w:rPr>
        <w:t>means any trade or business (whether or not incorporated) under common control or treated as a single employer with a Loan Party within the meaning of Section 414(b) or (c) of the Internal Revenue Code (and Sections 414(m) and (o) of the Internal Revenue Code for purposes of provisions relating to Section 412 of the Internal Revenue Code).</w:t>
      </w:r>
    </w:p>
    <w:p>
      <w:pPr>
        <w:pStyle w:val="TextBody"/>
        <w:bidi w:val="0"/>
        <w:spacing w:before="0" w:after="240"/>
        <w:jc w:val="both"/>
        <w:rPr/>
      </w:pPr>
      <w:bookmarkStart w:id="26" w:name="docxtextref280"/>
      <w:bookmarkEnd w:id="26"/>
      <w:r>
        <w:rPr>
          <w:color w:val="000000"/>
        </w:rPr>
        <w:t>“</w:t>
      </w:r>
      <w:r>
        <w:rPr>
          <w:rFonts w:ascii="Times New Roman" w:hAnsi="Times New Roman"/>
          <w:color w:val="000000"/>
          <w:sz w:val="22"/>
          <w:u w:val="single"/>
        </w:rPr>
        <w:t>ERISA Event</w:t>
      </w:r>
      <w:r>
        <w:rPr>
          <w:rFonts w:ascii="Times New Roman" w:hAnsi="Times New Roman"/>
          <w:color w:val="000000"/>
          <w:sz w:val="20"/>
        </w:rPr>
        <w:t xml:space="preserve">” </w:t>
      </w:r>
      <w:r>
        <w:rPr>
          <w:rFonts w:ascii="Times New Roman" w:hAnsi="Times New Roman"/>
          <w:color w:val="000000"/>
          <w:sz w:val="22"/>
        </w:rPr>
        <w:t>means: (a) a Reportable Event with respect to a Pension Plan; (b) the withdrawal of a Loan Party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a Loan Party or any ERISA Affiliate from a Multiemployer Plan; (d) the filing of a notice of intent to terminate, or the treatment of a Pension Plan amendment as a termination under Section 4041(c)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any Multiemployer Plan is in endangered or critical status within the meaning of Sections 430, 431 and 432 of the Internal Revenue Code or Sections 303, 304 and 305 of ERISA; (h)</w:t>
      </w:r>
      <w:r>
        <w:rPr>
          <w:rFonts w:ascii="Times New Roman" w:hAnsi="Times New Roman"/>
          <w:color w:val="000000"/>
          <w:sz w:val="20"/>
        </w:rPr>
        <w:t xml:space="preserve"> </w:t>
      </w:r>
      <w:r>
        <w:rPr>
          <w:rFonts w:ascii="Times New Roman" w:hAnsi="Times New Roman"/>
          <w:color w:val="000000"/>
          <w:sz w:val="22"/>
        </w:rPr>
        <w:t xml:space="preserve">a failure to satisfy the minimum funding standard (within the meaning of </w:t>
      </w:r>
      <w:bookmarkStart w:id="27" w:name="docxtextref287"/>
      <w:bookmarkEnd w:id="27"/>
      <w:r>
        <w:rPr>
          <w:rFonts w:ascii="Times New Roman" w:hAnsi="Times New Roman"/>
          <w:color w:val="000000"/>
          <w:sz w:val="22"/>
        </w:rPr>
        <w:t>Section 302</w:t>
      </w:r>
      <w:r>
        <w:rPr>
          <w:rFonts w:ascii="Times New Roman" w:hAnsi="Times New Roman"/>
          <w:color w:val="000000"/>
          <w:sz w:val="20"/>
        </w:rPr>
        <w:t xml:space="preserve"> </w:t>
      </w:r>
      <w:r>
        <w:rPr>
          <w:rFonts w:ascii="Times New Roman" w:hAnsi="Times New Roman"/>
          <w:color w:val="000000"/>
          <w:sz w:val="22"/>
        </w:rPr>
        <w:t xml:space="preserve">of ERISA or </w:t>
      </w:r>
      <w:bookmarkStart w:id="28" w:name="docxtextref288"/>
      <w:bookmarkEnd w:id="28"/>
      <w:r>
        <w:rPr>
          <w:rFonts w:ascii="Times New Roman" w:hAnsi="Times New Roman"/>
          <w:color w:val="000000"/>
          <w:sz w:val="22"/>
        </w:rPr>
        <w:t>Section 412</w:t>
      </w:r>
      <w:r>
        <w:rPr>
          <w:rFonts w:ascii="Times New Roman" w:hAnsi="Times New Roman"/>
          <w:color w:val="000000"/>
          <w:sz w:val="20"/>
        </w:rPr>
        <w:t xml:space="preserve"> </w:t>
      </w:r>
      <w:r>
        <w:rPr>
          <w:rFonts w:ascii="Times New Roman" w:hAnsi="Times New Roman"/>
          <w:color w:val="000000"/>
          <w:sz w:val="22"/>
        </w:rPr>
        <w:t xml:space="preserve">of the Code) or any other requirement of the Pension Funding Rules with respect to a Pension Plan, whether or not waived; (i) the application for a minimum funding waiver under </w:t>
      </w:r>
      <w:bookmarkStart w:id="29" w:name="docxtextref292"/>
      <w:bookmarkEnd w:id="29"/>
      <w:r>
        <w:rPr>
          <w:rFonts w:ascii="Times New Roman" w:hAnsi="Times New Roman"/>
          <w:color w:val="000000"/>
          <w:sz w:val="22"/>
        </w:rPr>
        <w:t>Section 302(c)</w:t>
      </w:r>
      <w:r>
        <w:rPr>
          <w:rFonts w:ascii="Times New Roman" w:hAnsi="Times New Roman"/>
          <w:color w:val="000000"/>
          <w:sz w:val="20"/>
        </w:rPr>
        <w:t xml:space="preserve"> </w:t>
      </w:r>
      <w:r>
        <w:rPr>
          <w:rFonts w:ascii="Times New Roman" w:hAnsi="Times New Roman"/>
          <w:color w:val="000000"/>
          <w:sz w:val="22"/>
        </w:rPr>
        <w:t xml:space="preserve">of ERISA with respect to a Pension Plan; </w:t>
      </w:r>
      <w:bookmarkStart w:id="30" w:name="docxtextref282"/>
      <w:bookmarkEnd w:id="30"/>
      <w:r>
        <w:rPr>
          <w:rFonts w:ascii="Times New Roman" w:hAnsi="Times New Roman"/>
          <w:color w:val="000000"/>
          <w:sz w:val="22"/>
        </w:rPr>
        <w:t>(j)</w:t>
      </w:r>
      <w:r>
        <w:rPr>
          <w:rFonts w:ascii="Times New Roman" w:hAnsi="Times New Roman"/>
          <w:color w:val="000000"/>
          <w:sz w:val="20"/>
        </w:rPr>
        <w:t xml:space="preserve"> </w:t>
      </w:r>
      <w:r>
        <w:rPr>
          <w:rFonts w:ascii="Times New Roman" w:hAnsi="Times New Roman"/>
          <w:color w:val="000000"/>
          <w:sz w:val="22"/>
        </w:rPr>
        <w:t xml:space="preserve">the imposition of a lien under </w:t>
      </w:r>
      <w:bookmarkStart w:id="31" w:name="docxtextref293"/>
      <w:bookmarkEnd w:id="31"/>
      <w:r>
        <w:rPr>
          <w:rFonts w:ascii="Times New Roman" w:hAnsi="Times New Roman"/>
          <w:color w:val="000000"/>
          <w:sz w:val="22"/>
        </w:rPr>
        <w:t>Section 303(k)</w:t>
      </w:r>
      <w:r>
        <w:rPr>
          <w:rFonts w:ascii="Times New Roman" w:hAnsi="Times New Roman"/>
          <w:color w:val="000000"/>
          <w:sz w:val="20"/>
        </w:rPr>
        <w:t xml:space="preserve"> </w:t>
      </w:r>
      <w:r>
        <w:rPr>
          <w:rFonts w:ascii="Times New Roman" w:hAnsi="Times New Roman"/>
          <w:color w:val="000000"/>
          <w:sz w:val="22"/>
        </w:rPr>
        <w:t xml:space="preserve">of ERISA or </w:t>
      </w:r>
      <w:bookmarkStart w:id="32" w:name="docxtextref294"/>
      <w:bookmarkEnd w:id="32"/>
      <w:r>
        <w:rPr>
          <w:rFonts w:ascii="Times New Roman" w:hAnsi="Times New Roman"/>
          <w:color w:val="000000"/>
          <w:sz w:val="22"/>
        </w:rPr>
        <w:t>Section 412(c)</w:t>
      </w:r>
      <w:r>
        <w:rPr>
          <w:rFonts w:ascii="Times New Roman" w:hAnsi="Times New Roman"/>
          <w:color w:val="000000"/>
          <w:sz w:val="20"/>
        </w:rPr>
        <w:t xml:space="preserve"> </w:t>
      </w:r>
      <w:r>
        <w:rPr>
          <w:rFonts w:ascii="Times New Roman" w:hAnsi="Times New Roman"/>
          <w:color w:val="000000"/>
          <w:sz w:val="22"/>
        </w:rPr>
        <w:t>of the Code with respect to any Pension Plan; (k) any Loan Party or any ERISA Affiliate engages in a transaction that is subject to Section 4069 or Section 4212(c) of ERISA; or (l) the imposition of any liability under Title IV of ERISA, other than for PBGC premiums due but not delinquent under Section 4007 of ERISA, upon any Loan Party or any ERISA Affiliate.</w:t>
      </w:r>
    </w:p>
    <w:p>
      <w:pPr>
        <w:pStyle w:val="TextBody"/>
        <w:bidi w:val="0"/>
        <w:spacing w:before="0" w:after="240"/>
        <w:jc w:val="both"/>
        <w:rPr/>
      </w:pPr>
      <w:r>
        <w:rPr>
          <w:color w:val="000000"/>
        </w:rPr>
        <w:t>“</w:t>
      </w:r>
      <w:r>
        <w:rPr>
          <w:rFonts w:ascii="Times New Roman" w:hAnsi="Times New Roman"/>
          <w:color w:val="000000"/>
          <w:sz w:val="22"/>
          <w:u w:val="single"/>
        </w:rPr>
        <w:t>EU Bail-In Legislation Schedule</w:t>
      </w:r>
      <w:r>
        <w:rPr>
          <w:rFonts w:ascii="Times New Roman" w:hAnsi="Times New Roman"/>
          <w:color w:val="000000"/>
          <w:sz w:val="20"/>
        </w:rPr>
        <w:t xml:space="preserve">” </w:t>
      </w:r>
      <w:r>
        <w:rPr>
          <w:rFonts w:ascii="Times New Roman" w:hAnsi="Times New Roman"/>
          <w:color w:val="000000"/>
          <w:sz w:val="22"/>
        </w:rPr>
        <w:t>means the EU Bail-In Legislation Schedule published by the Loan Market Association (or any successor person), as in effect from time to time.</w:t>
      </w:r>
    </w:p>
    <w:p>
      <w:pPr>
        <w:pStyle w:val="TextBody"/>
        <w:bidi w:val="0"/>
        <w:spacing w:before="0" w:after="240"/>
        <w:jc w:val="both"/>
        <w:rPr/>
      </w:pPr>
      <w:r>
        <w:rPr>
          <w:color w:val="000000"/>
        </w:rPr>
        <w:t>“</w:t>
      </w:r>
      <w:r>
        <w:rPr>
          <w:rFonts w:ascii="Times New Roman" w:hAnsi="Times New Roman"/>
          <w:color w:val="000000"/>
          <w:sz w:val="22"/>
          <w:u w:val="single"/>
        </w:rPr>
        <w:t>EUR</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0"/>
          <w:u w:val="single"/>
        </w:rPr>
        <w:t>€</w:t>
      </w:r>
      <w:r>
        <w:rPr>
          <w:rFonts w:ascii="Times New Roman" w:hAnsi="Times New Roman"/>
          <w:color w:val="000000"/>
          <w:sz w:val="20"/>
        </w:rPr>
        <w:t xml:space="preserve">” </w:t>
      </w:r>
      <w:r>
        <w:rPr>
          <w:rFonts w:ascii="Times New Roman" w:hAnsi="Times New Roman"/>
          <w:color w:val="000000"/>
          <w:sz w:val="22"/>
        </w:rPr>
        <w:t>means the lawful currency of the member states of the European Union that have adopted a single currency in accordance with applicable law or treaty.</w:t>
      </w:r>
    </w:p>
    <w:p>
      <w:pPr>
        <w:pStyle w:val="TextBody"/>
        <w:bidi w:val="0"/>
        <w:spacing w:before="0" w:after="240"/>
        <w:jc w:val="both"/>
        <w:rPr/>
      </w:pPr>
      <w:r>
        <w:rPr>
          <w:color w:val="000000"/>
        </w:rPr>
        <w:t>“</w:t>
      </w:r>
      <w:r>
        <w:rPr>
          <w:rFonts w:ascii="Times New Roman" w:hAnsi="Times New Roman"/>
          <w:color w:val="000000"/>
          <w:sz w:val="22"/>
          <w:u w:val="single"/>
        </w:rPr>
        <w:t>Event of Default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9.01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Excluded Property</w:t>
      </w:r>
      <w:r>
        <w:rPr>
          <w:rFonts w:ascii="Times New Roman" w:hAnsi="Times New Roman"/>
          <w:color w:val="000000"/>
          <w:sz w:val="20"/>
        </w:rPr>
        <w:t xml:space="preserve">” </w:t>
      </w:r>
      <w:r>
        <w:rPr>
          <w:rFonts w:ascii="Times New Roman" w:hAnsi="Times New Roman"/>
          <w:color w:val="000000"/>
          <w:sz w:val="22"/>
        </w:rPr>
        <w:t xml:space="preserve">means, with respect to any Loan Party, (a) any owned or leased real property, (b) the Equity Interests of any Foreign Subsidiary or Foreign Subsidiary Holdco to the extent not required to be pledged to secure the Obligations pursuant to </w:t>
      </w:r>
      <w:r>
        <w:rPr>
          <w:rFonts w:ascii="Times New Roman" w:hAnsi="Times New Roman"/>
          <w:color w:val="000000"/>
          <w:sz w:val="22"/>
          <w:u w:val="single"/>
        </w:rPr>
        <w:t>Section 7.13(a)</w:t>
      </w:r>
      <w:r>
        <w:rPr>
          <w:rFonts w:ascii="Times New Roman" w:hAnsi="Times New Roman"/>
          <w:color w:val="000000"/>
          <w:sz w:val="22"/>
        </w:rPr>
        <w:t xml:space="preserve">, (c) any property which, subject to the terms of </w:t>
      </w:r>
      <w:r>
        <w:rPr>
          <w:rFonts w:ascii="Times New Roman" w:hAnsi="Times New Roman"/>
          <w:color w:val="000000"/>
          <w:sz w:val="22"/>
          <w:u w:val="single"/>
        </w:rPr>
        <w:t>Section 8.09</w:t>
      </w:r>
      <w:r>
        <w:rPr>
          <w:rFonts w:ascii="Times New Roman" w:hAnsi="Times New Roman"/>
          <w:color w:val="000000"/>
          <w:sz w:val="22"/>
        </w:rPr>
        <w:t xml:space="preserve">, is subject to a Lien of the type described in </w:t>
      </w:r>
      <w:r>
        <w:rPr>
          <w:rFonts w:ascii="Times New Roman" w:hAnsi="Times New Roman"/>
          <w:color w:val="000000"/>
          <w:sz w:val="22"/>
          <w:u w:val="single"/>
        </w:rPr>
        <w:t>Section 8.01(i)</w:t>
      </w:r>
      <w:r>
        <w:rPr>
          <w:rFonts w:ascii="Times New Roman" w:hAnsi="Times New Roman"/>
          <w:color w:val="000000"/>
          <w:sz w:val="20"/>
        </w:rPr>
        <w:t xml:space="preserve"> </w:t>
      </w:r>
      <w:r>
        <w:rPr>
          <w:rFonts w:ascii="Times New Roman" w:hAnsi="Times New Roman"/>
          <w:color w:val="000000"/>
          <w:sz w:val="22"/>
        </w:rPr>
        <w:t>pursuant to documents which prohibit such Loan Party from granting any other Liens in such property, (d) any lease, license, contract or other agreement of such Loan Party if the grant of a security interest in such lease, license, contract or other agreement in the manner contemplated by the Loan Documents is prohibited under the terms of such lease, license, contract or other agreement or under applicable Law or would result in default thereunder, the termination thereof or give the other parties thereto the right to terminate, accelerate or otherwise alter such Loan Party’s rights, titles and interests thereunder (including upon the giving of notice or the lapse of time or both), other than to the extent (i) such prohibition or limitation is rendered ineffective pursuant to the Uniform Commercial Code or other applicable Law or principles of equity or (ii) such prohibition or limitation or the requirement for any consent contained in such lease, license, contract or other agreement or applicable Law is eliminated or terminated to the extent sufficient to permit any such item to become Collateral or such consent has been granted or waived or the requirement for such consent has been terminated, (e) government licenses, state or local franchises, charters and authorizations and any other property and assets to the extent that the Administrative Agent may not validly possess a security interest therein under, or such security interest is restricted by, applicable Laws (including rules 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regulations of any Governmental Authority or agency) or the pledge or creation of a security interest in which would require governmental consent, approval, license or authorization, other than to the extent such prohibition or limitation is rendered ineffective under the Uniform Commercial Code or other applicable Law notwithstanding such prohibition (but excluding proceeds of any such governmental licenses), (f) particular assets if and for so long as, if, in each case, as determined by the Administrative Agent in its reasonable discretion, the cost of creating or perfecting such pledges or security interests in such assets exceeds the practical benefits to be obtained by the Lenders therefrom, (g)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 (h) assets of, and Equity Interests in, any Person (other than a wholly-owned Subsidiary) to the extent not permitted by the terms of such Person’s Organization Documents or other agreements among holders of such Equity Interests, (i) the Equity Interests of any Foreign Subsidiary to the extent (i) such Equity Interests are pledged as collateral to secure the Indebtedness of a Foreign Subsidiary, (ii) such Indebtedness is permitted under </w:t>
      </w:r>
      <w:r>
        <w:rPr>
          <w:rFonts w:ascii="Times New Roman" w:hAnsi="Times New Roman"/>
          <w:color w:val="000000"/>
          <w:sz w:val="22"/>
          <w:u w:val="single"/>
        </w:rPr>
        <w:t>Section 8.03</w:t>
      </w:r>
      <w:r>
        <w:rPr>
          <w:rFonts w:ascii="Times New Roman" w:hAnsi="Times New Roman"/>
          <w:color w:val="000000"/>
          <w:sz w:val="20"/>
        </w:rPr>
        <w:t xml:space="preserve"> </w:t>
      </w:r>
      <w:r>
        <w:rPr>
          <w:rFonts w:ascii="Times New Roman" w:hAnsi="Times New Roman"/>
          <w:color w:val="000000"/>
          <w:sz w:val="22"/>
        </w:rPr>
        <w:t xml:space="preserve">and (iii) such Lien is a Permitted Lien, (j) any Investments maintained by the Borrower pursuant to the Borrower’s unqualified deferred compensation arrangements permitted under </w:t>
      </w:r>
      <w:r>
        <w:rPr>
          <w:rFonts w:ascii="Times New Roman" w:hAnsi="Times New Roman"/>
          <w:color w:val="000000"/>
          <w:sz w:val="22"/>
          <w:u w:val="single"/>
        </w:rPr>
        <w:t>Section 8.02(c)</w:t>
      </w:r>
      <w:r>
        <w:rPr>
          <w:rFonts w:ascii="Times New Roman" w:hAnsi="Times New Roman"/>
          <w:color w:val="000000"/>
          <w:sz w:val="20"/>
        </w:rPr>
        <w:t xml:space="preserve"> </w:t>
      </w:r>
      <w:r>
        <w:rPr>
          <w:rFonts w:ascii="Times New Roman" w:hAnsi="Times New Roman"/>
          <w:color w:val="000000"/>
          <w:sz w:val="22"/>
        </w:rPr>
        <w:t>and (k) margin stock (within the meaning of Regulation U of the FRB).</w:t>
      </w:r>
    </w:p>
    <w:p>
      <w:pPr>
        <w:pStyle w:val="TextBody"/>
        <w:bidi w:val="0"/>
        <w:spacing w:before="0" w:after="240"/>
        <w:jc w:val="both"/>
        <w:rPr/>
      </w:pPr>
      <w:r>
        <w:rPr>
          <w:color w:val="000000"/>
        </w:rPr>
        <w:t>“</w:t>
      </w:r>
      <w:r>
        <w:rPr>
          <w:rFonts w:ascii="Times New Roman" w:hAnsi="Times New Roman"/>
          <w:color w:val="000000"/>
          <w:sz w:val="22"/>
          <w:u w:val="single"/>
        </w:rPr>
        <w:t>Excluded Swap Obligation</w:t>
      </w:r>
      <w:r>
        <w:rPr>
          <w:rFonts w:ascii="Times New Roman" w:hAnsi="Times New Roman"/>
          <w:color w:val="000000"/>
          <w:sz w:val="20"/>
        </w:rPr>
        <w:t xml:space="preserve">” </w:t>
      </w:r>
      <w:r>
        <w:rPr>
          <w:rFonts w:ascii="Times New Roman" w:hAnsi="Times New Roman"/>
          <w:color w:val="000000"/>
          <w:sz w:val="22"/>
        </w:rPr>
        <w:t xml:space="preserve">means, with respect to any Guarantor, any Swap Obligation if, and to the extent that, all or a portion of the Guaranty of such Guarantor of, or the grant under a Loan Document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Times New Roman" w:hAnsi="Times New Roman"/>
          <w:color w:val="000000"/>
          <w:sz w:val="22"/>
          <w:u w:val="single"/>
        </w:rPr>
        <w:t>Section 4.08</w:t>
      </w:r>
      <w:r>
        <w:rPr>
          <w:rFonts w:ascii="Times New Roman" w:hAnsi="Times New Roman"/>
          <w:color w:val="000000"/>
          <w:sz w:val="20"/>
        </w:rPr>
        <w:t xml:space="preserve"> </w:t>
      </w:r>
      <w:r>
        <w:rPr>
          <w:rFonts w:ascii="Times New Roman" w:hAnsi="Times New Roman"/>
          <w:color w:val="000000"/>
          <w:sz w:val="22"/>
        </w:rPr>
        <w:t>and any other “keepwell, support or other agreement” for the benefit of such Guarantor and any and all guarantees of such Guarantor’s Swap Obligations by other Loan Parties) at the time the Guaranty of such Guarantor, or grant by such Guarantor of a security interest, becomes effective with respect to such Swap Obligation. If a Swap Obligation arises under a Master Agreement governing more than one Swap Contract, such exclusion shall apply to only the portion of such Swap Obligation that is attributable to Swap Contracts for which such Guaranty or security interest is illegal or becomes excluded in accordance with the first sentence of this definition.</w:t>
      </w:r>
    </w:p>
    <w:p>
      <w:pPr>
        <w:pStyle w:val="TextBody"/>
        <w:bidi w:val="0"/>
        <w:spacing w:before="0" w:after="240"/>
        <w:jc w:val="both"/>
        <w:rPr/>
      </w:pPr>
      <w:r>
        <w:rPr>
          <w:color w:val="000000"/>
        </w:rPr>
        <w:t>“</w:t>
      </w:r>
      <w:r>
        <w:rPr>
          <w:rFonts w:ascii="Times New Roman" w:hAnsi="Times New Roman"/>
          <w:color w:val="000000"/>
          <w:sz w:val="22"/>
          <w:u w:val="single"/>
        </w:rPr>
        <w:t>Excluded Taxes</w:t>
      </w:r>
      <w:r>
        <w:rPr>
          <w:rFonts w:ascii="Times New Roman" w:hAnsi="Times New Roman"/>
          <w:color w:val="000000"/>
          <w:sz w:val="20"/>
        </w:rPr>
        <w:t xml:space="preserve">” </w:t>
      </w:r>
      <w:r>
        <w:rPr>
          <w:rFonts w:ascii="Times New Roman" w:hAnsi="Times New Roman"/>
          <w:color w:val="000000"/>
          <w:sz w:val="22"/>
        </w:rPr>
        <w:t xml:space="preserve">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hAnsi="Times New Roman"/>
          <w:color w:val="000000"/>
          <w:sz w:val="22"/>
          <w:u w:val="single"/>
        </w:rPr>
        <w:t>Section 11.13</w:t>
      </w:r>
      <w:r>
        <w:rPr>
          <w:rFonts w:ascii="Times New Roman" w:hAnsi="Times New Roman"/>
          <w:color w:val="000000"/>
          <w:sz w:val="22"/>
        </w:rPr>
        <w:t xml:space="preserve">) or (ii) such Lender changes its Lending Office, except in each case to the extent that, pursuant to </w:t>
      </w:r>
      <w:r>
        <w:rPr>
          <w:rFonts w:ascii="Times New Roman" w:hAnsi="Times New Roman"/>
          <w:color w:val="000000"/>
          <w:sz w:val="22"/>
          <w:u w:val="single"/>
        </w:rPr>
        <w:t>Section 3.01(a)(ii)</w:t>
      </w:r>
      <w:r>
        <w:rPr>
          <w:rFonts w:ascii="Times New Roman" w:hAnsi="Times New Roman"/>
          <w:color w:val="000000"/>
          <w:sz w:val="22"/>
        </w:rPr>
        <w:t xml:space="preserve">, </w:t>
      </w:r>
      <w:r>
        <w:rPr>
          <w:rFonts w:ascii="Times New Roman" w:hAnsi="Times New Roman"/>
          <w:color w:val="000000"/>
          <w:sz w:val="22"/>
          <w:u w:val="single"/>
        </w:rPr>
        <w:t>(a)(iii)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(c)</w:t>
      </w:r>
      <w:r>
        <w:rPr>
          <w:rFonts w:ascii="Times New Roman" w:hAnsi="Times New Roman"/>
          <w:color w:val="000000"/>
          <w:sz w:val="22"/>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hAnsi="Times New Roman"/>
          <w:color w:val="000000"/>
          <w:sz w:val="22"/>
          <w:u w:val="single"/>
        </w:rPr>
        <w:t>Section 3.01(e)</w:t>
      </w:r>
      <w:r>
        <w:rPr>
          <w:rFonts w:ascii="Times New Roman" w:hAnsi="Times New Roman"/>
          <w:color w:val="000000"/>
          <w:sz w:val="20"/>
        </w:rPr>
        <w:t xml:space="preserve"> </w:t>
      </w:r>
      <w:r>
        <w:rPr>
          <w:rFonts w:ascii="Times New Roman" w:hAnsi="Times New Roman"/>
          <w:color w:val="000000"/>
          <w:sz w:val="22"/>
        </w:rPr>
        <w:t>and (d) any withholding Taxes imposed pursuant to FATCA.</w:t>
      </w:r>
    </w:p>
    <w:p>
      <w:pPr>
        <w:pStyle w:val="TextBody"/>
        <w:bidi w:val="0"/>
        <w:spacing w:before="0" w:after="240"/>
        <w:jc w:val="both"/>
        <w:rPr/>
      </w:pPr>
      <w:r>
        <w:rPr>
          <w:color w:val="000000"/>
        </w:rPr>
        <w:t>“</w:t>
      </w:r>
      <w:r>
        <w:rPr>
          <w:rFonts w:ascii="Times New Roman" w:hAnsi="Times New Roman"/>
          <w:color w:val="000000"/>
          <w:sz w:val="22"/>
          <w:u w:val="single"/>
        </w:rPr>
        <w:t>Facilities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6.09(a)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Facility Termination Date</w:t>
      </w:r>
      <w:r>
        <w:rPr>
          <w:rFonts w:ascii="Times New Roman" w:hAnsi="Times New Roman"/>
          <w:color w:val="000000"/>
          <w:sz w:val="20"/>
        </w:rPr>
        <w:t xml:space="preserve">” </w:t>
      </w:r>
      <w:r>
        <w:rPr>
          <w:rFonts w:ascii="Times New Roman" w:hAnsi="Times New Roman"/>
          <w:color w:val="000000"/>
          <w:sz w:val="22"/>
        </w:rPr>
        <w:t>means the date as of which all of the following shall have occurred: (a) all Commitments have terminated, (b) all Obligations arising under the Loan Documents have been paid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full (other than contingent indemnification obligations), and (c) all Letters of Credit have terminated or expired (other than Letters of Credit that have been Cash Collateralized).</w:t>
      </w:r>
    </w:p>
    <w:p>
      <w:pPr>
        <w:pStyle w:val="TextBody"/>
        <w:bidi w:val="0"/>
        <w:spacing w:before="0" w:after="240"/>
        <w:jc w:val="both"/>
        <w:rPr/>
      </w:pPr>
      <w:r>
        <w:rPr>
          <w:color w:val="000000"/>
        </w:rPr>
        <w:t>“</w:t>
      </w:r>
      <w:r>
        <w:rPr>
          <w:rFonts w:ascii="Times New Roman" w:hAnsi="Times New Roman"/>
          <w:color w:val="000000"/>
          <w:sz w:val="22"/>
          <w:u w:val="single"/>
        </w:rPr>
        <w:t>FASB ASC</w:t>
      </w:r>
      <w:r>
        <w:rPr>
          <w:rFonts w:ascii="Times New Roman" w:hAnsi="Times New Roman"/>
          <w:color w:val="000000"/>
          <w:sz w:val="20"/>
        </w:rPr>
        <w:t xml:space="preserve">” </w:t>
      </w:r>
      <w:r>
        <w:rPr>
          <w:rFonts w:ascii="Times New Roman" w:hAnsi="Times New Roman"/>
          <w:color w:val="000000"/>
          <w:sz w:val="22"/>
        </w:rPr>
        <w:t>means the Accounting Standards Codification of the Financial Accounting Standards Board.</w:t>
      </w:r>
    </w:p>
    <w:p>
      <w:pPr>
        <w:pStyle w:val="TextBody"/>
        <w:bidi w:val="0"/>
        <w:spacing w:before="0" w:after="240"/>
        <w:jc w:val="both"/>
        <w:rPr/>
      </w:pPr>
      <w:r>
        <w:rPr>
          <w:color w:val="000000"/>
        </w:rPr>
        <w:t>“</w:t>
      </w:r>
      <w:r>
        <w:rPr>
          <w:rFonts w:ascii="Times New Roman" w:hAnsi="Times New Roman"/>
          <w:color w:val="000000"/>
          <w:sz w:val="22"/>
          <w:u w:val="single"/>
        </w:rPr>
        <w:t>FATCA</w:t>
      </w:r>
      <w:r>
        <w:rPr>
          <w:rFonts w:ascii="Times New Roman" w:hAnsi="Times New Roman"/>
          <w:color w:val="000000"/>
          <w:sz w:val="20"/>
        </w:rPr>
        <w:t xml:space="preserve">” </w:t>
      </w:r>
      <w:r>
        <w:rPr>
          <w:rFonts w:ascii="Times New Roman" w:hAnsi="Times New Roman"/>
          <w:color w:val="000000"/>
          <w:sz w:val="22"/>
        </w:rPr>
        <w:t>means Sections 1471 through 1474 of the Internal Revenue Code, as of the Effective Date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pStyle w:val="TextBody"/>
        <w:bidi w:val="0"/>
        <w:spacing w:before="0" w:after="240"/>
        <w:jc w:val="both"/>
        <w:rPr/>
      </w:pPr>
      <w:r>
        <w:rPr>
          <w:color w:val="000000"/>
        </w:rPr>
        <w:t>“</w:t>
      </w:r>
      <w:r>
        <w:rPr>
          <w:rFonts w:ascii="Times New Roman" w:hAnsi="Times New Roman"/>
          <w:color w:val="000000"/>
          <w:sz w:val="22"/>
          <w:u w:val="single"/>
        </w:rPr>
        <w:t>Federal Funds Rate</w:t>
      </w:r>
      <w:r>
        <w:rPr>
          <w:rFonts w:ascii="Times New Roman" w:hAnsi="Times New Roman"/>
          <w:color w:val="000000"/>
          <w:sz w:val="20"/>
        </w:rPr>
        <w:t xml:space="preserve">” </w:t>
      </w:r>
      <w:r>
        <w:rPr>
          <w:rFonts w:ascii="Times New Roman" w:hAnsi="Times New Roman"/>
          <w:color w:val="000000"/>
          <w:sz w:val="22"/>
        </w:rPr>
        <w:t xml:space="preserve">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the Federal Funds Rate as so determined would be less than zero, such rate shall be deemed to be zero for purposes of this Agreement.</w:t>
      </w:r>
    </w:p>
    <w:p>
      <w:pPr>
        <w:pStyle w:val="TextBody"/>
        <w:bidi w:val="0"/>
        <w:spacing w:before="0" w:after="240"/>
        <w:jc w:val="both"/>
        <w:rPr/>
      </w:pPr>
      <w:r>
        <w:rPr>
          <w:color w:val="000000"/>
        </w:rPr>
        <w:t>“</w:t>
      </w:r>
      <w:r>
        <w:rPr>
          <w:rFonts w:ascii="Times New Roman" w:hAnsi="Times New Roman"/>
          <w:color w:val="000000"/>
          <w:sz w:val="22"/>
          <w:u w:val="single"/>
        </w:rPr>
        <w:t>Fee Letter</w:t>
      </w:r>
      <w:r>
        <w:rPr>
          <w:rFonts w:ascii="Times New Roman" w:hAnsi="Times New Roman"/>
          <w:color w:val="000000"/>
          <w:sz w:val="20"/>
        </w:rPr>
        <w:t xml:space="preserve">” </w:t>
      </w:r>
      <w:r>
        <w:rPr>
          <w:rFonts w:ascii="Times New Roman" w:hAnsi="Times New Roman"/>
          <w:color w:val="000000"/>
          <w:sz w:val="22"/>
        </w:rPr>
        <w:t>means the administrative agent fee letter agreement, dated as of January 9, 2026, among the Borrower, BofA Securities and the Administrative Agent.</w:t>
      </w:r>
    </w:p>
    <w:p>
      <w:pPr>
        <w:pStyle w:val="TextBody"/>
        <w:bidi w:val="0"/>
        <w:spacing w:before="0" w:after="240"/>
        <w:jc w:val="both"/>
        <w:rPr/>
      </w:pPr>
      <w:r>
        <w:rPr>
          <w:color w:val="000000"/>
        </w:rPr>
        <w:t>“</w:t>
      </w:r>
      <w:r>
        <w:rPr>
          <w:rFonts w:ascii="Times New Roman" w:hAnsi="Times New Roman"/>
          <w:color w:val="000000"/>
          <w:sz w:val="22"/>
          <w:u w:val="single"/>
        </w:rPr>
        <w:t>Fitch</w:t>
      </w:r>
      <w:r>
        <w:rPr>
          <w:rFonts w:ascii="Times New Roman" w:hAnsi="Times New Roman"/>
          <w:color w:val="000000"/>
          <w:sz w:val="20"/>
        </w:rPr>
        <w:t xml:space="preserve">” </w:t>
      </w:r>
      <w:r>
        <w:rPr>
          <w:rFonts w:ascii="Times New Roman" w:hAnsi="Times New Roman"/>
          <w:color w:val="000000"/>
          <w:sz w:val="22"/>
        </w:rPr>
        <w:t>means Fitch Ratings, Inc., or any successor to its rating agency business.</w:t>
      </w:r>
    </w:p>
    <w:p>
      <w:pPr>
        <w:pStyle w:val="TextBody"/>
        <w:bidi w:val="0"/>
        <w:spacing w:before="0" w:after="240"/>
        <w:jc w:val="both"/>
        <w:rPr/>
      </w:pPr>
      <w:r>
        <w:rPr>
          <w:color w:val="000000"/>
        </w:rPr>
        <w:t>“</w:t>
      </w:r>
      <w:r>
        <w:rPr>
          <w:rFonts w:ascii="Times New Roman" w:hAnsi="Times New Roman"/>
          <w:color w:val="000000"/>
          <w:sz w:val="22"/>
          <w:u w:val="single"/>
        </w:rPr>
        <w:t>Foreign Lender</w:t>
      </w:r>
      <w:r>
        <w:rPr>
          <w:rFonts w:ascii="Times New Roman" w:hAnsi="Times New Roman"/>
          <w:color w:val="000000"/>
          <w:sz w:val="20"/>
        </w:rPr>
        <w:t xml:space="preserve">” </w:t>
      </w:r>
      <w:r>
        <w:rPr>
          <w:rFonts w:ascii="Times New Roman" w:hAnsi="Times New Roman"/>
          <w:color w:val="000000"/>
          <w:sz w:val="22"/>
        </w:rPr>
        <w:t>means a Lender that is not a U.S. Person. For purposes of this definition, the United States, each State thereof and the District of Columbia shall be deemed to constitute a single jurisdiction.</w:t>
      </w:r>
    </w:p>
    <w:p>
      <w:pPr>
        <w:pStyle w:val="TextBody"/>
        <w:bidi w:val="0"/>
        <w:spacing w:before="0" w:after="240"/>
        <w:jc w:val="both"/>
        <w:rPr/>
      </w:pPr>
      <w:r>
        <w:rPr>
          <w:color w:val="000000"/>
        </w:rPr>
        <w:t>“</w:t>
      </w:r>
      <w:r>
        <w:rPr>
          <w:rFonts w:ascii="Times New Roman" w:hAnsi="Times New Roman"/>
          <w:color w:val="000000"/>
          <w:sz w:val="22"/>
          <w:u w:val="single"/>
        </w:rPr>
        <w:t>Foreign Subsidiary</w:t>
      </w:r>
      <w:r>
        <w:rPr>
          <w:rFonts w:ascii="Times New Roman" w:hAnsi="Times New Roman"/>
          <w:color w:val="000000"/>
          <w:sz w:val="20"/>
        </w:rPr>
        <w:t xml:space="preserve">” </w:t>
      </w:r>
      <w:r>
        <w:rPr>
          <w:rFonts w:ascii="Times New Roman" w:hAnsi="Times New Roman"/>
          <w:color w:val="000000"/>
          <w:sz w:val="22"/>
        </w:rPr>
        <w:t>means any Subsidiary that is not a Domestic Subsidiary.</w:t>
      </w:r>
    </w:p>
    <w:p>
      <w:pPr>
        <w:pStyle w:val="TextBody"/>
        <w:bidi w:val="0"/>
        <w:spacing w:before="0" w:after="240"/>
        <w:jc w:val="both"/>
        <w:rPr/>
      </w:pPr>
      <w:r>
        <w:rPr>
          <w:color w:val="000000"/>
        </w:rPr>
        <w:t>“</w:t>
      </w:r>
      <w:r>
        <w:rPr>
          <w:rFonts w:ascii="Times New Roman" w:hAnsi="Times New Roman"/>
          <w:color w:val="000000"/>
          <w:sz w:val="22"/>
          <w:u w:val="single"/>
        </w:rPr>
        <w:t>Foreign Subsidiary Holdco</w:t>
      </w:r>
      <w:r>
        <w:rPr>
          <w:rFonts w:ascii="Times New Roman" w:hAnsi="Times New Roman"/>
          <w:color w:val="000000"/>
          <w:sz w:val="20"/>
        </w:rPr>
        <w:t xml:space="preserve">” </w:t>
      </w:r>
      <w:r>
        <w:rPr>
          <w:rFonts w:ascii="Times New Roman" w:hAnsi="Times New Roman"/>
          <w:color w:val="000000"/>
          <w:sz w:val="22"/>
        </w:rPr>
        <w:t>means any Subsidiary substantially all of the assets of which consist (directly or indirectly through disregarded entities or partnerships) of cash and Cash Equivalents and (i) Equity Interests (including, for this purpose, any debt or other instrument treated as equity for U.S. federal income tax purposes (as reasonably determined by the Borrower)) or (ii) Equity Interests (including, for this purpose, any debt or other instrument treated as equity for U.S. federal income tax purposes (as reasonably determined by the Borrower)) and indebtedness, in either case of clauses (i) and (ii), in one or more controlled foreign corporations (within the meaning of Section 957 of the Code) and/or one or more other Foreign Subsidiary Holdcos.</w:t>
      </w:r>
    </w:p>
    <w:p>
      <w:pPr>
        <w:pStyle w:val="TextBody"/>
        <w:bidi w:val="0"/>
        <w:spacing w:before="0" w:after="240"/>
        <w:jc w:val="both"/>
        <w:rPr/>
      </w:pPr>
      <w:r>
        <w:rPr>
          <w:color w:val="000000"/>
        </w:rPr>
        <w:t>“</w:t>
      </w:r>
      <w:r>
        <w:rPr>
          <w:rFonts w:ascii="Times New Roman" w:hAnsi="Times New Roman"/>
          <w:color w:val="000000"/>
          <w:sz w:val="22"/>
          <w:u w:val="single"/>
        </w:rPr>
        <w:t>FRB</w:t>
      </w:r>
      <w:r>
        <w:rPr>
          <w:rFonts w:ascii="Times New Roman" w:hAnsi="Times New Roman"/>
          <w:color w:val="000000"/>
          <w:sz w:val="20"/>
        </w:rPr>
        <w:t xml:space="preserve">” </w:t>
      </w:r>
      <w:r>
        <w:rPr>
          <w:rFonts w:ascii="Times New Roman" w:hAnsi="Times New Roman"/>
          <w:color w:val="000000"/>
          <w:sz w:val="22"/>
        </w:rPr>
        <w:t>means the Board of Governors of the Federal Reserve System of the United States.</w:t>
      </w:r>
    </w:p>
    <w:p>
      <w:pPr>
        <w:pStyle w:val="TextBody"/>
        <w:bidi w:val="0"/>
        <w:spacing w:before="0" w:after="240"/>
        <w:jc w:val="both"/>
        <w:rPr/>
      </w:pPr>
      <w:r>
        <w:rPr>
          <w:color w:val="000000"/>
        </w:rPr>
        <w:t>“</w:t>
      </w:r>
      <w:r>
        <w:rPr>
          <w:rFonts w:ascii="Times New Roman" w:hAnsi="Times New Roman"/>
          <w:color w:val="000000"/>
          <w:sz w:val="22"/>
          <w:u w:val="single"/>
        </w:rPr>
        <w:t>Fronting Exposure</w:t>
      </w:r>
      <w:r>
        <w:rPr>
          <w:rFonts w:ascii="Times New Roman" w:hAnsi="Times New Roman"/>
          <w:color w:val="000000"/>
          <w:sz w:val="20"/>
        </w:rPr>
        <w:t xml:space="preserve">” </w:t>
      </w:r>
      <w:r>
        <w:rPr>
          <w:rFonts w:ascii="Times New Roman" w:hAnsi="Times New Roman"/>
          <w:color w:val="000000"/>
          <w:sz w:val="22"/>
        </w:rPr>
        <w:t>means, at any time there is a Defaulting Lender, with respect to each L/C Issuer, such Defaulting Lender’s Applicable Revolving Percentage of the outstanding L/C Obligations other than L/C Obligations as to which such Defaulting Lender’s participation obligation has been reallocated to other Lenders or Cash Collateralized in accordance with the terms hereof.</w:t>
      </w:r>
    </w:p>
    <w:p>
      <w:pPr>
        <w:pStyle w:val="TextBody"/>
        <w:bidi w:val="0"/>
        <w:spacing w:before="0" w:after="240"/>
        <w:jc w:val="both"/>
        <w:rPr/>
      </w:pPr>
      <w:r>
        <w:rPr>
          <w:color w:val="000000"/>
        </w:rPr>
        <w:t>“</w:t>
      </w:r>
      <w:r>
        <w:rPr>
          <w:rFonts w:ascii="Times New Roman" w:hAnsi="Times New Roman"/>
          <w:color w:val="000000"/>
          <w:sz w:val="22"/>
          <w:u w:val="single"/>
        </w:rPr>
        <w:t>Fund</w:t>
      </w:r>
      <w:r>
        <w:rPr>
          <w:rFonts w:ascii="Times New Roman" w:hAnsi="Times New Roman"/>
          <w:color w:val="000000"/>
          <w:sz w:val="20"/>
        </w:rPr>
        <w:t xml:space="preserve">” </w:t>
      </w:r>
      <w:r>
        <w:rPr>
          <w:rFonts w:ascii="Times New Roman" w:hAnsi="Times New Roman"/>
          <w:color w:val="000000"/>
          <w:sz w:val="22"/>
        </w:rPr>
        <w:t>means any Person (other than a natural Person) that is (or will be) engaged in making, purchasing, holding or otherwise investing in commercial loans and similar extensions of credit in the ordinary course of its activities.</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Funded Indebtedness</w:t>
      </w:r>
      <w:r>
        <w:rPr>
          <w:rFonts w:ascii="Times New Roman" w:hAnsi="Times New Roman"/>
          <w:color w:val="000000"/>
          <w:sz w:val="20"/>
        </w:rPr>
        <w:t xml:space="preserve">” </w:t>
      </w:r>
      <w:r>
        <w:rPr>
          <w:rFonts w:ascii="Times New Roman" w:hAnsi="Times New Roman"/>
          <w:color w:val="000000"/>
          <w:sz w:val="22"/>
        </w:rPr>
        <w:t>means, as to any Person as of any date of determination, without duplication, all of the following types of Indebtedness, whether or not included as indebtedness or liabilities in accordance with GAAP: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all obligations, whether current or long-term, for borrowed money (including Obligations hereunder) and all obligations evidenced by bonds, debentures, notes, loan agreements or other similar instruments;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all purchase money Indebtedness and capitalized leases;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all obligations in respect of the deferred purchase price of property or services (other than (i) trade accounts payable, intercompany charges of expenses, deferred revenue and other accrued liabilities (including deferred payments in respect of services by employees), in each case incurred in the ordinary course of business, and (ii) any earn-out obligation or other post-closing balance sheet adjustment so long as no payment is owed thereunder and past due);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all Attributable Indebtedness;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all obligations to purchase, redeem, retire, defease or otherwise make any payment prior to the then-latest Maturity Date in respect of any Disqualified Stock valued, in the case of a redeemable preferred interest, at the greater of its voluntary or involuntary liquidation preference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accrued and unpaid dividends;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without duplication, all Guarantees with respect to outstanding Indebtedness of the types specified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(e)</w:t>
      </w:r>
      <w:r>
        <w:rPr>
          <w:rFonts w:ascii="Times New Roman" w:hAnsi="Times New Roman"/>
          <w:color w:val="000000"/>
          <w:sz w:val="20"/>
        </w:rPr>
        <w:t xml:space="preserve"> </w:t>
      </w:r>
      <w:r>
        <w:rPr>
          <w:rFonts w:ascii="Times New Roman" w:hAnsi="Times New Roman"/>
          <w:color w:val="000000"/>
          <w:sz w:val="22"/>
        </w:rPr>
        <w:t>above of another Person;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all Indebtedness of the types referred to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(f)</w:t>
      </w:r>
      <w:r>
        <w:rPr>
          <w:rFonts w:ascii="Times New Roman" w:hAnsi="Times New Roman"/>
          <w:color w:val="000000"/>
          <w:sz w:val="20"/>
        </w:rPr>
        <w:t xml:space="preserve"> </w:t>
      </w:r>
      <w:r>
        <w:rPr>
          <w:rFonts w:ascii="Times New Roman" w:hAnsi="Times New Roman"/>
          <w:color w:val="000000"/>
          <w:sz w:val="22"/>
        </w:rPr>
        <w:t>above of any partnership or joint venture (other than a joint venture that is itself a corporation or limited liability company) in which such Person is a general partner or joint venturer, except to the extent that Indebtedness is expressly made non-recourse to such Person (except for customary exceptions to non-recourse provisions such as fraud, misappropriation of funds and environmental liabilities).</w:t>
      </w:r>
    </w:p>
    <w:p>
      <w:pPr>
        <w:pStyle w:val="TextBody"/>
        <w:bidi w:val="0"/>
        <w:spacing w:before="0" w:after="240"/>
        <w:jc w:val="both"/>
        <w:rPr/>
      </w:pPr>
      <w:r>
        <w:rPr>
          <w:color w:val="000000"/>
        </w:rPr>
        <w:t>“</w:t>
      </w:r>
      <w:r>
        <w:rPr>
          <w:rFonts w:ascii="Times New Roman" w:hAnsi="Times New Roman"/>
          <w:color w:val="000000"/>
          <w:sz w:val="22"/>
          <w:u w:val="single"/>
        </w:rPr>
        <w:t>GAAP</w:t>
      </w:r>
      <w:r>
        <w:rPr>
          <w:rFonts w:ascii="Times New Roman" w:hAnsi="Times New Roman"/>
          <w:color w:val="000000"/>
          <w:sz w:val="20"/>
        </w:rPr>
        <w:t xml:space="preserve">” </w:t>
      </w:r>
      <w:r>
        <w:rPr>
          <w:rFonts w:ascii="Times New Roman" w:hAnsi="Times New Roman"/>
          <w:color w:val="000000"/>
          <w:sz w:val="22"/>
        </w:rPr>
        <w:t>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consistently applied.</w:t>
      </w:r>
    </w:p>
    <w:p>
      <w:pPr>
        <w:pStyle w:val="TextBody"/>
        <w:bidi w:val="0"/>
        <w:spacing w:before="0" w:after="240"/>
        <w:jc w:val="both"/>
        <w:rPr/>
      </w:pPr>
      <w:r>
        <w:rPr>
          <w:color w:val="000000"/>
        </w:rPr>
        <w:t>“</w:t>
      </w:r>
      <w:r>
        <w:rPr>
          <w:rFonts w:ascii="Times New Roman" w:hAnsi="Times New Roman"/>
          <w:color w:val="000000"/>
          <w:sz w:val="22"/>
          <w:u w:val="single"/>
        </w:rPr>
        <w:t>Governmental Authority</w:t>
      </w:r>
      <w:r>
        <w:rPr>
          <w:rFonts w:ascii="Times New Roman" w:hAnsi="Times New Roman"/>
          <w:color w:val="000000"/>
          <w:sz w:val="20"/>
        </w:rPr>
        <w:t xml:space="preserve">” </w:t>
      </w:r>
      <w:r>
        <w:rPr>
          <w:rFonts w:ascii="Times New Roman" w:hAnsi="Times New Roman"/>
          <w:color w:val="000000"/>
          <w:sz w:val="22"/>
        </w:rPr>
        <w:t>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240"/>
        <w:jc w:val="both"/>
        <w:rPr/>
      </w:pPr>
      <w:r>
        <w:rPr>
          <w:color w:val="000000"/>
        </w:rPr>
        <w:t>“</w:t>
      </w:r>
      <w:r>
        <w:rPr>
          <w:rFonts w:ascii="Times New Roman" w:hAnsi="Times New Roman"/>
          <w:color w:val="000000"/>
          <w:sz w:val="22"/>
          <w:u w:val="single"/>
        </w:rPr>
        <w:t>GSB</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w:t>
      </w:r>
      <w:r>
        <w:rPr>
          <w:rFonts w:ascii="Times New Roman" w:hAnsi="Times New Roman"/>
          <w:color w:val="000000"/>
          <w:sz w:val="20"/>
        </w:rPr>
        <w:t xml:space="preserve">” </w:t>
      </w:r>
      <w:r>
        <w:rPr>
          <w:rFonts w:ascii="Times New Roman" w:hAnsi="Times New Roman"/>
          <w:color w:val="000000"/>
          <w:sz w:val="22"/>
        </w:rPr>
        <w:t>means the lawful currency of the United Kingdom.</w:t>
      </w:r>
    </w:p>
    <w:p>
      <w:pPr>
        <w:pStyle w:val="TextBody"/>
        <w:bidi w:val="0"/>
        <w:spacing w:before="0" w:after="240"/>
        <w:jc w:val="both"/>
        <w:rPr/>
      </w:pPr>
      <w:r>
        <w:rPr>
          <w:color w:val="000000"/>
        </w:rPr>
        <w:t>“</w:t>
      </w:r>
      <w:r>
        <w:rPr>
          <w:rFonts w:ascii="Times New Roman" w:hAnsi="Times New Roman"/>
          <w:color w:val="000000"/>
          <w:sz w:val="22"/>
          <w:u w:val="single"/>
        </w:rPr>
        <w:t>Guarantee</w:t>
      </w:r>
      <w:r>
        <w:rPr>
          <w:rFonts w:ascii="Times New Roman" w:hAnsi="Times New Roman"/>
          <w:color w:val="000000"/>
          <w:sz w:val="20"/>
        </w:rPr>
        <w:t xml:space="preserve">” </w:t>
      </w:r>
      <w:r>
        <w:rPr>
          <w:rFonts w:ascii="Times New Roman" w:hAnsi="Times New Roman"/>
          <w:color w:val="000000"/>
          <w:sz w:val="22"/>
        </w:rPr>
        <w:t>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pStyle w:val="TextBody"/>
        <w:bidi w:val="0"/>
        <w:spacing w:before="0" w:after="240"/>
        <w:jc w:val="both"/>
        <w:rPr/>
      </w:pPr>
      <w:r>
        <w:rPr>
          <w:color w:val="000000"/>
        </w:rPr>
        <w:t>“</w:t>
      </w:r>
      <w:r>
        <w:rPr>
          <w:rFonts w:ascii="Times New Roman" w:hAnsi="Times New Roman"/>
          <w:color w:val="000000"/>
          <w:sz w:val="22"/>
          <w:u w:val="single"/>
        </w:rPr>
        <w:t>Guarantors</w:t>
      </w:r>
      <w:r>
        <w:rPr>
          <w:rFonts w:ascii="Times New Roman" w:hAnsi="Times New Roman"/>
          <w:color w:val="000000"/>
          <w:sz w:val="20"/>
        </w:rPr>
        <w:t xml:space="preserve">” </w:t>
      </w:r>
      <w:r>
        <w:rPr>
          <w:rFonts w:ascii="Times New Roman" w:hAnsi="Times New Roman"/>
          <w:color w:val="000000"/>
          <w:sz w:val="22"/>
        </w:rPr>
        <w:t xml:space="preserve">means, collectively, (a) during any Non-Investment Grade Period, (i) each Domestic Subsidiary that is not an Immaterial Domestic Subsidiary identified as a “Guarantor” on the signature pages hereto, (ii) each Person that joins as a Guarantor pursuant to </w:t>
      </w:r>
      <w:r>
        <w:rPr>
          <w:rFonts w:ascii="Times New Roman" w:hAnsi="Times New Roman"/>
          <w:color w:val="000000"/>
          <w:sz w:val="22"/>
          <w:u w:val="single"/>
        </w:rPr>
        <w:t>Section 7.12</w:t>
      </w:r>
      <w:r>
        <w:rPr>
          <w:rFonts w:ascii="Times New Roman" w:hAnsi="Times New Roman"/>
          <w:color w:val="000000"/>
          <w:sz w:val="20"/>
        </w:rPr>
        <w:t xml:space="preserve"> </w:t>
      </w:r>
      <w:r>
        <w:rPr>
          <w:rFonts w:ascii="Times New Roman" w:hAnsi="Times New Roman"/>
          <w:color w:val="000000"/>
          <w:sz w:val="22"/>
        </w:rPr>
        <w:t xml:space="preserve">or otherwise, (iii) with respect to (x) Obligations under any Secured Hedge Agreement, (y) Obligations under any Secured Cash Management Agreement and (z) any Swap Obligation of a Specified Loan Party (determined before giving effect to </w:t>
      </w:r>
      <w:r>
        <w:rPr>
          <w:rFonts w:ascii="Times New Roman" w:hAnsi="Times New Roman"/>
          <w:color w:val="000000"/>
          <w:sz w:val="22"/>
          <w:u w:val="single"/>
        </w:rPr>
        <w:t>Sections 4.01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4.08</w:t>
      </w:r>
      <w:r>
        <w:rPr>
          <w:rFonts w:ascii="Times New Roman" w:hAnsi="Times New Roman"/>
          <w:color w:val="000000"/>
          <w:sz w:val="22"/>
        </w:rPr>
        <w:t>) under the Guaranty, the Borrower, and (iv) the successors and permitted assigns of the foregoing or (b) during any Investment Grade Period, each existing and future direct and indirect Domestic Subsidiary that (i) is not an Immaterial Domestic Subsidiary or Foreign Subsidiary Holdco and (ii) that guarantees any Material Indebtedness of the Borrower or any of its Subsidiaries.</w:t>
      </w:r>
    </w:p>
    <w:p>
      <w:pPr>
        <w:pStyle w:val="TextBody"/>
        <w:bidi w:val="0"/>
        <w:spacing w:before="0" w:after="240"/>
        <w:jc w:val="both"/>
        <w:rPr/>
      </w:pPr>
      <w:r>
        <w:rPr>
          <w:color w:val="000000"/>
        </w:rPr>
        <w:t>“</w:t>
      </w:r>
      <w:r>
        <w:rPr>
          <w:rFonts w:ascii="Times New Roman" w:hAnsi="Times New Roman"/>
          <w:color w:val="000000"/>
          <w:sz w:val="22"/>
          <w:u w:val="single"/>
        </w:rPr>
        <w:t>Guaranty</w:t>
      </w:r>
      <w:r>
        <w:rPr>
          <w:rFonts w:ascii="Times New Roman" w:hAnsi="Times New Roman"/>
          <w:color w:val="000000"/>
          <w:sz w:val="20"/>
        </w:rPr>
        <w:t xml:space="preserve">” </w:t>
      </w:r>
      <w:r>
        <w:rPr>
          <w:rFonts w:ascii="Times New Roman" w:hAnsi="Times New Roman"/>
          <w:color w:val="000000"/>
          <w:sz w:val="22"/>
        </w:rPr>
        <w:t xml:space="preserve">means the Guaranty made by the Guarantors in favor of the Administrative Agent, the L/C Issuers, the Lenders and the other holders of the Obligations pursuant to </w:t>
      </w:r>
      <w:r>
        <w:rPr>
          <w:rFonts w:ascii="Times New Roman" w:hAnsi="Times New Roman"/>
          <w:color w:val="000000"/>
          <w:sz w:val="22"/>
          <w:u w:val="single"/>
        </w:rPr>
        <w:t>Article IV</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Hazardous Materials</w:t>
      </w:r>
      <w:r>
        <w:rPr>
          <w:rFonts w:ascii="Times New Roman" w:hAnsi="Times New Roman"/>
          <w:color w:val="000000"/>
          <w:sz w:val="20"/>
        </w:rPr>
        <w:t xml:space="preserve">” </w:t>
      </w:r>
      <w:r>
        <w:rPr>
          <w:rFonts w:ascii="Times New Roman" w:hAnsi="Times New Roman"/>
          <w:color w:val="000000"/>
          <w:sz w:val="22"/>
        </w:rPr>
        <w:t>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pStyle w:val="TextBody"/>
        <w:bidi w:val="0"/>
        <w:spacing w:before="0" w:after="240"/>
        <w:jc w:val="both"/>
        <w:rPr/>
      </w:pPr>
      <w:r>
        <w:rPr>
          <w:color w:val="000000"/>
        </w:rPr>
        <w:t>“</w:t>
      </w:r>
      <w:r>
        <w:rPr>
          <w:rFonts w:ascii="Times New Roman" w:hAnsi="Times New Roman"/>
          <w:color w:val="000000"/>
          <w:sz w:val="22"/>
          <w:u w:val="single"/>
        </w:rPr>
        <w:t>Hedge Bank</w:t>
      </w:r>
      <w:r>
        <w:rPr>
          <w:rFonts w:ascii="Times New Roman" w:hAnsi="Times New Roman"/>
          <w:color w:val="000000"/>
          <w:sz w:val="20"/>
        </w:rPr>
        <w:t xml:space="preserve">” </w:t>
      </w:r>
      <w:r>
        <w:rPr>
          <w:rFonts w:ascii="Times New Roman" w:hAnsi="Times New Roman"/>
          <w:color w:val="000000"/>
          <w:sz w:val="22"/>
        </w:rPr>
        <w:t xml:space="preserve">means any Person in its capacity as a party to a Swap Contract with the Borrower or any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at the time such Person enters into such Swap Contract, such Person is a Lender or an Affiliate of a Lender (even if such Person ceases to be a Lender or such Person’s Affiliate ceases to be a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such case, such Person shall continue to be a Hedge Bank only through the stated termination date of such Swap Contract (without extension or renewal)) or (b) such Swap Contract exists at the time such Person or Affiliate of such Person becomes a Lender (even if such Person ceases to be a Lender or such Person’s Affiliate ceases to be a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such case, such Person shall continue to be a Hedge Bank only through the stated termination date of such Swap Contract (without extension or renewal)).</w:t>
      </w:r>
    </w:p>
    <w:p>
      <w:pPr>
        <w:pStyle w:val="TextBody"/>
        <w:bidi w:val="0"/>
        <w:spacing w:before="0" w:after="240"/>
        <w:jc w:val="both"/>
        <w:rPr/>
      </w:pPr>
      <w:r>
        <w:rPr>
          <w:color w:val="000000"/>
        </w:rPr>
        <w:t>“</w:t>
      </w:r>
      <w:r>
        <w:rPr>
          <w:rFonts w:ascii="Times New Roman" w:hAnsi="Times New Roman"/>
          <w:color w:val="000000"/>
          <w:sz w:val="22"/>
          <w:u w:val="single"/>
        </w:rPr>
        <w:t>Historical Financial Statements</w:t>
      </w:r>
      <w:r>
        <w:rPr>
          <w:rFonts w:ascii="Times New Roman" w:hAnsi="Times New Roman"/>
          <w:color w:val="000000"/>
          <w:sz w:val="20"/>
        </w:rPr>
        <w:t xml:space="preserve">” </w:t>
      </w:r>
      <w:r>
        <w:rPr>
          <w:rFonts w:ascii="Times New Roman" w:hAnsi="Times New Roman"/>
          <w:color w:val="000000"/>
          <w:sz w:val="22"/>
        </w:rPr>
        <w:t>means the December 31, 2024 audited consolidated financial statements of the Borrower and its Subsidiaries heretofore delivered to the Administrative Agent and the Lenders, copies of which are included in the Borrower’s Annual Report on Form 10-K as filed with the SEC.</w:t>
      </w:r>
    </w:p>
    <w:p>
      <w:pPr>
        <w:pStyle w:val="TextBody"/>
        <w:bidi w:val="0"/>
        <w:spacing w:before="0" w:after="240"/>
        <w:jc w:val="both"/>
        <w:rPr/>
      </w:pPr>
      <w:r>
        <w:rPr>
          <w:color w:val="000000"/>
        </w:rPr>
        <w:t>“</w:t>
      </w:r>
      <w:r>
        <w:rPr>
          <w:rFonts w:ascii="Times New Roman" w:hAnsi="Times New Roman"/>
          <w:color w:val="000000"/>
          <w:sz w:val="22"/>
          <w:u w:val="single"/>
        </w:rPr>
        <w:t>Honor Date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2.03(c)(i)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IFRS</w:t>
      </w:r>
      <w:r>
        <w:rPr>
          <w:rFonts w:ascii="Times New Roman" w:hAnsi="Times New Roman"/>
          <w:color w:val="000000"/>
          <w:sz w:val="20"/>
        </w:rPr>
        <w:t xml:space="preserve">” </w:t>
      </w:r>
      <w:r>
        <w:rPr>
          <w:rFonts w:ascii="Times New Roman" w:hAnsi="Times New Roman"/>
          <w:color w:val="000000"/>
          <w:sz w:val="22"/>
        </w:rPr>
        <w:t>means international accounting standards within the meaning of IAS Regulation 1606/2002 to the extent applicable to the relevant financial statements delivered under or referred to herein.</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Immaterial Domestic Subsidiary</w:t>
      </w:r>
      <w:r>
        <w:rPr>
          <w:rFonts w:ascii="Times New Roman" w:hAnsi="Times New Roman"/>
          <w:color w:val="000000"/>
          <w:sz w:val="20"/>
        </w:rPr>
        <w:t xml:space="preserve">” </w:t>
      </w:r>
      <w:r>
        <w:rPr>
          <w:rFonts w:ascii="Times New Roman" w:hAnsi="Times New Roman"/>
          <w:color w:val="000000"/>
          <w:sz w:val="22"/>
        </w:rPr>
        <w:t xml:space="preserve">means a Domestic Subsidiary which, (a) when considered on an individual basis, does not have (i) assets with an aggregate book value in excess of 5% of Consolidated Total Assets as of the date of the most recently ended fiscal quarter of the Borrower for which the Borrower has delivered financial statements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(or, prior to the first such delivery, the financial statements for the fiscal quarter ended September 30, 2025) or (ii) revenues attributable to such Domestic Subsidiary in excess of 5% of the consolidated revenues of the Borrower and its Subsidiaries as of the most recently ended fiscal quarter of the Borrower for which the Borrower has delivered financial statements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(or, prior to the first such delivery, the financial statements for the fiscal quarter ended September 30, 2025) and (b) when taken together with all other Immaterial Domestic Subsidiaries which are not Guarantors, does not have (i) assets with an aggregate book value in excess of 15% of Consolidated Total Assets as of the date of the most recently ended fiscal quarter of the Borrower for which the Borrower has delivered financial statements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(or, prior to the first such delivery, the financial statements for the fiscal quarter ended September 30, 2025) or (ii) revenues in excess of 15% of the consolidated revenues of the Borrower and its Subsidiaries as of the most recently ended fiscal quarter of the Borrower for which the Borrower has delivered financial statements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(or, prior to the first such delivery, the financial statements for the fiscal quarter ended September 30, 2025).</w:t>
      </w:r>
    </w:p>
    <w:p>
      <w:pPr>
        <w:pStyle w:val="TextBody"/>
        <w:bidi w:val="0"/>
        <w:spacing w:before="0" w:after="240"/>
        <w:jc w:val="both"/>
        <w:rPr/>
      </w:pPr>
      <w:r>
        <w:rPr>
          <w:color w:val="000000"/>
        </w:rPr>
        <w:t>“</w:t>
      </w:r>
      <w:r>
        <w:rPr>
          <w:rFonts w:ascii="Times New Roman" w:hAnsi="Times New Roman"/>
          <w:color w:val="000000"/>
          <w:sz w:val="22"/>
          <w:u w:val="single"/>
        </w:rPr>
        <w:t>Immaterial Foreign Subsidiary</w:t>
      </w:r>
      <w:r>
        <w:rPr>
          <w:rFonts w:ascii="Times New Roman" w:hAnsi="Times New Roman"/>
          <w:color w:val="000000"/>
          <w:sz w:val="20"/>
        </w:rPr>
        <w:t xml:space="preserve">” </w:t>
      </w:r>
      <w:r>
        <w:rPr>
          <w:rFonts w:ascii="Times New Roman" w:hAnsi="Times New Roman"/>
          <w:color w:val="000000"/>
          <w:sz w:val="22"/>
        </w:rPr>
        <w:t xml:space="preserve">means a Foreign Subsidiary which, when considered on an individual basis, does not have (a) assets with an aggregate book value in excess of 5% of Consolidated Total Assets as of the date of the most recently ended fiscal quarter of the Borrower for which the Borrower has delivered financial statements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(or, prior to the first such delivery, the financial statements for the fiscal quarter ended September 30, 2025) or (b) revenues attributable to such Foreign Subsidiary in excess of 5% of the consolidated revenues of the Borrower and its Subsidiaries as of the most recently ended fiscal quarter of the Borrower for which the Borrower has delivered financial statements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(or, prior to the first such delivery, the financial statements for the fiscal quarter ended September 30, 2025).</w:t>
      </w:r>
    </w:p>
    <w:p>
      <w:pPr>
        <w:pStyle w:val="TextBody"/>
        <w:bidi w:val="0"/>
        <w:spacing w:before="0" w:after="240"/>
        <w:jc w:val="both"/>
        <w:rPr/>
      </w:pPr>
      <w:r>
        <w:rPr>
          <w:color w:val="000000"/>
        </w:rPr>
        <w:t>“</w:t>
      </w:r>
      <w:r>
        <w:rPr>
          <w:rFonts w:ascii="Times New Roman" w:hAnsi="Times New Roman"/>
          <w:color w:val="000000"/>
          <w:sz w:val="22"/>
          <w:u w:val="single"/>
        </w:rPr>
        <w:t>Incremental Amendment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2.16(f)</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Incremental Commitments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2.16(a)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Incremental Facility Closing Date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2.16(d)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Incremental Term Loan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2.01(b)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Incremental Term Loan Commitments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2.16(a)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Indebtedness</w:t>
      </w:r>
      <w:r>
        <w:rPr>
          <w:rFonts w:ascii="Times New Roman" w:hAnsi="Times New Roman"/>
          <w:color w:val="000000"/>
          <w:sz w:val="20"/>
        </w:rPr>
        <w:t xml:space="preserve">” </w:t>
      </w:r>
      <w:r>
        <w:rPr>
          <w:rFonts w:ascii="Times New Roman" w:hAnsi="Times New Roman"/>
          <w:color w:val="000000"/>
          <w:sz w:val="22"/>
        </w:rPr>
        <w:t>means, as to any Person as of any date of determination, without duplication, all of the following, whether or not included as indebtedness or liabilities in accordance with GAAP: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all obligations, whether current or long-term, for borrowed money (including Obligations hereunder) and all obligations evidenced by bonds, debentures, notes, loan agreements or other similar instruments;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all purchase money indebtedness and capitalized leases;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maximum amount available to be drawn under letters of credit (including standby and commercial), bankers’ acceptances, bank guaranties, surety bonds and similar instruments;</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all obligations in respect of the deferred purchase price of property or services (other than (i) trade accounts payable, intercompany charges of expenses, deferred revenue and other accrued liabilities (including deferred payments in respect of services by employees), in each case incurred in the ordinary course of business, and (ii) any earn-out obligation or other post-closing balance sheet adjustment so long as no payment is owed thereunder and past due);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all Attributable Indebtedness;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the Swap Termination Value of any Swap Contract;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all obligations to purchase, redeem, retire, defease or otherwise make any payment prior to then-latest Maturity Date in respect of any Disqualified Stock, valued, in the case of a redeemable preferred interest, at the greater of its voluntary or involuntary liquidation preference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accrued and unpaid dividends;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without duplication, all Guarantees in respect of any of the foregoing;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all Indebtedness of the types referred to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(i)</w:t>
      </w:r>
      <w:r>
        <w:rPr>
          <w:rFonts w:ascii="Times New Roman" w:hAnsi="Times New Roman"/>
          <w:color w:val="000000"/>
          <w:sz w:val="20"/>
        </w:rPr>
        <w:t xml:space="preserve"> </w:t>
      </w:r>
      <w:r>
        <w:rPr>
          <w:rFonts w:ascii="Times New Roman" w:hAnsi="Times New Roman"/>
          <w:color w:val="000000"/>
          <w:sz w:val="22"/>
        </w:rPr>
        <w:t>above of any partnership or joint venture (other than a joint venture that is itself a corporation or limited liability company) in which such Person is a general partner or a joint venturer, except to the extent that such Indebtedness is expressly made non-recourse to such Person (except for customary exceptions to non-recourse provisions such as fraud, misappropriation of funds and environmental liabilities).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the avoidance of doubt, notwithstanding anything to the contrary contained in this Agreement or in any other Loan Document, the following shall not constitute Indebtedness: (i) trade payables created in the ordinary course of business in connection with the acquisition of inventory (including inventory subject to a Lien described under </w:t>
      </w:r>
      <w:r>
        <w:rPr>
          <w:rFonts w:ascii="Times New Roman" w:hAnsi="Times New Roman"/>
          <w:color w:val="000000"/>
          <w:sz w:val="22"/>
          <w:u w:val="single"/>
        </w:rPr>
        <w:t>Section 8.01(y)</w:t>
      </w:r>
      <w:r>
        <w:rPr>
          <w:rFonts w:ascii="Times New Roman" w:hAnsi="Times New Roman"/>
          <w:color w:val="000000"/>
          <w:sz w:val="22"/>
        </w:rPr>
        <w:t>), (ii) overdraft lines and (iii) Permitted Call Spread Transactions.</w:t>
      </w:r>
    </w:p>
    <w:p>
      <w:pPr>
        <w:pStyle w:val="TextBody"/>
        <w:bidi w:val="0"/>
        <w:spacing w:before="0" w:after="240"/>
        <w:jc w:val="both"/>
        <w:rPr/>
      </w:pPr>
      <w:r>
        <w:rPr>
          <w:color w:val="000000"/>
        </w:rPr>
        <w:t>“</w:t>
      </w:r>
      <w:r>
        <w:rPr>
          <w:rFonts w:ascii="Times New Roman" w:hAnsi="Times New Roman"/>
          <w:color w:val="000000"/>
          <w:sz w:val="22"/>
          <w:u w:val="single"/>
        </w:rPr>
        <w:t>Indemnified Taxes</w:t>
      </w:r>
      <w:r>
        <w:rPr>
          <w:rFonts w:ascii="Times New Roman" w:hAnsi="Times New Roman"/>
          <w:color w:val="000000"/>
          <w:sz w:val="20"/>
        </w:rPr>
        <w:t xml:space="preserve">” </w:t>
      </w:r>
      <w:r>
        <w:rPr>
          <w:rFonts w:ascii="Times New Roman" w:hAnsi="Times New Roman"/>
          <w:color w:val="000000"/>
          <w:sz w:val="22"/>
        </w:rPr>
        <w:t xml:space="preserve">means (a) Taxes, other than Excluded Taxes, imposed on or with respect to any payment made by or on account of any obligation of any Loan Party under any Loan Document and (b) to the extent not otherwise described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above, Other Taxes.</w:t>
      </w:r>
    </w:p>
    <w:p>
      <w:pPr>
        <w:pStyle w:val="TextBody"/>
        <w:bidi w:val="0"/>
        <w:spacing w:before="0" w:after="240"/>
        <w:jc w:val="both"/>
        <w:rPr/>
      </w:pPr>
      <w:r>
        <w:rPr>
          <w:color w:val="000000"/>
        </w:rPr>
        <w:t>“</w:t>
      </w:r>
      <w:r>
        <w:rPr>
          <w:rFonts w:ascii="Times New Roman" w:hAnsi="Times New Roman"/>
          <w:color w:val="000000"/>
          <w:sz w:val="22"/>
          <w:u w:val="single"/>
        </w:rPr>
        <w:t>Indemnitee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11.04(b)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Information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11.07</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Intercompany Indebtedness</w:t>
      </w:r>
      <w:r>
        <w:rPr>
          <w:rFonts w:ascii="Times New Roman" w:hAnsi="Times New Roman"/>
          <w:color w:val="000000"/>
          <w:sz w:val="20"/>
        </w:rPr>
        <w:t xml:space="preserve">” </w:t>
      </w:r>
      <w:r>
        <w:rPr>
          <w:rFonts w:ascii="Times New Roman" w:hAnsi="Times New Roman"/>
          <w:color w:val="000000"/>
          <w:sz w:val="22"/>
        </w:rPr>
        <w:t>means Indebtedness owing by a Loan Party to another Loan Party.</w:t>
      </w:r>
    </w:p>
    <w:p>
      <w:pPr>
        <w:pStyle w:val="TextBody"/>
        <w:bidi w:val="0"/>
        <w:spacing w:before="0" w:after="240"/>
        <w:jc w:val="both"/>
        <w:rPr/>
      </w:pPr>
      <w:r>
        <w:rPr>
          <w:color w:val="000000"/>
        </w:rPr>
        <w:t>“</w:t>
      </w:r>
      <w:r>
        <w:rPr>
          <w:rFonts w:ascii="Times New Roman" w:hAnsi="Times New Roman"/>
          <w:color w:val="000000"/>
          <w:sz w:val="22"/>
          <w:u w:val="single"/>
        </w:rPr>
        <w:t>Intercreditor Agreement</w:t>
      </w:r>
      <w:r>
        <w:rPr>
          <w:rFonts w:ascii="Times New Roman" w:hAnsi="Times New Roman"/>
          <w:color w:val="000000"/>
          <w:sz w:val="20"/>
        </w:rPr>
        <w:t xml:space="preserve">” </w:t>
      </w:r>
      <w:r>
        <w:rPr>
          <w:rFonts w:ascii="Times New Roman" w:hAnsi="Times New Roman"/>
          <w:color w:val="000000"/>
          <w:sz w:val="22"/>
        </w:rPr>
        <w:t xml:space="preserve">means, with respect to any Indebtedness permitted pursuant to </w:t>
      </w:r>
      <w:r>
        <w:rPr>
          <w:rFonts w:ascii="Times New Roman" w:hAnsi="Times New Roman"/>
          <w:color w:val="000000"/>
          <w:sz w:val="22"/>
          <w:u w:val="single"/>
        </w:rPr>
        <w:t>Section 8.03</w:t>
      </w:r>
      <w:r>
        <w:rPr>
          <w:rFonts w:ascii="Times New Roman" w:hAnsi="Times New Roman"/>
          <w:color w:val="000000"/>
          <w:sz w:val="20"/>
        </w:rPr>
        <w:t xml:space="preserve"> </w:t>
      </w:r>
      <w:r>
        <w:rPr>
          <w:rFonts w:ascii="Times New Roman" w:hAnsi="Times New Roman"/>
          <w:color w:val="000000"/>
          <w:sz w:val="22"/>
        </w:rPr>
        <w:t>and secured by any Permitted Lien, any intercreditor agreement entered into between or among the holders of such Indebtedness (or any duly authorized trustee, agent or other representative for such holder(s)) and the Administrative Agent, in form and substance reasonably satisfactory to the Administrative Agent.</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Interest Payment Date</w:t>
      </w:r>
      <w:r>
        <w:rPr>
          <w:rFonts w:ascii="Times New Roman" w:hAnsi="Times New Roman"/>
          <w:color w:val="000000"/>
          <w:sz w:val="20"/>
        </w:rPr>
        <w:t xml:space="preserve">” </w:t>
      </w:r>
      <w:r>
        <w:rPr>
          <w:rFonts w:ascii="Times New Roman" w:hAnsi="Times New Roman"/>
          <w:color w:val="000000"/>
          <w:sz w:val="22"/>
        </w:rPr>
        <w:t>means: (a) as to any Term SOFR Loan, the last day of each Interest Period applicable to such Loan and the Maturity Date applicable to such Loan; provided, that, if any Interest Period for a Term SOFR Loan exceeds three months, the respective dates that fall every three months after the beginning of such Interest Period shall also be Interest Payment Dates; and (b) as to any Base Rate Loan, the last Business Day of each January, April, July and October and the Maturity Date applicable to such Loan.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Interest Period</w:t>
      </w:r>
      <w:r>
        <w:rPr>
          <w:rFonts w:ascii="Times New Roman" w:hAnsi="Times New Roman"/>
          <w:color w:val="000000"/>
          <w:sz w:val="20"/>
        </w:rPr>
        <w:t xml:space="preserve">” </w:t>
      </w:r>
      <w:r>
        <w:rPr>
          <w:rFonts w:ascii="Times New Roman" w:hAnsi="Times New Roman"/>
          <w:color w:val="000000"/>
          <w:sz w:val="22"/>
        </w:rPr>
        <w:t>means as to each Term SOFR Loan, the period commencing on the date such Term SOFR Loan is disbursed or converted to or continued as a Term SOFR Loan and ending on the date one, three or six months thereafter, as selected by the Borrower in its Loan Notice, or such other period that is twelve months or less requested by the Borrower and consented to by all the applicable Lenders and the Administrative Agent (in the case of each requested Interest Period, subject to availability); provided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before="0" w:after="240"/>
        <w:jc w:val="both"/>
        <w:rPr>
          <w:rFonts w:ascii="Times New Roman" w:hAnsi="Times New Roman"/>
          <w:sz w:val="20"/>
        </w:rPr>
      </w:pPr>
      <w:r>
        <w:rPr>
          <w:rFonts w:ascii="Times New Roman" w:hAnsi="Times New Roman"/>
          <w:color w:val="000000"/>
          <w:sz w:val="22"/>
        </w:rPr>
        <w:t>(c) no Interest Period for any Loan shall extend beyond the Maturity Date applicable to such Loan.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Internal Revenue Code</w:t>
      </w:r>
      <w:r>
        <w:rPr>
          <w:rFonts w:ascii="Times New Roman" w:hAnsi="Times New Roman"/>
          <w:color w:val="000000"/>
          <w:sz w:val="20"/>
        </w:rPr>
        <w:t xml:space="preserve">” </w:t>
      </w:r>
      <w:r>
        <w:rPr>
          <w:rFonts w:ascii="Times New Roman" w:hAnsi="Times New Roman"/>
          <w:color w:val="000000"/>
          <w:sz w:val="22"/>
        </w:rPr>
        <w:t>means the Internal Revenue Code of 1986.</w:t>
      </w:r>
    </w:p>
    <w:p>
      <w:pPr>
        <w:pStyle w:val="TextBody"/>
        <w:bidi w:val="0"/>
        <w:spacing w:before="0" w:after="240"/>
        <w:jc w:val="both"/>
        <w:rPr/>
      </w:pPr>
      <w:r>
        <w:rPr>
          <w:color w:val="000000"/>
        </w:rPr>
        <w:t>“</w:t>
      </w:r>
      <w:r>
        <w:rPr>
          <w:rFonts w:ascii="Times New Roman" w:hAnsi="Times New Roman"/>
          <w:color w:val="000000"/>
          <w:sz w:val="22"/>
          <w:u w:val="single"/>
        </w:rPr>
        <w:t>Investment</w:t>
      </w:r>
      <w:r>
        <w:rPr>
          <w:rFonts w:ascii="Times New Roman" w:hAnsi="Times New Roman"/>
          <w:color w:val="000000"/>
          <w:sz w:val="20"/>
        </w:rPr>
        <w:t xml:space="preserve">” </w:t>
      </w:r>
      <w:r>
        <w:rPr>
          <w:rFonts w:ascii="Times New Roman" w:hAnsi="Times New Roman"/>
          <w:color w:val="000000"/>
          <w:sz w:val="22"/>
        </w:rPr>
        <w:t>means, as to any Person, (a) the purchase or other acquisition by such Person of Equity Interests of another Person, (b) a loan, advance or capital contribution by such Person to, Guarantee or assumption of Indebtedness by such Person of, or purchase or other acquisition by such Person of any other debt or equity participation or interest in, another Person, including any partnership or joint venture interest in such other Person, or (c) an Acquisition by such Person. For purposes of covenant compliance, unless otherwise specified, the amount of any Investment shall be the amount actually invested at any one time outstanding, without adjustment for subsequent increases or decreases in the value of such Investment.</w:t>
      </w:r>
    </w:p>
    <w:p>
      <w:pPr>
        <w:pStyle w:val="TextBody"/>
        <w:bidi w:val="0"/>
        <w:spacing w:before="0" w:after="240"/>
        <w:jc w:val="both"/>
        <w:rPr/>
      </w:pPr>
      <w:r>
        <w:rPr>
          <w:color w:val="000000"/>
        </w:rPr>
        <w:t>“</w:t>
      </w:r>
      <w:r>
        <w:rPr>
          <w:rFonts w:ascii="Times New Roman" w:hAnsi="Times New Roman"/>
          <w:color w:val="000000"/>
          <w:sz w:val="22"/>
          <w:u w:val="single"/>
        </w:rPr>
        <w:t>Investment Grade Period</w:t>
      </w:r>
      <w:r>
        <w:rPr>
          <w:rFonts w:ascii="Times New Roman" w:hAnsi="Times New Roman"/>
          <w:color w:val="000000"/>
          <w:sz w:val="20"/>
        </w:rPr>
        <w:t xml:space="preserve">” </w:t>
      </w:r>
      <w:r>
        <w:rPr>
          <w:rFonts w:ascii="Times New Roman" w:hAnsi="Times New Roman"/>
          <w:color w:val="000000"/>
          <w:sz w:val="22"/>
        </w:rPr>
        <w:t>means any period that (a) commences upon the date on which an Investment Grade Trigger Event shall have occurred and (b) ends on any subsequent date on which a Reinstatement Event shall have occurred.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Investment Grade Trigger Event</w:t>
      </w:r>
      <w:r>
        <w:rPr>
          <w:rFonts w:ascii="Times New Roman" w:hAnsi="Times New Roman"/>
          <w:color w:val="000000"/>
          <w:sz w:val="20"/>
        </w:rPr>
        <w:t xml:space="preserve">” </w:t>
      </w:r>
      <w:r>
        <w:rPr>
          <w:rFonts w:ascii="Times New Roman" w:hAnsi="Times New Roman"/>
          <w:color w:val="000000"/>
          <w:sz w:val="22"/>
        </w:rPr>
        <w:t>means the event that shall be deemed to have occurred if all of the following are satisfied: (a) the Borrower obtaining an Investment Grade Ratings Status and (b) no Default or Event of Default shall have occurred and be continuing prior to or after giving effect to the occurrence of the Investment Grade Trigger Event.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Investment Grade Ratings Status</w:t>
      </w:r>
      <w:r>
        <w:rPr>
          <w:rFonts w:ascii="Times New Roman" w:hAnsi="Times New Roman"/>
          <w:color w:val="000000"/>
          <w:sz w:val="20"/>
        </w:rPr>
        <w:t xml:space="preserve">” </w:t>
      </w:r>
      <w:r>
        <w:rPr>
          <w:rFonts w:ascii="Times New Roman" w:hAnsi="Times New Roman"/>
          <w:color w:val="000000"/>
          <w:sz w:val="22"/>
        </w:rPr>
        <w:t>means a corporate family rating of any two of the following: (a) with respect to Moody’s, Baa3 or higher, (b) with respect to S&amp;P, BBB- or higher and (c) with respect to Fitch, BBB- or higher.</w:t>
      </w:r>
    </w:p>
    <w:p>
      <w:pPr>
        <w:pStyle w:val="TextBody"/>
        <w:bidi w:val="0"/>
        <w:spacing w:before="0" w:after="240"/>
        <w:jc w:val="both"/>
        <w:rPr/>
      </w:pPr>
      <w:r>
        <w:rPr>
          <w:color w:val="000000"/>
        </w:rPr>
        <w:t>“</w:t>
      </w:r>
      <w:r>
        <w:rPr>
          <w:rFonts w:ascii="Times New Roman" w:hAnsi="Times New Roman"/>
          <w:color w:val="000000"/>
          <w:sz w:val="22"/>
          <w:u w:val="single"/>
        </w:rPr>
        <w:t>IP Rights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6.17</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IRS</w:t>
      </w:r>
      <w:r>
        <w:rPr>
          <w:rFonts w:ascii="Times New Roman" w:hAnsi="Times New Roman"/>
          <w:color w:val="000000"/>
          <w:sz w:val="20"/>
        </w:rPr>
        <w:t xml:space="preserve">” </w:t>
      </w:r>
      <w:r>
        <w:rPr>
          <w:rFonts w:ascii="Times New Roman" w:hAnsi="Times New Roman"/>
          <w:color w:val="000000"/>
          <w:sz w:val="22"/>
        </w:rPr>
        <w:t>means the United States Internal Revenue Service.</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ISDA Definitions</w:t>
      </w:r>
      <w:r>
        <w:rPr>
          <w:rFonts w:ascii="Times New Roman" w:hAnsi="Times New Roman"/>
          <w:color w:val="000000"/>
          <w:sz w:val="20"/>
        </w:rPr>
        <w:t>”</w:t>
      </w:r>
      <w:r>
        <w:rPr>
          <w:rFonts w:ascii="Times New Roman" w:hAnsi="Times New Roman"/>
          <w:color w:val="000000"/>
          <w:sz w:val="22"/>
        </w:rPr>
        <w:t>: 2006 ISDA Definitions (or successor definitional booklet for interest rate derivatives) published by the International Swaps and Derivatives Association, Inc. or any successor thereto, as amended or supplemented from time to time.</w:t>
      </w:r>
    </w:p>
    <w:p>
      <w:pPr>
        <w:pStyle w:val="TextBody"/>
        <w:bidi w:val="0"/>
        <w:spacing w:before="0" w:after="240"/>
        <w:jc w:val="both"/>
        <w:rPr/>
      </w:pPr>
      <w:r>
        <w:rPr>
          <w:color w:val="000000"/>
        </w:rPr>
        <w:t>“</w:t>
      </w:r>
      <w:r>
        <w:rPr>
          <w:rFonts w:ascii="Times New Roman" w:hAnsi="Times New Roman"/>
          <w:color w:val="000000"/>
          <w:sz w:val="22"/>
          <w:u w:val="single"/>
        </w:rPr>
        <w:t>ISP</w:t>
      </w:r>
      <w:r>
        <w:rPr>
          <w:rFonts w:ascii="Times New Roman" w:hAnsi="Times New Roman"/>
          <w:color w:val="000000"/>
          <w:sz w:val="20"/>
        </w:rPr>
        <w:t xml:space="preserve">” </w:t>
      </w:r>
      <w:r>
        <w:rPr>
          <w:rFonts w:ascii="Times New Roman" w:hAnsi="Times New Roman"/>
          <w:color w:val="000000"/>
          <w:sz w:val="22"/>
        </w:rPr>
        <w:t>means, with respect to any Letter of Credit, the International Standby Practices, International Chamber of Commerce Publication No. 590 (or such later version thereof as may be in effect at the applicable time such Letter of Credit is issued).</w:t>
      </w:r>
    </w:p>
    <w:p>
      <w:pPr>
        <w:pStyle w:val="TextBody"/>
        <w:bidi w:val="0"/>
        <w:spacing w:before="0" w:after="240"/>
        <w:jc w:val="both"/>
        <w:rPr/>
      </w:pPr>
      <w:r>
        <w:rPr>
          <w:color w:val="000000"/>
        </w:rPr>
        <w:t>“</w:t>
      </w:r>
      <w:r>
        <w:rPr>
          <w:rFonts w:ascii="Times New Roman" w:hAnsi="Times New Roman"/>
          <w:color w:val="000000"/>
          <w:sz w:val="22"/>
          <w:u w:val="single"/>
        </w:rPr>
        <w:t>Issuer Documents</w:t>
      </w:r>
      <w:r>
        <w:rPr>
          <w:rFonts w:ascii="Times New Roman" w:hAnsi="Times New Roman"/>
          <w:color w:val="000000"/>
          <w:sz w:val="20"/>
        </w:rPr>
        <w:t xml:space="preserve">” </w:t>
      </w:r>
      <w:r>
        <w:rPr>
          <w:rFonts w:ascii="Times New Roman" w:hAnsi="Times New Roman"/>
          <w:color w:val="000000"/>
          <w:sz w:val="22"/>
        </w:rPr>
        <w:t>means with respect to any Letter of Credit, the Letter of Credit Application, and any other document, agreement and instrument entered into by an L/C Issuer and the Borrower (or any Subsidiary) or in favor of such L/C Issuer and relating to such Letter of Credit.</w:t>
      </w:r>
    </w:p>
    <w:p>
      <w:pPr>
        <w:pStyle w:val="TextBody"/>
        <w:bidi w:val="0"/>
        <w:spacing w:before="0" w:after="240"/>
        <w:jc w:val="both"/>
        <w:rPr/>
      </w:pPr>
      <w:r>
        <w:rPr>
          <w:color w:val="000000"/>
        </w:rPr>
        <w:t>“</w:t>
      </w:r>
      <w:r>
        <w:rPr>
          <w:rFonts w:ascii="Times New Roman" w:hAnsi="Times New Roman"/>
          <w:color w:val="000000"/>
          <w:sz w:val="22"/>
          <w:u w:val="single"/>
        </w:rPr>
        <w:t>Joinder Agreement</w:t>
      </w:r>
      <w:r>
        <w:rPr>
          <w:rFonts w:ascii="Times New Roman" w:hAnsi="Times New Roman"/>
          <w:color w:val="000000"/>
          <w:sz w:val="20"/>
        </w:rPr>
        <w:t xml:space="preserve">” </w:t>
      </w:r>
      <w:r>
        <w:rPr>
          <w:rFonts w:ascii="Times New Roman" w:hAnsi="Times New Roman"/>
          <w:color w:val="000000"/>
          <w:sz w:val="22"/>
        </w:rPr>
        <w:t xml:space="preserve">means a joinder agreement substantially in the form of </w:t>
      </w:r>
      <w:r>
        <w:rPr>
          <w:rFonts w:ascii="Times New Roman" w:hAnsi="Times New Roman"/>
          <w:color w:val="000000"/>
          <w:sz w:val="22"/>
          <w:u w:val="single"/>
        </w:rPr>
        <w:t>Exhibit E</w:t>
      </w:r>
      <w:r>
        <w:rPr>
          <w:rFonts w:ascii="Times New Roman" w:hAnsi="Times New Roman"/>
          <w:color w:val="000000"/>
          <w:sz w:val="20"/>
        </w:rPr>
        <w:t xml:space="preserve"> </w:t>
      </w:r>
      <w:r>
        <w:rPr>
          <w:rFonts w:ascii="Times New Roman" w:hAnsi="Times New Roman"/>
          <w:color w:val="000000"/>
          <w:sz w:val="22"/>
        </w:rPr>
        <w:t xml:space="preserve">executed and delivered by a Domestic Subsidiary in accordance with the provisions of </w:t>
      </w:r>
      <w:r>
        <w:rPr>
          <w:rFonts w:ascii="Times New Roman" w:hAnsi="Times New Roman"/>
          <w:color w:val="000000"/>
          <w:sz w:val="22"/>
          <w:u w:val="single"/>
        </w:rPr>
        <w:t>Section 7.12</w:t>
      </w:r>
      <w:r>
        <w:rPr>
          <w:rFonts w:ascii="Times New Roman" w:hAnsi="Times New Roman"/>
          <w:color w:val="000000"/>
          <w:sz w:val="20"/>
        </w:rPr>
        <w:t xml:space="preserve"> </w:t>
      </w:r>
      <w:r>
        <w:rPr>
          <w:rFonts w:ascii="Times New Roman" w:hAnsi="Times New Roman"/>
          <w:color w:val="000000"/>
          <w:sz w:val="22"/>
        </w:rPr>
        <w:t>or any other documents as the Administrative Agent shall deem appropriate for such purpose.</w:t>
      </w:r>
    </w:p>
    <w:p>
      <w:pPr>
        <w:pStyle w:val="TextBody"/>
        <w:bidi w:val="0"/>
        <w:spacing w:before="0" w:after="240"/>
        <w:jc w:val="both"/>
        <w:rPr/>
      </w:pPr>
      <w:r>
        <w:rPr>
          <w:color w:val="000000"/>
        </w:rPr>
        <w:t>“</w:t>
      </w:r>
      <w:r>
        <w:rPr>
          <w:rFonts w:ascii="Times New Roman" w:hAnsi="Times New Roman"/>
          <w:color w:val="000000"/>
          <w:sz w:val="22"/>
          <w:u w:val="single"/>
        </w:rPr>
        <w:t>Junior Indebtedness</w:t>
      </w:r>
      <w:r>
        <w:rPr>
          <w:rFonts w:ascii="Times New Roman" w:hAnsi="Times New Roman"/>
          <w:color w:val="000000"/>
          <w:sz w:val="20"/>
        </w:rPr>
        <w:t xml:space="preserve">” </w:t>
      </w:r>
      <w:r>
        <w:rPr>
          <w:rFonts w:ascii="Times New Roman" w:hAnsi="Times New Roman"/>
          <w:color w:val="000000"/>
          <w:sz w:val="22"/>
        </w:rPr>
        <w:t>means (a) unsecured debt securities issued by the Borrower or any Subsidiary, (b) unsecured term loans borrowed by the Borrower or any Subsidiary, (c) Subordinated Indebtedness, and (d) Indebtedness secured on a junior basis to the Liens securing the Obligations. For the avoidance of doubt, Junior Indebtedness does not include Loans.</w:t>
      </w:r>
    </w:p>
    <w:p>
      <w:pPr>
        <w:pStyle w:val="TextBody"/>
        <w:bidi w:val="0"/>
        <w:spacing w:before="0" w:after="240"/>
        <w:jc w:val="both"/>
        <w:rPr/>
      </w:pPr>
      <w:r>
        <w:rPr>
          <w:color w:val="000000"/>
        </w:rPr>
        <w:t>“</w:t>
      </w:r>
      <w:r>
        <w:rPr>
          <w:rFonts w:ascii="Times New Roman" w:hAnsi="Times New Roman"/>
          <w:color w:val="000000"/>
          <w:sz w:val="22"/>
          <w:u w:val="single"/>
        </w:rPr>
        <w:t>L/C Advance</w:t>
      </w:r>
      <w:r>
        <w:rPr>
          <w:rFonts w:ascii="Times New Roman" w:hAnsi="Times New Roman"/>
          <w:color w:val="000000"/>
          <w:sz w:val="20"/>
        </w:rPr>
        <w:t xml:space="preserve">” </w:t>
      </w:r>
      <w:r>
        <w:rPr>
          <w:rFonts w:ascii="Times New Roman" w:hAnsi="Times New Roman"/>
          <w:color w:val="000000"/>
          <w:sz w:val="22"/>
        </w:rPr>
        <w:t>means, with respect to each Lender with a Revolving Commitment, such Lender’s funding of its participation in any L/C Borrowing in accordance with its Applicable Revolving Percentage.</w:t>
      </w:r>
    </w:p>
    <w:p>
      <w:pPr>
        <w:pStyle w:val="TextBody"/>
        <w:bidi w:val="0"/>
        <w:spacing w:before="0" w:after="240"/>
        <w:jc w:val="both"/>
        <w:rPr/>
      </w:pPr>
      <w:r>
        <w:rPr>
          <w:color w:val="000000"/>
        </w:rPr>
        <w:t>“</w:t>
      </w:r>
      <w:r>
        <w:rPr>
          <w:rFonts w:ascii="Times New Roman" w:hAnsi="Times New Roman"/>
          <w:color w:val="000000"/>
          <w:sz w:val="22"/>
          <w:u w:val="single"/>
        </w:rPr>
        <w:t>L/C Borrowing</w:t>
      </w:r>
      <w:r>
        <w:rPr>
          <w:rFonts w:ascii="Times New Roman" w:hAnsi="Times New Roman"/>
          <w:color w:val="000000"/>
          <w:sz w:val="20"/>
        </w:rPr>
        <w:t xml:space="preserve">” </w:t>
      </w:r>
      <w:r>
        <w:rPr>
          <w:rFonts w:ascii="Times New Roman" w:hAnsi="Times New Roman"/>
          <w:color w:val="000000"/>
          <w:sz w:val="22"/>
        </w:rPr>
        <w:t>means an extension of credit resulting from a drawing under any Letter of Credit which has not been reimbursed on the date when made or refinanced as a Borrowing of Revolving Loans.</w:t>
      </w:r>
    </w:p>
    <w:p>
      <w:pPr>
        <w:pStyle w:val="TextBody"/>
        <w:bidi w:val="0"/>
        <w:spacing w:before="0" w:after="240"/>
        <w:jc w:val="both"/>
        <w:rPr/>
      </w:pPr>
      <w:r>
        <w:rPr>
          <w:color w:val="000000"/>
        </w:rPr>
        <w:t>“</w:t>
      </w:r>
      <w:r>
        <w:rPr>
          <w:rFonts w:ascii="Times New Roman" w:hAnsi="Times New Roman"/>
          <w:color w:val="000000"/>
          <w:sz w:val="22"/>
          <w:u w:val="single"/>
        </w:rPr>
        <w:t>L/C Commitment</w:t>
      </w:r>
      <w:r>
        <w:rPr>
          <w:rFonts w:ascii="Times New Roman" w:hAnsi="Times New Roman"/>
          <w:color w:val="000000"/>
          <w:sz w:val="20"/>
        </w:rPr>
        <w:t xml:space="preserve">” </w:t>
      </w:r>
      <w:r>
        <w:rPr>
          <w:rFonts w:ascii="Times New Roman" w:hAnsi="Times New Roman"/>
          <w:color w:val="000000"/>
          <w:sz w:val="22"/>
        </w:rPr>
        <w:t xml:space="preserve">means, with respect to each L/C Issuer, the commitment of such L/C Issuer to issue Letters of Credit hereunder. The initial amount of each L/C Issuer’s Letter of Credit Commitment is set forth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or, with respect to any Person that becomes an L/C Issuer after the Effective Date, the amount set forth for such L/C Issuer as its Letter of Credit Commitment in the Register maintained by the Administrative Agent. The Letter of Credit Commitment of an L/C Issuer may be modified from time to time by agreement between such L/C Issuer and the Borrower, and notified to the Administrative Agent.</w:t>
      </w:r>
    </w:p>
    <w:p>
      <w:pPr>
        <w:pStyle w:val="TextBody"/>
        <w:bidi w:val="0"/>
        <w:spacing w:before="0" w:after="240"/>
        <w:jc w:val="both"/>
        <w:rPr/>
      </w:pPr>
      <w:r>
        <w:rPr>
          <w:color w:val="000000"/>
        </w:rPr>
        <w:t>“</w:t>
      </w:r>
      <w:r>
        <w:rPr>
          <w:rFonts w:ascii="Times New Roman" w:hAnsi="Times New Roman"/>
          <w:color w:val="000000"/>
          <w:sz w:val="22"/>
          <w:u w:val="single"/>
        </w:rPr>
        <w:t>L/C Credit Extension</w:t>
      </w:r>
      <w:r>
        <w:rPr>
          <w:rFonts w:ascii="Times New Roman" w:hAnsi="Times New Roman"/>
          <w:color w:val="000000"/>
          <w:sz w:val="20"/>
        </w:rPr>
        <w:t xml:space="preserve">” </w:t>
      </w:r>
      <w:r>
        <w:rPr>
          <w:rFonts w:ascii="Times New Roman" w:hAnsi="Times New Roman"/>
          <w:color w:val="000000"/>
          <w:sz w:val="22"/>
        </w:rPr>
        <w:t>means, with respect to any Letter of Credit, the issuance thereof or extension of the expiry date thereof, or the increase of the amount thereof.</w:t>
      </w:r>
    </w:p>
    <w:p>
      <w:pPr>
        <w:pStyle w:val="TextBody"/>
        <w:bidi w:val="0"/>
        <w:spacing w:before="0" w:after="240"/>
        <w:jc w:val="both"/>
        <w:rPr/>
      </w:pPr>
      <w:r>
        <w:rPr>
          <w:color w:val="000000"/>
        </w:rPr>
        <w:t>“</w:t>
      </w:r>
      <w:r>
        <w:rPr>
          <w:rFonts w:ascii="Times New Roman" w:hAnsi="Times New Roman"/>
          <w:color w:val="000000"/>
          <w:sz w:val="22"/>
          <w:u w:val="single"/>
        </w:rPr>
        <w:t>L/C Issuer</w:t>
      </w:r>
      <w:r>
        <w:rPr>
          <w:rFonts w:ascii="Times New Roman" w:hAnsi="Times New Roman"/>
          <w:color w:val="000000"/>
          <w:sz w:val="20"/>
        </w:rPr>
        <w:t xml:space="preserve">” </w:t>
      </w:r>
      <w:r>
        <w:rPr>
          <w:rFonts w:ascii="Times New Roman" w:hAnsi="Times New Roman"/>
          <w:color w:val="000000"/>
          <w:sz w:val="22"/>
        </w:rPr>
        <w:t xml:space="preserve">means, with respect to a particular Letter of Credit, (a) Bank of America in its capacity as issuer of such Letters of Credit hereunder, or any successor issuer of such Letter of Credit hereunder, and (b) each other Lender selected by the Borrower pursuant to </w:t>
      </w:r>
      <w:r>
        <w:rPr>
          <w:rFonts w:ascii="Times New Roman" w:hAnsi="Times New Roman"/>
          <w:color w:val="000000"/>
          <w:sz w:val="22"/>
          <w:u w:val="single"/>
        </w:rPr>
        <w:t>Section 2.03(l)</w:t>
      </w:r>
      <w:r>
        <w:rPr>
          <w:rFonts w:ascii="Times New Roman" w:hAnsi="Times New Roman"/>
          <w:color w:val="000000"/>
          <w:sz w:val="20"/>
        </w:rPr>
        <w:t xml:space="preserve"> </w:t>
      </w:r>
      <w:r>
        <w:rPr>
          <w:rFonts w:ascii="Times New Roman" w:hAnsi="Times New Roman"/>
          <w:color w:val="000000"/>
          <w:sz w:val="22"/>
        </w:rPr>
        <w:t xml:space="preserve">(subject to the consent of such Lender as provided in </w:t>
      </w:r>
      <w:r>
        <w:rPr>
          <w:rFonts w:ascii="Times New Roman" w:hAnsi="Times New Roman"/>
          <w:color w:val="000000"/>
          <w:sz w:val="22"/>
          <w:u w:val="single"/>
        </w:rPr>
        <w:t>Section 2.03(l)</w:t>
      </w:r>
      <w:r>
        <w:rPr>
          <w:rFonts w:ascii="Times New Roman" w:hAnsi="Times New Roman"/>
          <w:color w:val="000000"/>
          <w:sz w:val="22"/>
        </w:rPr>
        <w:t>) from time to time to issue such Letter of Credit, or any successor issuer of such Letter of Credit hereunder.</w:t>
      </w:r>
    </w:p>
    <w:p>
      <w:pPr>
        <w:pStyle w:val="TextBody"/>
        <w:bidi w:val="0"/>
        <w:spacing w:before="0" w:after="240"/>
        <w:jc w:val="both"/>
        <w:rPr/>
      </w:pPr>
      <w:r>
        <w:rPr>
          <w:color w:val="000000"/>
        </w:rPr>
        <w:t>“</w:t>
      </w:r>
      <w:r>
        <w:rPr>
          <w:rFonts w:ascii="Times New Roman" w:hAnsi="Times New Roman"/>
          <w:color w:val="000000"/>
          <w:sz w:val="22"/>
          <w:u w:val="single"/>
        </w:rPr>
        <w:t>L/C Obligations</w:t>
      </w:r>
      <w:r>
        <w:rPr>
          <w:rFonts w:ascii="Times New Roman" w:hAnsi="Times New Roman"/>
          <w:color w:val="000000"/>
          <w:sz w:val="20"/>
        </w:rPr>
        <w:t xml:space="preserve">” </w:t>
      </w:r>
      <w:r>
        <w:rPr>
          <w:rFonts w:ascii="Times New Roman" w:hAnsi="Times New Roman"/>
          <w:color w:val="000000"/>
          <w:sz w:val="22"/>
        </w:rPr>
        <w:t xml:space="preserve">means, as at any date of determination, the aggregate amount available to be drawn under all outstanding Letters of Credit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the aggregate of all Unreimbursed Amounts, including all L/C Borrowings. For purposes of computing the amount available to be drawn under any Letter of Credit, the amount of such Letter of Credit shall be determined in accordance with </w:t>
      </w:r>
      <w:r>
        <w:rPr>
          <w:rFonts w:ascii="Times New Roman" w:hAnsi="Times New Roman"/>
          <w:color w:val="000000"/>
          <w:sz w:val="22"/>
          <w:u w:val="single"/>
        </w:rPr>
        <w:t>Section 1.06</w:t>
      </w:r>
      <w:r>
        <w:rPr>
          <w:rFonts w:ascii="Times New Roman" w:hAnsi="Times New Roman"/>
          <w:color w:val="000000"/>
          <w:sz w:val="22"/>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Laws</w:t>
      </w:r>
      <w:r>
        <w:rPr>
          <w:rFonts w:ascii="Times New Roman" w:hAnsi="Times New Roman"/>
          <w:color w:val="000000"/>
          <w:sz w:val="20"/>
        </w:rPr>
        <w:t xml:space="preserve">” </w:t>
      </w:r>
      <w:r>
        <w:rPr>
          <w:rFonts w:ascii="Times New Roman" w:hAnsi="Times New Roman"/>
          <w:color w:val="000000"/>
          <w:sz w:val="22"/>
        </w:rPr>
        <w:t>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before="0" w:after="240"/>
        <w:jc w:val="both"/>
        <w:rPr/>
      </w:pPr>
      <w:r>
        <w:rPr>
          <w:color w:val="000000"/>
        </w:rPr>
        <w:t>“</w:t>
      </w:r>
      <w:r>
        <w:rPr>
          <w:rFonts w:ascii="Times New Roman" w:hAnsi="Times New Roman"/>
          <w:color w:val="000000"/>
          <w:sz w:val="22"/>
          <w:u w:val="single"/>
        </w:rPr>
        <w:t>LCA Test Date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1.03(e)</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Lender</w:t>
      </w:r>
      <w:r>
        <w:rPr>
          <w:rFonts w:ascii="Times New Roman" w:hAnsi="Times New Roman"/>
          <w:color w:val="000000"/>
          <w:sz w:val="20"/>
        </w:rPr>
        <w:t xml:space="preserve">” </w:t>
      </w:r>
      <w:r>
        <w:rPr>
          <w:rFonts w:ascii="Times New Roman" w:hAnsi="Times New Roman"/>
          <w:color w:val="000000"/>
          <w:sz w:val="22"/>
        </w:rPr>
        <w:t>means each of the Persons identified as a “Lender” on the signature pages hereto, each other Person that becomes a “Lender” in accordance with this Agreement and their successors and assigns.</w:t>
      </w:r>
    </w:p>
    <w:p>
      <w:pPr>
        <w:pStyle w:val="TextBody"/>
        <w:bidi w:val="0"/>
        <w:spacing w:before="0" w:after="240"/>
        <w:jc w:val="both"/>
        <w:rPr/>
      </w:pPr>
      <w:r>
        <w:rPr>
          <w:color w:val="000000"/>
        </w:rPr>
        <w:t>“</w:t>
      </w:r>
      <w:r>
        <w:rPr>
          <w:rFonts w:ascii="Times New Roman" w:hAnsi="Times New Roman"/>
          <w:color w:val="000000"/>
          <w:sz w:val="22"/>
          <w:u w:val="single"/>
        </w:rPr>
        <w:t>Lender Party</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Lender Recipient Party</w:t>
      </w:r>
      <w:r>
        <w:rPr>
          <w:rFonts w:ascii="Times New Roman" w:hAnsi="Times New Roman"/>
          <w:color w:val="000000"/>
          <w:sz w:val="20"/>
        </w:rPr>
        <w:t xml:space="preserve">” </w:t>
      </w:r>
      <w:r>
        <w:rPr>
          <w:rFonts w:ascii="Times New Roman" w:hAnsi="Times New Roman"/>
          <w:color w:val="000000"/>
          <w:sz w:val="22"/>
        </w:rPr>
        <w:t>means, collectively, the Lenders and the L/C Issuer.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Lending Office</w:t>
      </w:r>
      <w:r>
        <w:rPr>
          <w:rFonts w:ascii="Times New Roman" w:hAnsi="Times New Roman"/>
          <w:color w:val="000000"/>
          <w:sz w:val="20"/>
        </w:rPr>
        <w:t xml:space="preserve">” </w:t>
      </w:r>
      <w:r>
        <w:rPr>
          <w:rFonts w:ascii="Times New Roman" w:hAnsi="Times New Roman"/>
          <w:color w:val="000000"/>
          <w:sz w:val="22"/>
        </w:rPr>
        <w:t>means, as to the Administrative Agent, any L/C Issuer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w:t>
      </w:r>
    </w:p>
    <w:p>
      <w:pPr>
        <w:pStyle w:val="TextBody"/>
        <w:bidi w:val="0"/>
        <w:spacing w:before="0" w:after="240"/>
        <w:jc w:val="both"/>
        <w:rPr/>
      </w:pPr>
      <w:r>
        <w:rPr>
          <w:color w:val="000000"/>
        </w:rPr>
        <w:t>“</w:t>
      </w:r>
      <w:r>
        <w:rPr>
          <w:rFonts w:ascii="Times New Roman" w:hAnsi="Times New Roman"/>
          <w:color w:val="000000"/>
          <w:sz w:val="22"/>
          <w:u w:val="single"/>
        </w:rPr>
        <w:t>Letter of Credit</w:t>
      </w:r>
      <w:r>
        <w:rPr>
          <w:rFonts w:ascii="Times New Roman" w:hAnsi="Times New Roman"/>
          <w:color w:val="000000"/>
          <w:sz w:val="20"/>
        </w:rPr>
        <w:t xml:space="preserve">” </w:t>
      </w:r>
      <w:r>
        <w:rPr>
          <w:rFonts w:ascii="Times New Roman" w:hAnsi="Times New Roman"/>
          <w:color w:val="000000"/>
          <w:sz w:val="22"/>
        </w:rPr>
        <w:t>means any standby letter of credit issued hereunder providing for the payment of cash upon the honoring of a presentation thereunder.</w:t>
      </w:r>
    </w:p>
    <w:p>
      <w:pPr>
        <w:pStyle w:val="TextBody"/>
        <w:bidi w:val="0"/>
        <w:spacing w:before="0" w:after="240"/>
        <w:jc w:val="both"/>
        <w:rPr/>
      </w:pPr>
      <w:r>
        <w:rPr>
          <w:color w:val="000000"/>
        </w:rPr>
        <w:t>“</w:t>
      </w:r>
      <w:r>
        <w:rPr>
          <w:rFonts w:ascii="Times New Roman" w:hAnsi="Times New Roman"/>
          <w:color w:val="000000"/>
          <w:sz w:val="22"/>
          <w:u w:val="single"/>
        </w:rPr>
        <w:t>Letter of Credit Application</w:t>
      </w:r>
      <w:r>
        <w:rPr>
          <w:rFonts w:ascii="Times New Roman" w:hAnsi="Times New Roman"/>
          <w:color w:val="000000"/>
          <w:sz w:val="20"/>
        </w:rPr>
        <w:t xml:space="preserve">” </w:t>
      </w:r>
      <w:r>
        <w:rPr>
          <w:rFonts w:ascii="Times New Roman" w:hAnsi="Times New Roman"/>
          <w:color w:val="000000"/>
          <w:sz w:val="22"/>
        </w:rPr>
        <w:t>means an application and agreement for the issuance or amendment of a Letter of Credit in the form from time to time in use by the applicable L/C Issuer.</w:t>
      </w:r>
    </w:p>
    <w:p>
      <w:pPr>
        <w:pStyle w:val="TextBody"/>
        <w:bidi w:val="0"/>
        <w:spacing w:before="0" w:after="240"/>
        <w:jc w:val="both"/>
        <w:rPr/>
      </w:pPr>
      <w:r>
        <w:rPr>
          <w:color w:val="000000"/>
        </w:rPr>
        <w:t>“</w:t>
      </w:r>
      <w:r>
        <w:rPr>
          <w:rFonts w:ascii="Times New Roman" w:hAnsi="Times New Roman"/>
          <w:color w:val="000000"/>
          <w:sz w:val="22"/>
          <w:u w:val="single"/>
        </w:rPr>
        <w:t>Letter of Credit Expiration Date</w:t>
      </w:r>
      <w:r>
        <w:rPr>
          <w:rFonts w:ascii="Times New Roman" w:hAnsi="Times New Roman"/>
          <w:color w:val="000000"/>
          <w:sz w:val="20"/>
        </w:rPr>
        <w:t xml:space="preserve">” </w:t>
      </w:r>
      <w:r>
        <w:rPr>
          <w:rFonts w:ascii="Times New Roman" w:hAnsi="Times New Roman"/>
          <w:color w:val="000000"/>
          <w:sz w:val="22"/>
        </w:rPr>
        <w:t>means the day that is seven days prior to the Maturity Date then in effect for the Revolving Loans (or, if such day is not a Business Day, the next preceding Business Day).</w:t>
      </w:r>
    </w:p>
    <w:p>
      <w:pPr>
        <w:pStyle w:val="TextBody"/>
        <w:bidi w:val="0"/>
        <w:spacing w:before="0" w:after="240"/>
        <w:jc w:val="both"/>
        <w:rPr/>
      </w:pPr>
      <w:r>
        <w:rPr>
          <w:color w:val="000000"/>
        </w:rPr>
        <w:t>“</w:t>
      </w:r>
      <w:r>
        <w:rPr>
          <w:rFonts w:ascii="Times New Roman" w:hAnsi="Times New Roman"/>
          <w:color w:val="000000"/>
          <w:sz w:val="22"/>
          <w:u w:val="single"/>
        </w:rPr>
        <w:t>Letter of Credit Fee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2.03(h)</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rPr>
        <w:t xml:space="preserve">Letter of Credit Report” means a certificate substantially the form of </w:t>
      </w:r>
      <w:r>
        <w:rPr>
          <w:rFonts w:ascii="Times New Roman" w:hAnsi="Times New Roman"/>
          <w:color w:val="000000"/>
          <w:sz w:val="22"/>
          <w:u w:val="single"/>
        </w:rPr>
        <w:t>Exhibit J</w:t>
      </w:r>
      <w:r>
        <w:rPr>
          <w:rFonts w:ascii="Times New Roman" w:hAnsi="Times New Roman"/>
          <w:color w:val="000000"/>
          <w:sz w:val="20"/>
        </w:rPr>
        <w:t xml:space="preserve"> </w:t>
      </w:r>
      <w:r>
        <w:rPr>
          <w:rFonts w:ascii="Times New Roman" w:hAnsi="Times New Roman"/>
          <w:color w:val="000000"/>
          <w:sz w:val="22"/>
        </w:rPr>
        <w:t>or any other form approved by the Administrative Agent.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Letter of Credit Sublimit</w:t>
      </w:r>
      <w:r>
        <w:rPr>
          <w:rFonts w:ascii="Times New Roman" w:hAnsi="Times New Roman"/>
          <w:color w:val="000000"/>
          <w:sz w:val="20"/>
        </w:rPr>
        <w:t xml:space="preserve">” </w:t>
      </w:r>
      <w:r>
        <w:rPr>
          <w:rFonts w:ascii="Times New Roman" w:hAnsi="Times New Roman"/>
          <w:color w:val="000000"/>
          <w:sz w:val="22"/>
        </w:rPr>
        <w:t>means an amount equal to $50,000,000. The Letter of Credit Sublimit is part of, and not in addition to, the Aggregate Revolving Commitments.</w:t>
      </w:r>
    </w:p>
    <w:p>
      <w:pPr>
        <w:pStyle w:val="TextBody"/>
        <w:bidi w:val="0"/>
        <w:spacing w:before="0" w:after="240"/>
        <w:jc w:val="both"/>
        <w:rPr/>
      </w:pPr>
      <w:r>
        <w:rPr>
          <w:color w:val="000000"/>
        </w:rPr>
        <w:t>“</w:t>
      </w:r>
      <w:r>
        <w:rPr>
          <w:rFonts w:ascii="Times New Roman" w:hAnsi="Times New Roman"/>
          <w:color w:val="000000"/>
          <w:sz w:val="22"/>
          <w:u w:val="single"/>
        </w:rPr>
        <w:t>Leverage Increase Period</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8.11(a)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Lien</w:t>
      </w:r>
      <w:r>
        <w:rPr>
          <w:rFonts w:ascii="Times New Roman" w:hAnsi="Times New Roman"/>
          <w:color w:val="000000"/>
          <w:sz w:val="20"/>
        </w:rPr>
        <w:t xml:space="preserve">” </w:t>
      </w:r>
      <w:r>
        <w:rPr>
          <w:rFonts w:ascii="Times New Roman" w:hAnsi="Times New Roman"/>
          <w:color w:val="000000"/>
          <w:sz w:val="22"/>
        </w:rPr>
        <w:t>means any mortgage, pledge, hypothecation, assignment as collateral security, deposit arrangement, encumbrance, lien (statutory or other), charge,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bidi w:val="0"/>
        <w:spacing w:before="0" w:after="240"/>
        <w:jc w:val="both"/>
        <w:rPr/>
      </w:pPr>
      <w:r>
        <w:rPr>
          <w:color w:val="000000"/>
        </w:rPr>
        <w:t>“</w:t>
      </w:r>
      <w:r>
        <w:rPr>
          <w:rFonts w:ascii="Times New Roman" w:hAnsi="Times New Roman"/>
          <w:color w:val="000000"/>
          <w:sz w:val="22"/>
          <w:u w:val="single"/>
        </w:rPr>
        <w:t>Limited Condition Acquisition</w:t>
      </w:r>
      <w:r>
        <w:rPr>
          <w:rFonts w:ascii="Times New Roman" w:hAnsi="Times New Roman"/>
          <w:color w:val="000000"/>
          <w:sz w:val="20"/>
        </w:rPr>
        <w:t xml:space="preserve">” </w:t>
      </w:r>
      <w:r>
        <w:rPr>
          <w:rFonts w:ascii="Times New Roman" w:hAnsi="Times New Roman"/>
          <w:color w:val="000000"/>
          <w:sz w:val="22"/>
        </w:rPr>
        <w:t xml:space="preserve">means any Permitted Acquisition or other Investment permitted by </w:t>
      </w:r>
      <w:r>
        <w:rPr>
          <w:rFonts w:ascii="Times New Roman" w:hAnsi="Times New Roman"/>
          <w:color w:val="000000"/>
          <w:sz w:val="22"/>
          <w:u w:val="single"/>
        </w:rPr>
        <w:t>Section 8.02</w:t>
      </w:r>
      <w:r>
        <w:rPr>
          <w:rFonts w:ascii="Times New Roman" w:hAnsi="Times New Roman"/>
          <w:color w:val="000000"/>
          <w:sz w:val="20"/>
        </w:rPr>
        <w:t xml:space="preserve"> </w:t>
      </w:r>
      <w:r>
        <w:rPr>
          <w:rFonts w:ascii="Times New Roman" w:hAnsi="Times New Roman"/>
          <w:color w:val="000000"/>
          <w:sz w:val="22"/>
        </w:rPr>
        <w:t>that the Borrower or any Subsidiary is contractually committed to consummate and whose consummation is not conditioned upon the availability of, or on obtaining, third party financing.</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Liquidity</w:t>
      </w:r>
      <w:r>
        <w:rPr>
          <w:rFonts w:ascii="Times New Roman" w:hAnsi="Times New Roman"/>
          <w:color w:val="000000"/>
          <w:sz w:val="20"/>
        </w:rPr>
        <w:t xml:space="preserve">” </w:t>
      </w:r>
      <w:r>
        <w:rPr>
          <w:rFonts w:ascii="Times New Roman" w:hAnsi="Times New Roman"/>
          <w:color w:val="000000"/>
          <w:sz w:val="22"/>
        </w:rPr>
        <w:t>means the sum of (i) all unrestricted cash and Cash Equivalents of the Borrower and its Subsidiaries and (ii) the aggregate unused Commitments then available to be drawn by the Borrower under the Revolving Credit Facility.</w:t>
      </w:r>
    </w:p>
    <w:p>
      <w:pPr>
        <w:pStyle w:val="TextBody"/>
        <w:bidi w:val="0"/>
        <w:spacing w:before="0" w:after="240"/>
        <w:jc w:val="both"/>
        <w:rPr/>
      </w:pPr>
      <w:r>
        <w:rPr>
          <w:color w:val="000000"/>
        </w:rPr>
        <w:t>“</w:t>
      </w:r>
      <w:r>
        <w:rPr>
          <w:rFonts w:ascii="Times New Roman" w:hAnsi="Times New Roman"/>
          <w:color w:val="000000"/>
          <w:sz w:val="22"/>
          <w:u w:val="single"/>
        </w:rPr>
        <w:t>Loan</w:t>
      </w:r>
      <w:r>
        <w:rPr>
          <w:rFonts w:ascii="Times New Roman" w:hAnsi="Times New Roman"/>
          <w:color w:val="000000"/>
          <w:sz w:val="20"/>
        </w:rPr>
        <w:t xml:space="preserve">” </w:t>
      </w:r>
      <w:r>
        <w:rPr>
          <w:rFonts w:ascii="Times New Roman" w:hAnsi="Times New Roman"/>
          <w:color w:val="000000"/>
          <w:sz w:val="22"/>
        </w:rPr>
        <w:t xml:space="preserve">means an extension of credit by a Lender to the Borrower under </w:t>
      </w:r>
      <w:r>
        <w:rPr>
          <w:rFonts w:ascii="Times New Roman" w:hAnsi="Times New Roman"/>
          <w:color w:val="000000"/>
          <w:sz w:val="22"/>
          <w:u w:val="single"/>
        </w:rPr>
        <w:t>Article II</w:t>
      </w:r>
      <w:r>
        <w:rPr>
          <w:rFonts w:ascii="Times New Roman" w:hAnsi="Times New Roman"/>
          <w:color w:val="000000"/>
          <w:sz w:val="20"/>
        </w:rPr>
        <w:t xml:space="preserve"> </w:t>
      </w:r>
      <w:r>
        <w:rPr>
          <w:rFonts w:ascii="Times New Roman" w:hAnsi="Times New Roman"/>
          <w:color w:val="000000"/>
          <w:sz w:val="22"/>
        </w:rPr>
        <w:t>in the form of a Revolving Loan or a Term Loan.</w:t>
      </w:r>
    </w:p>
    <w:p>
      <w:pPr>
        <w:pStyle w:val="TextBody"/>
        <w:bidi w:val="0"/>
        <w:spacing w:before="0" w:after="240"/>
        <w:jc w:val="both"/>
        <w:rPr/>
      </w:pPr>
      <w:r>
        <w:rPr>
          <w:color w:val="000000"/>
        </w:rPr>
        <w:t>“</w:t>
      </w:r>
      <w:r>
        <w:rPr>
          <w:rFonts w:ascii="Times New Roman" w:hAnsi="Times New Roman"/>
          <w:color w:val="000000"/>
          <w:sz w:val="22"/>
          <w:u w:val="single"/>
        </w:rPr>
        <w:t>Loan Documents</w:t>
      </w:r>
      <w:r>
        <w:rPr>
          <w:rFonts w:ascii="Times New Roman" w:hAnsi="Times New Roman"/>
          <w:color w:val="000000"/>
          <w:sz w:val="20"/>
        </w:rPr>
        <w:t xml:space="preserve">” </w:t>
      </w:r>
      <w:r>
        <w:rPr>
          <w:rFonts w:ascii="Times New Roman" w:hAnsi="Times New Roman"/>
          <w:color w:val="000000"/>
          <w:sz w:val="22"/>
        </w:rPr>
        <w:t xml:space="preserve">means this Agreement, each Note, each Issuer Document, each Joinder Agreement, the Collateral Documents, any Intercreditor Agreement, each Incremental Amendment, the Fee Letter and any agreement creating or perfecting rights in Cash Collateral pursuant to the provisions of </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(but specifically excluding Secured Hedge Agreements and Secured Cash Management Agreements).</w:t>
      </w:r>
    </w:p>
    <w:p>
      <w:pPr>
        <w:pStyle w:val="TextBody"/>
        <w:bidi w:val="0"/>
        <w:spacing w:before="0" w:after="240"/>
        <w:jc w:val="both"/>
        <w:rPr/>
      </w:pPr>
      <w:r>
        <w:rPr>
          <w:color w:val="000000"/>
        </w:rPr>
        <w:t>“</w:t>
      </w:r>
      <w:r>
        <w:rPr>
          <w:rFonts w:ascii="Times New Roman" w:hAnsi="Times New Roman"/>
          <w:color w:val="000000"/>
          <w:sz w:val="22"/>
          <w:u w:val="single"/>
        </w:rPr>
        <w:t>Loan Notice</w:t>
      </w:r>
      <w:r>
        <w:rPr>
          <w:rFonts w:ascii="Times New Roman" w:hAnsi="Times New Roman"/>
          <w:color w:val="000000"/>
          <w:sz w:val="20"/>
        </w:rPr>
        <w:t xml:space="preserve">” </w:t>
      </w:r>
      <w:r>
        <w:rPr>
          <w:rFonts w:ascii="Times New Roman" w:hAnsi="Times New Roman"/>
          <w:color w:val="000000"/>
          <w:sz w:val="22"/>
        </w:rPr>
        <w:t xml:space="preserve">means a notice of (a) a Borrowing of Revolving Loans or a Term Loan, (b) a conversion of Loans from one Type to the other, or (c) a continuation of Term SOFR Loans, in each case pursuant to </w:t>
      </w:r>
      <w:r>
        <w:rPr>
          <w:rFonts w:ascii="Times New Roman" w:hAnsi="Times New Roman"/>
          <w:color w:val="000000"/>
          <w:sz w:val="22"/>
          <w:u w:val="single"/>
        </w:rPr>
        <w:t>Section 2.02(a)</w:t>
      </w:r>
      <w:r>
        <w:rPr>
          <w:rFonts w:ascii="Times New Roman" w:hAnsi="Times New Roman"/>
          <w:color w:val="000000"/>
          <w:sz w:val="22"/>
        </w:rPr>
        <w:t xml:space="preserve">, which shall be substantially in the form of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before="0" w:after="240"/>
        <w:jc w:val="both"/>
        <w:rPr/>
      </w:pPr>
      <w:r>
        <w:rPr>
          <w:color w:val="000000"/>
        </w:rPr>
        <w:t>“</w:t>
      </w:r>
      <w:r>
        <w:rPr>
          <w:rFonts w:ascii="Times New Roman" w:hAnsi="Times New Roman"/>
          <w:color w:val="000000"/>
          <w:sz w:val="22"/>
          <w:u w:val="single"/>
        </w:rPr>
        <w:t>Loan Parties</w:t>
      </w:r>
      <w:r>
        <w:rPr>
          <w:rFonts w:ascii="Times New Roman" w:hAnsi="Times New Roman"/>
          <w:color w:val="000000"/>
          <w:sz w:val="20"/>
        </w:rPr>
        <w:t xml:space="preserve">” </w:t>
      </w:r>
      <w:r>
        <w:rPr>
          <w:rFonts w:ascii="Times New Roman" w:hAnsi="Times New Roman"/>
          <w:color w:val="000000"/>
          <w:sz w:val="22"/>
        </w:rPr>
        <w:t>means, collectively, the Borrower and each Guarantor.</w:t>
      </w:r>
    </w:p>
    <w:p>
      <w:pPr>
        <w:pStyle w:val="TextBody"/>
        <w:bidi w:val="0"/>
        <w:spacing w:before="0" w:after="240"/>
        <w:jc w:val="both"/>
        <w:rPr/>
      </w:pPr>
      <w:r>
        <w:rPr>
          <w:color w:val="000000"/>
        </w:rPr>
        <w:t>“</w:t>
      </w:r>
      <w:r>
        <w:rPr>
          <w:rFonts w:ascii="Times New Roman" w:hAnsi="Times New Roman"/>
          <w:color w:val="000000"/>
          <w:sz w:val="22"/>
          <w:u w:val="single"/>
        </w:rPr>
        <w:t>Master Agreement</w:t>
      </w:r>
      <w:r>
        <w:rPr>
          <w:rFonts w:ascii="Times New Roman" w:hAnsi="Times New Roman"/>
          <w:color w:val="000000"/>
          <w:sz w:val="20"/>
        </w:rPr>
        <w:t xml:space="preserve">” </w:t>
      </w:r>
      <w:r>
        <w:rPr>
          <w:rFonts w:ascii="Times New Roman" w:hAnsi="Times New Roman"/>
          <w:color w:val="000000"/>
          <w:sz w:val="22"/>
        </w:rPr>
        <w:t>has the meaning specified in the definition of “Swap Contract.”</w:t>
      </w:r>
    </w:p>
    <w:p>
      <w:pPr>
        <w:pStyle w:val="TextBody"/>
        <w:bidi w:val="0"/>
        <w:spacing w:before="0" w:after="240"/>
        <w:jc w:val="both"/>
        <w:rPr/>
      </w:pPr>
      <w:r>
        <w:rPr>
          <w:color w:val="000000"/>
        </w:rPr>
        <w:t>“</w:t>
      </w:r>
      <w:r>
        <w:rPr>
          <w:rFonts w:ascii="Times New Roman" w:hAnsi="Times New Roman"/>
          <w:color w:val="000000"/>
          <w:sz w:val="22"/>
          <w:u w:val="single"/>
        </w:rPr>
        <w:t>Material Adverse Effect</w:t>
      </w:r>
      <w:r>
        <w:rPr>
          <w:rFonts w:ascii="Times New Roman" w:hAnsi="Times New Roman"/>
          <w:color w:val="000000"/>
          <w:sz w:val="20"/>
        </w:rPr>
        <w:t xml:space="preserve">” </w:t>
      </w:r>
      <w:r>
        <w:rPr>
          <w:rFonts w:ascii="Times New Roman" w:hAnsi="Times New Roman"/>
          <w:color w:val="000000"/>
          <w:sz w:val="22"/>
        </w:rPr>
        <w:t>means: a material adverse change in, or a material adverse effect upon, (a) the operations, business, properties, liabilities (actual or contingent) or financial condition of the Borrower and its Subsidiaries, taken as a whole; (b) the rights and remedies of the Administrative Agent or any Lender, taken as a whole, under any Loan Document to which it is a party or is a beneficiary thereof; (c) the ability of the Loan Parties (taken as a whole) to perform their payment obligations under any Loan Document to which they are a party; or (d) the legality, validity, binding effect or enforceability against any Loan Party of any Loan Document to which it is a party.</w:t>
      </w:r>
    </w:p>
    <w:p>
      <w:pPr>
        <w:pStyle w:val="TextBody"/>
        <w:bidi w:val="0"/>
        <w:spacing w:before="0" w:after="240"/>
        <w:jc w:val="both"/>
        <w:rPr/>
      </w:pPr>
      <w:r>
        <w:rPr>
          <w:color w:val="000000"/>
        </w:rPr>
        <w:t>“</w:t>
      </w:r>
      <w:r>
        <w:rPr>
          <w:rFonts w:ascii="Times New Roman" w:hAnsi="Times New Roman"/>
          <w:color w:val="000000"/>
          <w:sz w:val="22"/>
          <w:u w:val="single"/>
        </w:rPr>
        <w:t>Material Disposition</w:t>
      </w:r>
      <w:r>
        <w:rPr>
          <w:rFonts w:ascii="Times New Roman" w:hAnsi="Times New Roman"/>
          <w:color w:val="000000"/>
          <w:sz w:val="20"/>
        </w:rPr>
        <w:t xml:space="preserve">” </w:t>
      </w:r>
      <w:r>
        <w:rPr>
          <w:rFonts w:ascii="Times New Roman" w:hAnsi="Times New Roman"/>
          <w:color w:val="000000"/>
          <w:sz w:val="22"/>
        </w:rPr>
        <w:t>means any single Disposition or series of related Dispositions for which the aggregate gross cash proceeds received by the Borrower and its Subsidiaries exceeds $10,000,000.</w:t>
      </w:r>
    </w:p>
    <w:p>
      <w:pPr>
        <w:pStyle w:val="TextBody"/>
        <w:bidi w:val="0"/>
        <w:spacing w:before="0" w:after="240"/>
        <w:jc w:val="both"/>
        <w:rPr/>
      </w:pPr>
      <w:r>
        <w:rPr>
          <w:color w:val="000000"/>
        </w:rPr>
        <w:t>“</w:t>
      </w:r>
      <w:r>
        <w:rPr>
          <w:rFonts w:ascii="Times New Roman" w:hAnsi="Times New Roman"/>
          <w:color w:val="000000"/>
          <w:sz w:val="22"/>
          <w:u w:val="single"/>
        </w:rPr>
        <w:t>Material Indebtedness</w:t>
      </w:r>
      <w:r>
        <w:rPr>
          <w:rFonts w:ascii="Times New Roman" w:hAnsi="Times New Roman"/>
          <w:color w:val="000000"/>
          <w:sz w:val="20"/>
        </w:rPr>
        <w:t xml:space="preserve">” </w:t>
      </w:r>
      <w:r>
        <w:rPr>
          <w:rFonts w:ascii="Times New Roman" w:hAnsi="Times New Roman"/>
          <w:color w:val="000000"/>
          <w:sz w:val="22"/>
        </w:rPr>
        <w:t>means any Indebtedness (other than Indebtedness arising under the Loan Documents and Indebtedness arising under Swap Contracts) having an aggregate principal amount (including undrawn committed or available amounts and including amounts owing to all creditors under any combined or syndicated credit arrangement) of more than the Threshold Amount.</w:t>
      </w:r>
    </w:p>
    <w:p>
      <w:pPr>
        <w:pStyle w:val="TextBody"/>
        <w:bidi w:val="0"/>
        <w:spacing w:before="0" w:after="240"/>
        <w:jc w:val="both"/>
        <w:rPr/>
      </w:pPr>
      <w:r>
        <w:rPr>
          <w:color w:val="000000"/>
        </w:rPr>
        <w:t>“</w:t>
      </w:r>
      <w:r>
        <w:rPr>
          <w:rFonts w:ascii="Times New Roman" w:hAnsi="Times New Roman"/>
          <w:color w:val="000000"/>
          <w:sz w:val="22"/>
          <w:u w:val="single"/>
        </w:rPr>
        <w:t>Material Recovery Event</w:t>
      </w:r>
      <w:r>
        <w:rPr>
          <w:rFonts w:ascii="Times New Roman" w:hAnsi="Times New Roman"/>
          <w:color w:val="000000"/>
          <w:sz w:val="20"/>
        </w:rPr>
        <w:t xml:space="preserve">” </w:t>
      </w:r>
      <w:r>
        <w:rPr>
          <w:rFonts w:ascii="Times New Roman" w:hAnsi="Times New Roman"/>
          <w:color w:val="000000"/>
          <w:sz w:val="22"/>
        </w:rPr>
        <w:t>means any single Recovery Event or series of related Recovery Events for which the aggregate gross cash proceeds received by the Borrower and its Subsidiaries exceeds $10,000,000.</w:t>
      </w:r>
    </w:p>
    <w:p>
      <w:pPr>
        <w:pStyle w:val="TextBody"/>
        <w:bidi w:val="0"/>
        <w:spacing w:before="0" w:after="240"/>
        <w:jc w:val="both"/>
        <w:rPr/>
      </w:pPr>
      <w:r>
        <w:rPr>
          <w:color w:val="000000"/>
        </w:rPr>
        <w:t>“</w:t>
      </w:r>
      <w:r>
        <w:rPr>
          <w:rFonts w:ascii="Times New Roman" w:hAnsi="Times New Roman"/>
          <w:color w:val="000000"/>
          <w:sz w:val="22"/>
          <w:u w:val="single"/>
        </w:rPr>
        <w:t>Maturity Date</w:t>
      </w:r>
      <w:r>
        <w:rPr>
          <w:rFonts w:ascii="Times New Roman" w:hAnsi="Times New Roman"/>
          <w:color w:val="000000"/>
          <w:sz w:val="20"/>
        </w:rPr>
        <w:t xml:space="preserve">” </w:t>
      </w:r>
      <w:r>
        <w:rPr>
          <w:rFonts w:ascii="Times New Roman" w:hAnsi="Times New Roman"/>
          <w:color w:val="000000"/>
          <w:sz w:val="22"/>
        </w:rPr>
        <w:t xml:space="preserve">means (a) as to the Revolving Loans and Letters of Credit (and the related L/C Obligations), the date that is five (5) years after the Effective Date and (b) as to an Incremental Term Loan, the final maturity date applicable thereto as specified in the applicable Incremental Amendment;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each case, if such date is not a Business Day, the Maturity Date shall be the next preceding Business Day.</w:t>
      </w:r>
    </w:p>
    <w:p>
      <w:pPr>
        <w:pStyle w:val="TextBody"/>
        <w:bidi w:val="0"/>
        <w:spacing w:before="0" w:after="240"/>
        <w:jc w:val="both"/>
        <w:rPr/>
      </w:pPr>
      <w:r>
        <w:rPr>
          <w:color w:val="000000"/>
        </w:rPr>
        <w:t>“</w:t>
      </w:r>
      <w:r>
        <w:rPr>
          <w:rFonts w:ascii="Times New Roman" w:hAnsi="Times New Roman"/>
          <w:color w:val="000000"/>
          <w:sz w:val="22"/>
          <w:u w:val="single"/>
        </w:rPr>
        <w:t>Maximum Rate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11.09</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Minimum Collateral Amount</w:t>
      </w:r>
      <w:r>
        <w:rPr>
          <w:rFonts w:ascii="Times New Roman" w:hAnsi="Times New Roman"/>
          <w:color w:val="000000"/>
          <w:sz w:val="20"/>
        </w:rPr>
        <w:t xml:space="preserve">” </w:t>
      </w:r>
      <w:r>
        <w:rPr>
          <w:rFonts w:ascii="Times New Roman" w:hAnsi="Times New Roman"/>
          <w:color w:val="000000"/>
          <w:sz w:val="22"/>
        </w:rPr>
        <w:t xml:space="preserve">means, at any time, (a) with respect to Cash Collateral consisting of cash or deposit account balances provided to reduce or eliminate Fronting Exposure during the existence of a Defaulting Lender, an amount equal to 103% of the Fronting Exposure of the L/C Issuers with respect to Letters of Credit issued and outstanding at such time and (b) with respect to Cash Collateral consisting of cash or deposit account balances provided in accordance with the provisions of </w:t>
      </w:r>
      <w:r>
        <w:rPr>
          <w:rFonts w:ascii="Times New Roman" w:hAnsi="Times New Roman"/>
          <w:color w:val="000000"/>
          <w:sz w:val="22"/>
          <w:u w:val="single"/>
        </w:rPr>
        <w:t>Section 2.14(a)(i)</w:t>
      </w:r>
      <w:r>
        <w:rPr>
          <w:rFonts w:ascii="Times New Roman" w:hAnsi="Times New Roman"/>
          <w:color w:val="000000"/>
          <w:sz w:val="22"/>
        </w:rPr>
        <w:t xml:space="preserve">, </w:t>
      </w:r>
      <w:r>
        <w:rPr>
          <w:rFonts w:ascii="Times New Roman" w:hAnsi="Times New Roman"/>
          <w:color w:val="000000"/>
          <w:sz w:val="22"/>
          <w:u w:val="single"/>
        </w:rPr>
        <w:t>(a)(ii)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(a)(iii)</w:t>
      </w:r>
      <w:r>
        <w:rPr>
          <w:rFonts w:ascii="Times New Roman" w:hAnsi="Times New Roman"/>
          <w:color w:val="000000"/>
          <w:sz w:val="22"/>
        </w:rPr>
        <w:t>, an amount equal to 103% of the Outstanding Amount of all L/C Obligations.</w:t>
      </w:r>
    </w:p>
    <w:p>
      <w:pPr>
        <w:pStyle w:val="TextBody"/>
        <w:bidi w:val="0"/>
        <w:spacing w:before="0" w:after="240"/>
        <w:jc w:val="both"/>
        <w:rPr/>
      </w:pPr>
      <w:r>
        <w:rPr>
          <w:color w:val="000000"/>
        </w:rPr>
        <w:t>“</w:t>
      </w:r>
      <w:r>
        <w:rPr>
          <w:rFonts w:ascii="Times New Roman" w:hAnsi="Times New Roman"/>
          <w:color w:val="000000"/>
          <w:sz w:val="22"/>
          <w:u w:val="single"/>
        </w:rPr>
        <w:t>Moody’s</w:t>
      </w:r>
      <w:r>
        <w:rPr>
          <w:rFonts w:ascii="Times New Roman" w:hAnsi="Times New Roman"/>
          <w:color w:val="000000"/>
          <w:sz w:val="20"/>
        </w:rPr>
        <w:t xml:space="preserve">” </w:t>
      </w:r>
      <w:r>
        <w:rPr>
          <w:rFonts w:ascii="Times New Roman" w:hAnsi="Times New Roman"/>
          <w:color w:val="000000"/>
          <w:sz w:val="22"/>
        </w:rPr>
        <w:t>means Moody’s Investors Service, Inc. and any successor thereto.</w:t>
      </w:r>
    </w:p>
    <w:p>
      <w:pPr>
        <w:pStyle w:val="TextBody"/>
        <w:bidi w:val="0"/>
        <w:spacing w:before="0" w:after="240"/>
        <w:jc w:val="both"/>
        <w:rPr/>
      </w:pPr>
      <w:r>
        <w:rPr>
          <w:color w:val="000000"/>
        </w:rPr>
        <w:t>“</w:t>
      </w:r>
      <w:r>
        <w:rPr>
          <w:rFonts w:ascii="Times New Roman" w:hAnsi="Times New Roman"/>
          <w:color w:val="000000"/>
          <w:sz w:val="22"/>
          <w:u w:val="single"/>
        </w:rPr>
        <w:t>Multiemployer Plan</w:t>
      </w:r>
      <w:r>
        <w:rPr>
          <w:rFonts w:ascii="Times New Roman" w:hAnsi="Times New Roman"/>
          <w:color w:val="000000"/>
          <w:sz w:val="20"/>
        </w:rPr>
        <w:t xml:space="preserve">” </w:t>
      </w:r>
      <w:r>
        <w:rPr>
          <w:rFonts w:ascii="Times New Roman" w:hAnsi="Times New Roman"/>
          <w:color w:val="000000"/>
          <w:sz w:val="22"/>
        </w:rPr>
        <w:t>means any plan of the type described in Section 4001(a)(3) of ERISA, to which any Loan Party or any ERISA Affiliate makes or is obligated to make contributions, or during the preceding five plan years, has made or been obligated to make contributions.</w:t>
      </w:r>
    </w:p>
    <w:p>
      <w:pPr>
        <w:pStyle w:val="TextBody"/>
        <w:bidi w:val="0"/>
        <w:spacing w:before="0" w:after="240"/>
        <w:jc w:val="both"/>
        <w:rPr/>
      </w:pPr>
      <w:r>
        <w:rPr>
          <w:color w:val="000000"/>
        </w:rPr>
        <w:t>“</w:t>
      </w:r>
      <w:r>
        <w:rPr>
          <w:rFonts w:ascii="Times New Roman" w:hAnsi="Times New Roman"/>
          <w:color w:val="000000"/>
          <w:sz w:val="22"/>
          <w:u w:val="single"/>
        </w:rPr>
        <w:t>Multiple Employer Plan</w:t>
      </w:r>
      <w:r>
        <w:rPr>
          <w:rFonts w:ascii="Times New Roman" w:hAnsi="Times New Roman"/>
          <w:color w:val="000000"/>
          <w:sz w:val="20"/>
        </w:rPr>
        <w:t xml:space="preserve">” </w:t>
      </w:r>
      <w:r>
        <w:rPr>
          <w:rFonts w:ascii="Times New Roman" w:hAnsi="Times New Roman"/>
          <w:color w:val="000000"/>
          <w:sz w:val="22"/>
        </w:rPr>
        <w:t>means a Pension Plan which has two or more contributing sponsors (including any Loan Party or any ERISA Affiliate) at least two of whom are not under common control, as such a plan is described in Section 4064 of ERISA.</w:t>
      </w:r>
    </w:p>
    <w:p>
      <w:pPr>
        <w:pStyle w:val="TextBody"/>
        <w:bidi w:val="0"/>
        <w:spacing w:before="0" w:after="240"/>
        <w:jc w:val="both"/>
        <w:rPr/>
      </w:pPr>
      <w:r>
        <w:rPr>
          <w:color w:val="000000"/>
        </w:rPr>
        <w:t>“</w:t>
      </w:r>
      <w:r>
        <w:rPr>
          <w:rFonts w:ascii="Times New Roman" w:hAnsi="Times New Roman"/>
          <w:color w:val="000000"/>
          <w:sz w:val="22"/>
          <w:u w:val="single"/>
        </w:rPr>
        <w:t>Non-Consenting Lender</w:t>
      </w:r>
      <w:r>
        <w:rPr>
          <w:rFonts w:ascii="Times New Roman" w:hAnsi="Times New Roman"/>
          <w:color w:val="000000"/>
          <w:sz w:val="20"/>
        </w:rPr>
        <w:t xml:space="preserve">” </w:t>
      </w:r>
      <w:r>
        <w:rPr>
          <w:rFonts w:ascii="Times New Roman" w:hAnsi="Times New Roman"/>
          <w:color w:val="000000"/>
          <w:sz w:val="22"/>
        </w:rPr>
        <w:t xml:space="preserve">means any Lender that does not approve any consent, waiver or amendment that (a) requires the approval of all Lenders or all affected Lenders in accordance with the terms of </w:t>
      </w:r>
      <w:r>
        <w:rPr>
          <w:rFonts w:ascii="Times New Roman" w:hAnsi="Times New Roman"/>
          <w:color w:val="000000"/>
          <w:sz w:val="22"/>
          <w:u w:val="single"/>
        </w:rPr>
        <w:t>Section 11.01</w:t>
      </w:r>
      <w:r>
        <w:rPr>
          <w:rFonts w:ascii="Times New Roman" w:hAnsi="Times New Roman"/>
          <w:color w:val="000000"/>
          <w:sz w:val="20"/>
        </w:rPr>
        <w:t xml:space="preserve"> </w:t>
      </w:r>
      <w:r>
        <w:rPr>
          <w:rFonts w:ascii="Times New Roman" w:hAnsi="Times New Roman"/>
          <w:color w:val="000000"/>
          <w:sz w:val="22"/>
        </w:rPr>
        <w:t>and (b) has been approved by the Required Lenders.</w:t>
      </w:r>
    </w:p>
    <w:p>
      <w:pPr>
        <w:pStyle w:val="TextBody"/>
        <w:bidi w:val="0"/>
        <w:spacing w:before="0" w:after="240"/>
        <w:jc w:val="both"/>
        <w:rPr/>
      </w:pPr>
      <w:r>
        <w:rPr>
          <w:color w:val="000000"/>
        </w:rPr>
        <w:t>“</w:t>
      </w:r>
      <w:r>
        <w:rPr>
          <w:rFonts w:ascii="Times New Roman" w:hAnsi="Times New Roman"/>
          <w:color w:val="000000"/>
          <w:sz w:val="22"/>
          <w:u w:val="single"/>
        </w:rPr>
        <w:t>Non-Defaulting Lender</w:t>
      </w:r>
      <w:r>
        <w:rPr>
          <w:rFonts w:ascii="Times New Roman" w:hAnsi="Times New Roman"/>
          <w:color w:val="000000"/>
          <w:sz w:val="20"/>
        </w:rPr>
        <w:t xml:space="preserve">” </w:t>
      </w:r>
      <w:r>
        <w:rPr>
          <w:rFonts w:ascii="Times New Roman" w:hAnsi="Times New Roman"/>
          <w:color w:val="000000"/>
          <w:sz w:val="22"/>
        </w:rPr>
        <w:t>means, at any time, each Lender that is not a Defaulting Lender at such time.</w:t>
      </w:r>
    </w:p>
    <w:p>
      <w:pPr>
        <w:pStyle w:val="TextBody"/>
        <w:bidi w:val="0"/>
        <w:spacing w:before="0" w:after="240"/>
        <w:jc w:val="both"/>
        <w:rPr/>
      </w:pPr>
      <w:r>
        <w:rPr>
          <w:color w:val="000000"/>
        </w:rPr>
        <w:t>“</w:t>
      </w:r>
      <w:r>
        <w:rPr>
          <w:rFonts w:ascii="Times New Roman" w:hAnsi="Times New Roman"/>
          <w:color w:val="000000"/>
          <w:sz w:val="22"/>
          <w:u w:val="single"/>
        </w:rPr>
        <w:t>Non-Extension Notice Date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2.03(b)(iii)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Non-Investment Grade Period</w:t>
      </w:r>
      <w:r>
        <w:rPr>
          <w:rFonts w:ascii="Times New Roman" w:hAnsi="Times New Roman"/>
          <w:color w:val="000000"/>
          <w:sz w:val="20"/>
        </w:rPr>
        <w:t xml:space="preserve">” </w:t>
      </w:r>
      <w:r>
        <w:rPr>
          <w:rFonts w:ascii="Times New Roman" w:hAnsi="Times New Roman"/>
          <w:color w:val="000000"/>
          <w:sz w:val="22"/>
        </w:rPr>
        <w:t>means (a) the period commencing on the Effective Date and ending on the first date on which an Investment Grade Period commences and (b) each other period that is not an Investment Grade Period.</w:t>
      </w:r>
    </w:p>
    <w:p>
      <w:pPr>
        <w:pStyle w:val="TextBody"/>
        <w:bidi w:val="0"/>
        <w:spacing w:before="0" w:after="240"/>
        <w:jc w:val="both"/>
        <w:rPr/>
      </w:pPr>
      <w:r>
        <w:rPr>
          <w:color w:val="000000"/>
        </w:rPr>
        <w:t>“</w:t>
      </w:r>
      <w:r>
        <w:rPr>
          <w:rFonts w:ascii="Times New Roman" w:hAnsi="Times New Roman"/>
          <w:color w:val="000000"/>
          <w:sz w:val="22"/>
          <w:u w:val="single"/>
        </w:rPr>
        <w:t>Non-Reinstatement Deadline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2.03(b)(iv)</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Note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2.11(a)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Notice of Additional L/C Issuer</w:t>
      </w:r>
      <w:r>
        <w:rPr>
          <w:rFonts w:ascii="Times New Roman" w:hAnsi="Times New Roman"/>
          <w:color w:val="000000"/>
          <w:sz w:val="20"/>
        </w:rPr>
        <w:t xml:space="preserve">” </w:t>
      </w:r>
      <w:r>
        <w:rPr>
          <w:rFonts w:ascii="Times New Roman" w:hAnsi="Times New Roman"/>
          <w:color w:val="000000"/>
          <w:sz w:val="22"/>
        </w:rPr>
        <w:t xml:space="preserve">means a certificate substantially the form of </w:t>
      </w:r>
      <w:r>
        <w:rPr>
          <w:rFonts w:ascii="Times New Roman" w:hAnsi="Times New Roman"/>
          <w:color w:val="000000"/>
          <w:sz w:val="22"/>
          <w:u w:val="single"/>
        </w:rPr>
        <w:t>Exhibit K</w:t>
      </w:r>
      <w:r>
        <w:rPr>
          <w:rFonts w:ascii="Times New Roman" w:hAnsi="Times New Roman"/>
          <w:color w:val="000000"/>
          <w:sz w:val="20"/>
        </w:rPr>
        <w:t xml:space="preserve"> </w:t>
      </w:r>
      <w:r>
        <w:rPr>
          <w:rFonts w:ascii="Times New Roman" w:hAnsi="Times New Roman"/>
          <w:color w:val="000000"/>
          <w:sz w:val="22"/>
        </w:rPr>
        <w:t>or any other form approved by the Administrative Agent</w:t>
      </w:r>
    </w:p>
    <w:p>
      <w:pPr>
        <w:pStyle w:val="TextBody"/>
        <w:bidi w:val="0"/>
        <w:spacing w:before="0" w:after="240"/>
        <w:jc w:val="both"/>
        <w:rPr/>
      </w:pPr>
      <w:r>
        <w:rPr>
          <w:color w:val="000000"/>
        </w:rPr>
        <w:t>“</w:t>
      </w:r>
      <w:r>
        <w:rPr>
          <w:rFonts w:ascii="Times New Roman" w:hAnsi="Times New Roman"/>
          <w:color w:val="000000"/>
          <w:sz w:val="22"/>
          <w:u w:val="single"/>
        </w:rPr>
        <w:t>Notice of Loan Prepayment</w:t>
      </w:r>
      <w:r>
        <w:rPr>
          <w:rFonts w:ascii="Times New Roman" w:hAnsi="Times New Roman"/>
          <w:color w:val="000000"/>
          <w:sz w:val="20"/>
        </w:rPr>
        <w:t xml:space="preserve">” </w:t>
      </w:r>
      <w:r>
        <w:rPr>
          <w:rFonts w:ascii="Times New Roman" w:hAnsi="Times New Roman"/>
          <w:color w:val="000000"/>
          <w:sz w:val="22"/>
        </w:rPr>
        <w:t xml:space="preserve">means a notice of prepayment with respect to a Loan, which shall be substantially in the form of </w:t>
      </w:r>
      <w:r>
        <w:rPr>
          <w:rFonts w:ascii="Times New Roman" w:hAnsi="Times New Roman"/>
          <w:color w:val="000000"/>
          <w:sz w:val="22"/>
          <w:u w:val="single"/>
        </w:rPr>
        <w:t>Exhibit I</w:t>
      </w:r>
      <w:r>
        <w:rPr>
          <w:rFonts w:ascii="Times New Roman" w:hAnsi="Times New Roman"/>
          <w:color w:val="000000"/>
          <w:sz w:val="20"/>
        </w:rPr>
        <w:t xml:space="preserve"> </w:t>
      </w:r>
      <w:r>
        <w:rPr>
          <w:rFonts w:ascii="Times New Roman" w:hAnsi="Times New Roman"/>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before="0" w:after="240"/>
        <w:jc w:val="both"/>
        <w:rPr/>
      </w:pPr>
      <w:r>
        <w:rPr>
          <w:color w:val="000000"/>
        </w:rPr>
        <w:t>“</w:t>
      </w:r>
      <w:r>
        <w:rPr>
          <w:rFonts w:ascii="Times New Roman" w:hAnsi="Times New Roman"/>
          <w:color w:val="000000"/>
          <w:sz w:val="22"/>
          <w:u w:val="single"/>
        </w:rPr>
        <w:t>Obligations</w:t>
      </w:r>
      <w:r>
        <w:rPr>
          <w:rFonts w:ascii="Times New Roman" w:hAnsi="Times New Roman"/>
          <w:color w:val="000000"/>
          <w:sz w:val="20"/>
        </w:rPr>
        <w:t xml:space="preserve">” </w:t>
      </w:r>
      <w:r>
        <w:rPr>
          <w:rFonts w:ascii="Times New Roman" w:hAnsi="Times New Roman"/>
          <w:color w:val="000000"/>
          <w:sz w:val="22"/>
        </w:rPr>
        <w:t>means, with respect to each Loan Party, (a) all advances to, and debts, liabilities, obligations, covenants and duties of, any Loan Party arising under any Loan Document or otherwise with respect to any Loan or Letter of Credit and (b) all obligations of the Borrower or any Subsidiary owing to a Cash Management Bank or a Hedge Bank in respect of Secured Cash Management Agreements or Secured Hedge Agreements,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of whether such interest and fees are allowed claims in such proceeding;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“Obligations” of a Guarantor shall exclude any Excluded Swap Obligations with respect to such Guarantor.</w:t>
      </w:r>
    </w:p>
    <w:p>
      <w:pPr>
        <w:pStyle w:val="TextBody"/>
        <w:bidi w:val="0"/>
        <w:spacing w:before="0" w:after="240"/>
        <w:jc w:val="both"/>
        <w:rPr/>
      </w:pPr>
      <w:r>
        <w:rPr>
          <w:color w:val="000000"/>
        </w:rPr>
        <w:t>“</w:t>
      </w:r>
      <w:r>
        <w:rPr>
          <w:rFonts w:ascii="Times New Roman" w:hAnsi="Times New Roman"/>
          <w:color w:val="000000"/>
          <w:sz w:val="22"/>
          <w:u w:val="single"/>
        </w:rPr>
        <w:t>OFAC</w:t>
      </w:r>
      <w:r>
        <w:rPr>
          <w:rFonts w:ascii="Times New Roman" w:hAnsi="Times New Roman"/>
          <w:color w:val="000000"/>
          <w:sz w:val="20"/>
        </w:rPr>
        <w:t xml:space="preserve">” </w:t>
      </w:r>
      <w:r>
        <w:rPr>
          <w:rFonts w:ascii="Times New Roman" w:hAnsi="Times New Roman"/>
          <w:color w:val="000000"/>
          <w:sz w:val="22"/>
        </w:rPr>
        <w:t>means the Office of Foreign Assets Control of the United States Department of the Treasury.</w:t>
      </w:r>
    </w:p>
    <w:p>
      <w:pPr>
        <w:pStyle w:val="TextBody"/>
        <w:bidi w:val="0"/>
        <w:spacing w:before="0" w:after="240"/>
        <w:jc w:val="both"/>
        <w:rPr/>
      </w:pPr>
      <w:r>
        <w:rPr>
          <w:color w:val="000000"/>
        </w:rPr>
        <w:t>“</w:t>
      </w:r>
      <w:r>
        <w:rPr>
          <w:rFonts w:ascii="Times New Roman" w:hAnsi="Times New Roman"/>
          <w:color w:val="000000"/>
          <w:sz w:val="22"/>
          <w:u w:val="single"/>
        </w:rPr>
        <w:t>Organization Documents</w:t>
      </w:r>
      <w:r>
        <w:rPr>
          <w:rFonts w:ascii="Times New Roman" w:hAnsi="Times New Roman"/>
          <w:color w:val="000000"/>
          <w:sz w:val="20"/>
        </w:rPr>
        <w:t xml:space="preserve">” </w:t>
      </w:r>
      <w:r>
        <w:rPr>
          <w:rFonts w:ascii="Times New Roman" w:hAnsi="Times New Roman"/>
          <w:color w:val="000000"/>
          <w:sz w:val="22"/>
        </w:rPr>
        <w:t>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0" w:after="240"/>
        <w:jc w:val="both"/>
        <w:rPr/>
      </w:pPr>
      <w:r>
        <w:rPr>
          <w:color w:val="000000"/>
        </w:rPr>
        <w:t>“</w:t>
      </w:r>
      <w:r>
        <w:rPr>
          <w:rFonts w:ascii="Times New Roman" w:hAnsi="Times New Roman"/>
          <w:color w:val="000000"/>
          <w:sz w:val="22"/>
          <w:u w:val="single"/>
        </w:rPr>
        <w:t>Other Connection Taxes</w:t>
      </w:r>
      <w:r>
        <w:rPr>
          <w:rFonts w:ascii="Times New Roman" w:hAnsi="Times New Roman"/>
          <w:color w:val="000000"/>
          <w:sz w:val="20"/>
        </w:rPr>
        <w:t xml:space="preserve">” </w:t>
      </w:r>
      <w:r>
        <w:rPr>
          <w:rFonts w:ascii="Times New Roman" w:hAnsi="Times New Roman"/>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jc w:val="both"/>
        <w:rPr/>
      </w:pPr>
      <w:r>
        <w:rPr>
          <w:color w:val="000000"/>
        </w:rPr>
        <w:t>“</w:t>
      </w:r>
      <w:r>
        <w:rPr>
          <w:rFonts w:ascii="Times New Roman" w:hAnsi="Times New Roman"/>
          <w:color w:val="000000"/>
          <w:sz w:val="22"/>
          <w:u w:val="single"/>
        </w:rPr>
        <w:t>Other Taxes</w:t>
      </w:r>
      <w:r>
        <w:rPr>
          <w:rFonts w:ascii="Times New Roman" w:hAnsi="Times New Roman"/>
          <w:color w:val="000000"/>
          <w:sz w:val="20"/>
        </w:rPr>
        <w:t xml:space="preserve">” </w:t>
      </w:r>
      <w:r>
        <w:rPr>
          <w:rFonts w:ascii="Times New Roman" w:hAnsi="Times New Roman"/>
          <w:color w:val="000000"/>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hAnsi="Times New Roman"/>
          <w:color w:val="000000"/>
          <w:sz w:val="22"/>
          <w:u w:val="single"/>
        </w:rPr>
        <w:t>Section 3.06</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Outbound Investment Rules</w:t>
      </w:r>
      <w:r>
        <w:rPr>
          <w:rFonts w:ascii="Times New Roman" w:hAnsi="Times New Roman"/>
          <w:color w:val="000000"/>
          <w:sz w:val="20"/>
        </w:rPr>
        <w:t xml:space="preserve">” </w:t>
      </w:r>
      <w:r>
        <w:rPr>
          <w:rFonts w:ascii="Times New Roman" w:hAnsi="Times New Roman"/>
          <w:color w:val="000000"/>
          <w:sz w:val="22"/>
        </w:rPr>
        <w:t>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pStyle w:val="TextBody"/>
        <w:bidi w:val="0"/>
        <w:spacing w:before="0" w:after="240"/>
        <w:jc w:val="both"/>
        <w:rPr/>
      </w:pPr>
      <w:r>
        <w:rPr>
          <w:color w:val="000000"/>
        </w:rPr>
        <w:t>“</w:t>
      </w:r>
      <w:r>
        <w:rPr>
          <w:rFonts w:ascii="Times New Roman" w:hAnsi="Times New Roman"/>
          <w:color w:val="000000"/>
          <w:sz w:val="22"/>
          <w:u w:val="single"/>
        </w:rPr>
        <w:t>Outstanding Amount</w:t>
      </w:r>
      <w:r>
        <w:rPr>
          <w:rFonts w:ascii="Times New Roman" w:hAnsi="Times New Roman"/>
          <w:color w:val="000000"/>
          <w:sz w:val="20"/>
        </w:rPr>
        <w:t xml:space="preserve">” </w:t>
      </w:r>
      <w:r>
        <w:rPr>
          <w:rFonts w:ascii="Times New Roman" w:hAnsi="Times New Roman"/>
          <w:color w:val="000000"/>
          <w:sz w:val="22"/>
        </w:rPr>
        <w:t>means (a) with respect to any Loans on any date, the aggregate outstanding principal amount thereof after giving effect to any borrowings and prepayments or repayments of any Loans occurring on such date and (b) with respect to any L/C Obligations on any date, the Dollar Equivalent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pStyle w:val="TextBody"/>
        <w:bidi w:val="0"/>
        <w:spacing w:before="0" w:after="240"/>
        <w:jc w:val="both"/>
        <w:rPr/>
      </w:pPr>
      <w:r>
        <w:rPr>
          <w:color w:val="000000"/>
        </w:rPr>
        <w:t>“</w:t>
      </w:r>
      <w:r>
        <w:rPr>
          <w:rFonts w:ascii="Times New Roman" w:hAnsi="Times New Roman"/>
          <w:color w:val="000000"/>
          <w:sz w:val="22"/>
          <w:u w:val="single"/>
        </w:rPr>
        <w:t>Pari Passu Indebtedness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8.03(g)</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Pari Passu Term Loan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8.03(g)</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Participant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11.06(d)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Participant Register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11.06(d)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PBGC</w:t>
      </w:r>
      <w:r>
        <w:rPr>
          <w:rFonts w:ascii="Times New Roman" w:hAnsi="Times New Roman"/>
          <w:color w:val="000000"/>
          <w:sz w:val="20"/>
        </w:rPr>
        <w:t xml:space="preserve">” </w:t>
      </w:r>
      <w:r>
        <w:rPr>
          <w:rFonts w:ascii="Times New Roman" w:hAnsi="Times New Roman"/>
          <w:color w:val="000000"/>
          <w:sz w:val="22"/>
        </w:rPr>
        <w:t>means the Pension Benefit Guaranty Corporation.</w:t>
      </w:r>
    </w:p>
    <w:p>
      <w:pPr>
        <w:pStyle w:val="TextBody"/>
        <w:bidi w:val="0"/>
        <w:jc w:val="center"/>
        <w:rPr>
          <w:rFonts w:ascii="Times New Roman" w:hAnsi="Times New Roman"/>
          <w:color w:val="000000"/>
          <w:sz w:val="22"/>
        </w:rPr>
      </w:pPr>
      <w:r>
        <w:rPr>
          <w:rFonts w:ascii="Times New Roman" w:hAnsi="Times New Roman"/>
          <w:color w:val="000000"/>
          <w:sz w:val="22"/>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Pension Funding Rules</w:t>
      </w:r>
      <w:r>
        <w:rPr>
          <w:rFonts w:ascii="Times New Roman" w:hAnsi="Times New Roman"/>
          <w:color w:val="000000"/>
          <w:sz w:val="20"/>
        </w:rPr>
        <w:t xml:space="preserve">” </w:t>
      </w:r>
      <w:r>
        <w:rPr>
          <w:rFonts w:ascii="Times New Roman" w:hAnsi="Times New Roman"/>
          <w:color w:val="000000"/>
          <w:sz w:val="22"/>
        </w:rPr>
        <w:t>means the rules of the Internal Revenue Code and ERISA regarding minimum required contributions (including any installment payment thereof) to Pension Plans and set forth in Sections 412, 430, 431, 432 and 436 of the Internal Revenue Code and Sections 302, 303, 304 and 305 of ERISA.</w:t>
      </w:r>
    </w:p>
    <w:p>
      <w:pPr>
        <w:pStyle w:val="TextBody"/>
        <w:bidi w:val="0"/>
        <w:spacing w:before="0" w:after="240"/>
        <w:jc w:val="both"/>
        <w:rPr/>
      </w:pPr>
      <w:r>
        <w:rPr>
          <w:color w:val="000000"/>
        </w:rPr>
        <w:t>“</w:t>
      </w:r>
      <w:r>
        <w:rPr>
          <w:rFonts w:ascii="Times New Roman" w:hAnsi="Times New Roman"/>
          <w:color w:val="000000"/>
          <w:sz w:val="22"/>
          <w:u w:val="single"/>
        </w:rPr>
        <w:t>Pension Plan</w:t>
      </w:r>
      <w:r>
        <w:rPr>
          <w:rFonts w:ascii="Times New Roman" w:hAnsi="Times New Roman"/>
          <w:color w:val="000000"/>
          <w:sz w:val="20"/>
        </w:rPr>
        <w:t xml:space="preserve">” </w:t>
      </w:r>
      <w:r>
        <w:rPr>
          <w:rFonts w:ascii="Times New Roman" w:hAnsi="Times New Roman"/>
          <w:color w:val="000000"/>
          <w:sz w:val="22"/>
        </w:rPr>
        <w:t>means any employee pension benefit plan (including a Multiple Employer Plan but excluding a Multiemployer Plan) that is maintained or is contributed to by any Loan Party and any ERISA Affiliate and is either covered by Title IV of ERISA or is subject to the minimum funding standards under Section 412 of the Internal Revenue Code.</w:t>
      </w:r>
    </w:p>
    <w:p>
      <w:pPr>
        <w:pStyle w:val="TextBody"/>
        <w:bidi w:val="0"/>
        <w:spacing w:before="0" w:after="240"/>
        <w:jc w:val="both"/>
        <w:rPr/>
      </w:pPr>
      <w:r>
        <w:rPr>
          <w:color w:val="000000"/>
        </w:rPr>
        <w:t>“</w:t>
      </w:r>
      <w:r>
        <w:rPr>
          <w:rFonts w:ascii="Times New Roman" w:hAnsi="Times New Roman"/>
          <w:color w:val="000000"/>
          <w:sz w:val="22"/>
          <w:u w:val="single"/>
        </w:rPr>
        <w:t>Permitted Acquisition</w:t>
      </w:r>
      <w:r>
        <w:rPr>
          <w:rFonts w:ascii="Times New Roman" w:hAnsi="Times New Roman"/>
          <w:color w:val="000000"/>
          <w:sz w:val="20"/>
        </w:rPr>
        <w:t xml:space="preserve">” </w:t>
      </w:r>
      <w:r>
        <w:rPr>
          <w:rFonts w:ascii="Times New Roman" w:hAnsi="Times New Roman"/>
          <w:color w:val="000000"/>
          <w:sz w:val="22"/>
        </w:rPr>
        <w:t xml:space="preserve">means an Investment consisting of an Acquisition by the Borrower or any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no Event of Default shall have occurred and be continuing or would result from such Acquisition (except with respect to a Limited Condition Acquisition, in which case (i) no Event of Default shall have occurred and be continuing on the date of execution of the definitive purchase agreement for such Limited Condition Acquisition and (ii) no Event of Default under </w:t>
      </w:r>
      <w:r>
        <w:rPr>
          <w:rFonts w:ascii="Times New Roman" w:hAnsi="Times New Roman"/>
          <w:color w:val="000000"/>
          <w:sz w:val="22"/>
          <w:u w:val="single"/>
        </w:rPr>
        <w:t>Section 9.01(a)</w:t>
      </w:r>
      <w:r>
        <w:rPr>
          <w:rFonts w:ascii="Times New Roman" w:hAnsi="Times New Roman"/>
          <w:color w:val="000000"/>
          <w:sz w:val="22"/>
        </w:rPr>
        <w:t xml:space="preserve">, </w:t>
      </w:r>
      <w:r>
        <w:rPr>
          <w:rFonts w:ascii="Times New Roman" w:hAnsi="Times New Roman"/>
          <w:color w:val="000000"/>
          <w:sz w:val="22"/>
          <w:u w:val="single"/>
        </w:rPr>
        <w:t>(f)</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(g)</w:t>
      </w:r>
      <w:r>
        <w:rPr>
          <w:rFonts w:ascii="Times New Roman" w:hAnsi="Times New Roman"/>
          <w:color w:val="000000"/>
          <w:sz w:val="20"/>
        </w:rPr>
        <w:t xml:space="preserve"> </w:t>
      </w:r>
      <w:r>
        <w:rPr>
          <w:rFonts w:ascii="Times New Roman" w:hAnsi="Times New Roman"/>
          <w:color w:val="000000"/>
          <w:sz w:val="22"/>
        </w:rPr>
        <w:t xml:space="preserve">shall have occurred and be continuing on the date of consummation of such Limited Condition Acquisition or would exist after giving effect to such Limited Condition Acquisition); (b) the property acquired (or the property of the Person acquired) in such Acquisition is used or useful in the same or a similar line of business as the Borrower and its Subsidiaries were engaged in on the Effective Date (or any reasonable extensions or expansions thereof); (c) in the case of an Acquisition of the Equity Interests of another Person, the board of directors (or other comparable governing body) of such other Person shall have duly approved such Acquisition; and (d) the Loan Parties shall be in compliance with the financial covenants set forth in </w:t>
      </w:r>
      <w:r>
        <w:rPr>
          <w:rFonts w:ascii="Times New Roman" w:hAnsi="Times New Roman"/>
          <w:color w:val="000000"/>
          <w:sz w:val="22"/>
          <w:u w:val="single"/>
        </w:rPr>
        <w:t>Section 8.11</w:t>
      </w:r>
      <w:r>
        <w:rPr>
          <w:rFonts w:ascii="Times New Roman" w:hAnsi="Times New Roman"/>
          <w:color w:val="000000"/>
          <w:sz w:val="20"/>
        </w:rPr>
        <w:t xml:space="preserve"> </w:t>
      </w:r>
      <w:r>
        <w:rPr>
          <w:rFonts w:ascii="Times New Roman" w:hAnsi="Times New Roman"/>
          <w:color w:val="000000"/>
          <w:sz w:val="22"/>
        </w:rPr>
        <w:t xml:space="preserve">recomputed as of the last day of the most recently ended period of the four fiscal quarters of the Borrower for which the Borrower has delivered financial statements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(or, prior to the first such delivery, the financial statements for the fiscal quarter ended September 30, 2025) after giving effect to such Acquisition on a Pro Forma Basis;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case of an Acquisition for which the aggregate value of the consideration paid exceeds $200,000,000 (excluding earn-out obligations, the deferred portion of any deferred purchase price, or any other post-closing purchase price adjustments), at least three (3) Business Days prior to the consummation of such Acquisition (or, in the case of a Limited Condition Acquisition, at the Borrower’s option, at least three (3) Business Days prior to the date of execution of the definitive purchase agreement for such Limited Condition Acquisition), the Borrower shall have delivered to the Administrative Agent a Pro Forma Compliance Certificate demonstrating compliance with this </w:t>
      </w:r>
      <w:r>
        <w:rPr>
          <w:rFonts w:ascii="Times New Roman" w:hAnsi="Times New Roman"/>
          <w:color w:val="000000"/>
          <w:sz w:val="22"/>
          <w:u w:val="single"/>
        </w:rPr>
        <w:t>clause (d)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Permitted Bond Hedge Transaction</w:t>
      </w:r>
      <w:r>
        <w:rPr>
          <w:rFonts w:ascii="Times New Roman" w:hAnsi="Times New Roman"/>
          <w:color w:val="000000"/>
          <w:sz w:val="20"/>
        </w:rPr>
        <w:t xml:space="preserve">” </w:t>
      </w:r>
      <w:r>
        <w:rPr>
          <w:rFonts w:ascii="Times New Roman" w:hAnsi="Times New Roman"/>
          <w:color w:val="000000"/>
          <w:sz w:val="22"/>
        </w:rPr>
        <w:t xml:space="preserve">means any bond hedge, capped call or similar option transaction entered into in connection with the issuance of Permitted Convertible Indebtedness;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the case of any such transaction entered into after the Effective Date, such transaction is consummated substantially simultaneously with the issuance of such Permitted Convertible Indebtedness and paid for out of the proceeds thereof.</w:t>
      </w:r>
    </w:p>
    <w:p>
      <w:pPr>
        <w:pStyle w:val="TextBody"/>
        <w:bidi w:val="0"/>
        <w:spacing w:before="0" w:after="240"/>
        <w:jc w:val="both"/>
        <w:rPr/>
      </w:pPr>
      <w:r>
        <w:rPr>
          <w:color w:val="000000"/>
        </w:rPr>
        <w:t>“</w:t>
      </w:r>
      <w:r>
        <w:rPr>
          <w:rFonts w:ascii="Times New Roman" w:hAnsi="Times New Roman"/>
          <w:color w:val="000000"/>
          <w:sz w:val="22"/>
          <w:u w:val="single"/>
        </w:rPr>
        <w:t>Permitted Call Spread Transaction</w:t>
      </w:r>
      <w:r>
        <w:rPr>
          <w:rFonts w:ascii="Times New Roman" w:hAnsi="Times New Roman"/>
          <w:color w:val="000000"/>
          <w:sz w:val="20"/>
        </w:rPr>
        <w:t xml:space="preserve">” </w:t>
      </w:r>
      <w:r>
        <w:rPr>
          <w:rFonts w:ascii="Times New Roman" w:hAnsi="Times New Roman"/>
          <w:color w:val="000000"/>
          <w:sz w:val="22"/>
        </w:rPr>
        <w:t>means any Permitted Bond Hedge Transaction together with, if applicable, any Permitted Warrant Transaction.</w:t>
      </w:r>
    </w:p>
    <w:p>
      <w:pPr>
        <w:pStyle w:val="TextBody"/>
        <w:bidi w:val="0"/>
        <w:spacing w:before="0" w:after="240"/>
        <w:jc w:val="both"/>
        <w:rPr/>
      </w:pPr>
      <w:r>
        <w:rPr>
          <w:color w:val="000000"/>
        </w:rPr>
        <w:t>“</w:t>
      </w:r>
      <w:r>
        <w:rPr>
          <w:rFonts w:ascii="Times New Roman" w:hAnsi="Times New Roman"/>
          <w:color w:val="000000"/>
          <w:sz w:val="22"/>
          <w:u w:val="single"/>
        </w:rPr>
        <w:t>Permitted Convertible Indebtedness</w:t>
      </w:r>
      <w:r>
        <w:rPr>
          <w:rFonts w:ascii="Times New Roman" w:hAnsi="Times New Roman"/>
          <w:color w:val="000000"/>
          <w:sz w:val="20"/>
        </w:rPr>
        <w:t xml:space="preserve">” </w:t>
      </w:r>
      <w:r>
        <w:rPr>
          <w:rFonts w:ascii="Times New Roman" w:hAnsi="Times New Roman"/>
          <w:color w:val="000000"/>
          <w:sz w:val="22"/>
        </w:rPr>
        <w:t>means any notes, bonds, debentures or similar instruments issued by the Borrower that are convertible into or exchangeable for (x) cash, (y) shares of the Borrower’s common stock or preferred stock or other equity securities that constitute Qualified Stock and/or (z) a combination thereof.</w:t>
      </w:r>
    </w:p>
    <w:p>
      <w:pPr>
        <w:pStyle w:val="TextBody"/>
        <w:bidi w:val="0"/>
        <w:spacing w:before="0" w:after="240"/>
        <w:jc w:val="both"/>
        <w:rPr/>
      </w:pPr>
      <w:r>
        <w:rPr>
          <w:color w:val="000000"/>
        </w:rPr>
        <w:t>“</w:t>
      </w:r>
      <w:r>
        <w:rPr>
          <w:rFonts w:ascii="Times New Roman" w:hAnsi="Times New Roman"/>
          <w:color w:val="000000"/>
          <w:sz w:val="22"/>
          <w:u w:val="single"/>
        </w:rPr>
        <w:t>Permitted Liens</w:t>
      </w:r>
      <w:r>
        <w:rPr>
          <w:rFonts w:ascii="Times New Roman" w:hAnsi="Times New Roman"/>
          <w:color w:val="000000"/>
          <w:sz w:val="20"/>
        </w:rPr>
        <w:t xml:space="preserve">” </w:t>
      </w:r>
      <w:r>
        <w:rPr>
          <w:rFonts w:ascii="Times New Roman" w:hAnsi="Times New Roman"/>
          <w:color w:val="000000"/>
          <w:sz w:val="22"/>
        </w:rPr>
        <w:t xml:space="preserve">means, at any time, Liens in respect of property of the Borrower or any Subsidiary permitted to exist at such time pursuant to the terms of </w:t>
      </w:r>
      <w:r>
        <w:rPr>
          <w:rFonts w:ascii="Times New Roman" w:hAnsi="Times New Roman"/>
          <w:color w:val="000000"/>
          <w:sz w:val="22"/>
          <w:u w:val="single"/>
        </w:rPr>
        <w:t>Section 8.01</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Permitted Sale and Leaseback Transaction</w:t>
      </w:r>
      <w:r>
        <w:rPr>
          <w:rFonts w:ascii="Times New Roman" w:hAnsi="Times New Roman"/>
          <w:color w:val="000000"/>
          <w:sz w:val="20"/>
        </w:rPr>
        <w:t xml:space="preserve">” </w:t>
      </w:r>
      <w:r>
        <w:rPr>
          <w:rFonts w:ascii="Times New Roman" w:hAnsi="Times New Roman"/>
          <w:color w:val="000000"/>
          <w:sz w:val="22"/>
        </w:rPr>
        <w:t xml:space="preserve">means any Sale and Leaseback Transaction entered into by the Borrower or any of its Subsidiaries;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aggregate fair market value of all properties of the Borrower and its Subsidiaries that are Disposed of pursuant to Permitted Sale and Leaseback Transactions after the Effective Date shall not exceed an amount equal to the greater of (a) $100,000,000 and (b) an amount equal to 2.5% of Consolidated Total Assets (determined on the date of consummation of any such Sale and Leaseback Transaction by reference to the amount of Consolidated Total Assets existing as of the last day of the most recent fiscal year of the Borrower ended on or prior to such date for which the Borrower has delivered financial statements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(or, prior to the first such delivery, the financial statements for the fiscal year ended December 31, 2024)).</w:t>
      </w:r>
    </w:p>
    <w:p>
      <w:pPr>
        <w:pStyle w:val="TextBody"/>
        <w:bidi w:val="0"/>
        <w:spacing w:before="0" w:after="240"/>
        <w:jc w:val="both"/>
        <w:rPr/>
      </w:pPr>
      <w:r>
        <w:rPr>
          <w:color w:val="000000"/>
        </w:rPr>
        <w:t>“</w:t>
      </w:r>
      <w:r>
        <w:rPr>
          <w:rFonts w:ascii="Times New Roman" w:hAnsi="Times New Roman"/>
          <w:color w:val="000000"/>
          <w:sz w:val="22"/>
          <w:u w:val="single"/>
        </w:rPr>
        <w:t>Permitted Transfers</w:t>
      </w:r>
      <w:r>
        <w:rPr>
          <w:rFonts w:ascii="Times New Roman" w:hAnsi="Times New Roman"/>
          <w:color w:val="000000"/>
          <w:sz w:val="20"/>
        </w:rPr>
        <w:t xml:space="preserve">” </w:t>
      </w:r>
      <w:r>
        <w:rPr>
          <w:rFonts w:ascii="Times New Roman" w:hAnsi="Times New Roman"/>
          <w:color w:val="000000"/>
          <w:sz w:val="22"/>
        </w:rPr>
        <w:t>means (a) Dispositions of inventory in the ordinary course of business; (b) Dispositions of assets that are no longer used or useful in the conduct of business of the Loan Parties and their Subsidiaries that are Disposed of in the ordinary course of business; (c) Dispositions of accounts receivable in connection with the collection or compromise thereof; (d) licenses, sublicenses, leases or subleases granted to others (including licenses and sublicenses of IP Rights), and terminations thereof not interfering in any material respect with the business of the Borrower and its Subsidiaries; (e) the sale or Disposition of cash and Cash Equivalents for fair market value; (f) Dispositions of obsolete or worn-out equipment, whether now owned or hereafter acquired, in the ordinary course of business; (g) the abandonment of IP Rights no longer used or useful in the conduct of the business of the Borrower or any of its Subsidiaries; (h) Dispositions of property to the extent that (i) such property is exchanged for credit against the purchase price of similar replacement property or (ii) the proceeds of such Disposition are reasonably promptly applied to the purchase price of such replacement property; (i) the surrender or waiver of contractual rights and settlement or waiver of contractual or litigation claims by the Borrower or any Subsidiary in the ordinary course of business; (j) the unwinding of any Swap Contract pursuant to its terms; (k) Dispositions of Investments in joint ventures to the extent required by, or made pursuant to customary buy/sell arrangements between, the joint venture parties set forth in joint venture arrangements and similar binding arrangements; (l) the issuance or sale of shares of any Subsidiary’s Equity Interests to qualify directors if required by applicable Law; and (m) Dispositions of property or assets subject to a Recovery Event.</w:t>
      </w:r>
    </w:p>
    <w:p>
      <w:pPr>
        <w:pStyle w:val="TextBody"/>
        <w:bidi w:val="0"/>
        <w:spacing w:before="0" w:after="240"/>
        <w:jc w:val="both"/>
        <w:rPr/>
      </w:pPr>
      <w:r>
        <w:rPr>
          <w:color w:val="000000"/>
        </w:rPr>
        <w:t>“</w:t>
      </w:r>
      <w:r>
        <w:rPr>
          <w:rFonts w:ascii="Times New Roman" w:hAnsi="Times New Roman"/>
          <w:color w:val="000000"/>
          <w:sz w:val="22"/>
          <w:u w:val="single"/>
        </w:rPr>
        <w:t>Permitted Warrant Transaction</w:t>
      </w:r>
      <w:r>
        <w:rPr>
          <w:rFonts w:ascii="Times New Roman" w:hAnsi="Times New Roman"/>
          <w:color w:val="000000"/>
          <w:sz w:val="20"/>
        </w:rPr>
        <w:t xml:space="preserve">” </w:t>
      </w:r>
      <w:r>
        <w:rPr>
          <w:rFonts w:ascii="Times New Roman" w:hAnsi="Times New Roman"/>
          <w:color w:val="000000"/>
          <w:sz w:val="22"/>
        </w:rPr>
        <w:t>means any warrant issued by the Borrower concurrently with the purchase, by the Borrower, of a Permitted Bond Hedge Transaction for the purpose of offsetting the cost of such Permitted Bond Hedge Transaction.</w:t>
      </w:r>
    </w:p>
    <w:p>
      <w:pPr>
        <w:pStyle w:val="TextBody"/>
        <w:bidi w:val="0"/>
        <w:spacing w:before="0" w:after="240"/>
        <w:jc w:val="both"/>
        <w:rPr/>
      </w:pPr>
      <w:r>
        <w:rPr>
          <w:color w:val="000000"/>
        </w:rPr>
        <w:t>“</w:t>
      </w:r>
      <w:r>
        <w:rPr>
          <w:rFonts w:ascii="Times New Roman" w:hAnsi="Times New Roman"/>
          <w:color w:val="000000"/>
          <w:sz w:val="22"/>
          <w:u w:val="single"/>
        </w:rPr>
        <w:t>Person</w:t>
      </w:r>
      <w:r>
        <w:rPr>
          <w:rFonts w:ascii="Times New Roman" w:hAnsi="Times New Roman"/>
          <w:color w:val="000000"/>
          <w:sz w:val="20"/>
        </w:rPr>
        <w:t xml:space="preserve">” </w:t>
      </w:r>
      <w:r>
        <w:rPr>
          <w:rFonts w:ascii="Times New Roman" w:hAnsi="Times New Roman"/>
          <w:color w:val="000000"/>
          <w:sz w:val="22"/>
        </w:rPr>
        <w:t>means any natural person, corporation, limited liability company, trust, joint venture, association, company, partnership, Governmental Authority or other entity.</w:t>
      </w:r>
    </w:p>
    <w:p>
      <w:pPr>
        <w:pStyle w:val="TextBody"/>
        <w:bidi w:val="0"/>
        <w:spacing w:before="0" w:after="240"/>
        <w:jc w:val="both"/>
        <w:rPr/>
      </w:pPr>
      <w:r>
        <w:rPr>
          <w:color w:val="000000"/>
        </w:rPr>
        <w:t>“</w:t>
      </w:r>
      <w:r>
        <w:rPr>
          <w:rFonts w:ascii="Times New Roman" w:hAnsi="Times New Roman"/>
          <w:color w:val="000000"/>
          <w:sz w:val="22"/>
          <w:u w:val="single"/>
        </w:rPr>
        <w:t>Plan</w:t>
      </w:r>
      <w:r>
        <w:rPr>
          <w:rFonts w:ascii="Times New Roman" w:hAnsi="Times New Roman"/>
          <w:color w:val="000000"/>
          <w:sz w:val="20"/>
        </w:rPr>
        <w:t xml:space="preserve">” </w:t>
      </w:r>
      <w:r>
        <w:rPr>
          <w:rFonts w:ascii="Times New Roman" w:hAnsi="Times New Roman"/>
          <w:color w:val="000000"/>
          <w:sz w:val="22"/>
        </w:rPr>
        <w:t>means any employee benefit plan within the meaning of Section 3(3) of ERISA (including a Pension Plan), maintained for employees of any Loan Party or any ERISA Affiliate or any such Plan to which any Loan Party or any ERISA Affiliate contributes or is required to contribute on behalf of any of its employees.</w:t>
      </w:r>
    </w:p>
    <w:p>
      <w:pPr>
        <w:pStyle w:val="TextBody"/>
        <w:bidi w:val="0"/>
        <w:spacing w:before="0" w:after="240"/>
        <w:jc w:val="both"/>
        <w:rPr/>
      </w:pPr>
      <w:r>
        <w:rPr>
          <w:color w:val="000000"/>
        </w:rPr>
        <w:t>“</w:t>
      </w:r>
      <w:r>
        <w:rPr>
          <w:rFonts w:ascii="Times New Roman" w:hAnsi="Times New Roman"/>
          <w:color w:val="000000"/>
          <w:sz w:val="22"/>
          <w:u w:val="single"/>
        </w:rPr>
        <w:t>Platform</w:t>
      </w:r>
      <w:r>
        <w:rPr>
          <w:rFonts w:ascii="Times New Roman" w:hAnsi="Times New Roman"/>
          <w:color w:val="000000"/>
          <w:sz w:val="20"/>
        </w:rPr>
        <w:t xml:space="preserve">” </w:t>
      </w:r>
      <w:r>
        <w:rPr>
          <w:rFonts w:ascii="Times New Roman" w:hAnsi="Times New Roman"/>
          <w:color w:val="000000"/>
          <w:sz w:val="22"/>
        </w:rPr>
        <w:t>has the meaning specified in Section 7.02.</w:t>
      </w:r>
    </w:p>
    <w:p>
      <w:pPr>
        <w:pStyle w:val="TextBody"/>
        <w:bidi w:val="0"/>
        <w:spacing w:before="0" w:after="240"/>
        <w:jc w:val="both"/>
        <w:rPr/>
      </w:pPr>
      <w:r>
        <w:rPr>
          <w:color w:val="000000"/>
        </w:rPr>
        <w:t>“</w:t>
      </w:r>
      <w:r>
        <w:rPr>
          <w:rFonts w:ascii="Times New Roman" w:hAnsi="Times New Roman"/>
          <w:color w:val="000000"/>
          <w:sz w:val="22"/>
          <w:u w:val="single"/>
        </w:rPr>
        <w:t>Pro Forma Basis</w:t>
      </w:r>
      <w:r>
        <w:rPr>
          <w:rFonts w:ascii="Times New Roman" w:hAnsi="Times New Roman"/>
          <w:color w:val="000000"/>
          <w:sz w:val="20"/>
        </w:rPr>
        <w:t xml:space="preserve">” </w:t>
      </w:r>
      <w:r>
        <w:rPr>
          <w:rFonts w:ascii="Times New Roman" w:hAnsi="Times New Roman"/>
          <w:color w:val="000000"/>
          <w:sz w:val="22"/>
        </w:rPr>
        <w:t xml:space="preserve">means, with respect to any transaction, that for purposes of calculating the financial covenants or the Consolidated Secured Leverage Ratio, such transaction (including the incurrence of any Indebtedness in connection therewith) shall be deemed to have occurred as of the first day of the most recent period of four fiscal quarters of the Borrower preceding the date of such transaction for which the Borrower was required to deliver financial statements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(or, prior to the first such delivery, the financial statements for the fiscal quarter ended September 30, 2025). In connection with the foregoing, (a) with respect to any Material Disposition or Material Recovery Event, (i) income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statement and cash flow statement items (whether positive or negative) attributable to the property disposed of shall be excluded to the extent relating to any period occurring prior to the date of such transaction and (ii) Indebtedness which is retired shall be excluded and deemed to have been retired as of the first day of the applicable period and (b) with respect to any Acquisition, (i) income statement and cash flow statement items attributable to the Person or property acquired shall be included to the extent relating to any period applicable in such calculations to the extent (A) such items are not otherwise included in such income statement and cash flow statement items for the Borrower and its Subsidiaries in accordance with GAAP or in accordance with any defined terms set forth in </w:t>
      </w:r>
      <w:r>
        <w:rPr>
          <w:rFonts w:ascii="Times New Roman" w:hAnsi="Times New Roman"/>
          <w:color w:val="000000"/>
          <w:sz w:val="22"/>
          <w:u w:val="single"/>
        </w:rPr>
        <w:t>Section 1.01</w:t>
      </w:r>
      <w:r>
        <w:rPr>
          <w:rFonts w:ascii="Times New Roman" w:hAnsi="Times New Roman"/>
          <w:color w:val="000000"/>
          <w:sz w:val="20"/>
        </w:rPr>
        <w:t xml:space="preserve"> </w:t>
      </w:r>
      <w:r>
        <w:rPr>
          <w:rFonts w:ascii="Times New Roman" w:hAnsi="Times New Roman"/>
          <w:color w:val="000000"/>
          <w:sz w:val="22"/>
        </w:rPr>
        <w:t>and (B) such items are supported by financial statements or other information reasonably satisfactory to the Administrative Agent and (ii) any Indebtedness incurred or assumed by the Borrower or any Subsidiary (including the Person or property acquired) in connection with such transaction and any Indebtedness of the Person or property acquired which is not retired in connection with such transaction (A) shall be deemed to have been incurred as of the first day of the applicable period and (B)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w:t>
      </w:r>
    </w:p>
    <w:p>
      <w:pPr>
        <w:pStyle w:val="TextBody"/>
        <w:bidi w:val="0"/>
        <w:spacing w:before="0" w:after="240"/>
        <w:jc w:val="both"/>
        <w:rPr/>
      </w:pPr>
      <w:r>
        <w:rPr>
          <w:color w:val="000000"/>
        </w:rPr>
        <w:t>“</w:t>
      </w:r>
      <w:r>
        <w:rPr>
          <w:rFonts w:ascii="Times New Roman" w:hAnsi="Times New Roman"/>
          <w:color w:val="000000"/>
          <w:sz w:val="22"/>
          <w:u w:val="single"/>
        </w:rPr>
        <w:t>Pro Forma Compliance Certificate</w:t>
      </w:r>
      <w:r>
        <w:rPr>
          <w:rFonts w:ascii="Times New Roman" w:hAnsi="Times New Roman"/>
          <w:color w:val="000000"/>
          <w:sz w:val="20"/>
        </w:rPr>
        <w:t xml:space="preserve">” </w:t>
      </w:r>
      <w:r>
        <w:rPr>
          <w:rFonts w:ascii="Times New Roman" w:hAnsi="Times New Roman"/>
          <w:color w:val="000000"/>
          <w:sz w:val="22"/>
        </w:rPr>
        <w:t xml:space="preserve">means a certificate of a Responsible Officer of the Borrower containing reasonably detailed calculations of the financial covenants set forth in </w:t>
      </w:r>
      <w:r>
        <w:rPr>
          <w:rFonts w:ascii="Times New Roman" w:hAnsi="Times New Roman"/>
          <w:color w:val="000000"/>
          <w:sz w:val="22"/>
          <w:u w:val="single"/>
        </w:rPr>
        <w:t>Section 8.11</w:t>
      </w:r>
      <w:r>
        <w:rPr>
          <w:rFonts w:ascii="Times New Roman" w:hAnsi="Times New Roman"/>
          <w:color w:val="000000"/>
          <w:sz w:val="20"/>
        </w:rPr>
        <w:t xml:space="preserve"> </w:t>
      </w:r>
      <w:r>
        <w:rPr>
          <w:rFonts w:ascii="Times New Roman" w:hAnsi="Times New Roman"/>
          <w:color w:val="000000"/>
          <w:sz w:val="22"/>
        </w:rPr>
        <w:t xml:space="preserve">recomputed as of the last day of the most recently ended period of four fiscal quarters of the Borrower for which the Borrower has delivered financial statements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(or, prior to the first such delivery, the financial statements for the fiscal quarter ended September 30, 2025) after giving effect to the applicable transaction on a Pro Forma Basis.</w:t>
      </w:r>
    </w:p>
    <w:p>
      <w:pPr>
        <w:pStyle w:val="TextBody"/>
        <w:bidi w:val="0"/>
        <w:spacing w:before="0" w:after="240"/>
        <w:jc w:val="both"/>
        <w:rPr/>
      </w:pPr>
      <w:r>
        <w:rPr>
          <w:color w:val="000000"/>
        </w:rPr>
        <w:t>“</w:t>
      </w:r>
      <w:r>
        <w:rPr>
          <w:rFonts w:ascii="Times New Roman" w:hAnsi="Times New Roman"/>
          <w:color w:val="000000"/>
          <w:sz w:val="22"/>
          <w:u w:val="single"/>
        </w:rPr>
        <w:t>PTE</w:t>
      </w:r>
      <w:r>
        <w:rPr>
          <w:rFonts w:ascii="Times New Roman" w:hAnsi="Times New Roman"/>
          <w:color w:val="000000"/>
          <w:sz w:val="20"/>
        </w:rPr>
        <w:t xml:space="preserve">” </w:t>
      </w:r>
      <w:r>
        <w:rPr>
          <w:rFonts w:ascii="Times New Roman" w:hAnsi="Times New Roman"/>
          <w:color w:val="000000"/>
          <w:sz w:val="22"/>
        </w:rPr>
        <w:t>means a prohibited transaction class exemption issued by the U.S. Department of Labor, as any such exemption may be amended from time to time.</w:t>
      </w:r>
    </w:p>
    <w:p>
      <w:pPr>
        <w:pStyle w:val="TextBody"/>
        <w:bidi w:val="0"/>
        <w:spacing w:before="0" w:after="240"/>
        <w:jc w:val="both"/>
        <w:rPr/>
      </w:pPr>
      <w:r>
        <w:rPr>
          <w:color w:val="000000"/>
        </w:rPr>
        <w:t>“</w:t>
      </w:r>
      <w:r>
        <w:rPr>
          <w:rFonts w:ascii="Times New Roman" w:hAnsi="Times New Roman"/>
          <w:color w:val="000000"/>
          <w:sz w:val="22"/>
          <w:u w:val="single"/>
        </w:rPr>
        <w:t>Public Lender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7.02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QFC</w:t>
      </w:r>
      <w:r>
        <w:rPr>
          <w:rFonts w:ascii="Times New Roman" w:hAnsi="Times New Roman"/>
          <w:color w:val="000000"/>
          <w:sz w:val="20"/>
        </w:rPr>
        <w:t xml:space="preserve">” </w:t>
      </w:r>
      <w:r>
        <w:rPr>
          <w:rFonts w:ascii="Times New Roman" w:hAnsi="Times New Roman"/>
          <w:color w:val="000000"/>
          <w:sz w:val="22"/>
        </w:rPr>
        <w:t>has the meaning assigned to the term “qualified financial contract” in, and shall be interpreted in accordance with, 12 U.S.C. 5390(c)(8)(D).</w:t>
      </w:r>
    </w:p>
    <w:p>
      <w:pPr>
        <w:pStyle w:val="TextBody"/>
        <w:bidi w:val="0"/>
        <w:spacing w:before="0" w:after="240"/>
        <w:jc w:val="both"/>
        <w:rPr/>
      </w:pPr>
      <w:r>
        <w:rPr>
          <w:color w:val="000000"/>
        </w:rPr>
        <w:t>“</w:t>
      </w:r>
      <w:r>
        <w:rPr>
          <w:rFonts w:ascii="Times New Roman" w:hAnsi="Times New Roman"/>
          <w:color w:val="000000"/>
          <w:sz w:val="22"/>
          <w:u w:val="single"/>
        </w:rPr>
        <w:t>QFC Credit Support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11.25</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Qualified Acquisition</w:t>
      </w:r>
      <w:r>
        <w:rPr>
          <w:rFonts w:ascii="Times New Roman" w:hAnsi="Times New Roman"/>
          <w:color w:val="000000"/>
          <w:sz w:val="20"/>
        </w:rPr>
        <w:t xml:space="preserve">” </w:t>
      </w:r>
      <w:r>
        <w:rPr>
          <w:rFonts w:ascii="Times New Roman" w:hAnsi="Times New Roman"/>
          <w:color w:val="000000"/>
          <w:sz w:val="22"/>
        </w:rPr>
        <w:t xml:space="preserve">means a Permitted Acquisition (or series of Permitted Acquisitions consummated in any six (6)-month period) that is designated by the Company to the Administrative Agent as a “Qualified Acquisition” hereunder and for which either (i) the aggregate consideration is at least $100,000,000 and is paid in cash and/or funded with Indebtedness (including with proceeds thereof) or (ii) the resulting Consolidated Leverage Ratio, calculated on a Pro Forma Basis, is at least 0.25 higher than the Consolidated Leverage Ratio reflected in the Compliance Certificate most recently delivered by the Borrower pursuant to Section 7.02(b);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for any individual Permitted Acquisition or series of Permitted Acquisitions to qualify as a “Qualified Acquisition,” the Administrative Agent shall have received, prior to, or concurrently with, the consummation of any such individual Permitted Acquisition (or in the case of a series of Permitted Acquisitions that meet the requirements set forth above in this definition, prior to, or concurrently with, the consummation of the final Permitted Acquisition in the series of Permitted Acquisitions that, taken together, meet the requirements set forth above in this definition), a certificate from a Responsible Officer of the Borrower certifying that such individual Permitted Acquisition or series of Permitted Acquisitions meet the requirements set forth in this definition and notifying the Administrative Agent that the Borrower has elected to treat such individual Permitted Acquisition or series of Permitted Acquisitions as a “Qualified Acquisition” (such certificate, a “</w:t>
      </w:r>
      <w:r>
        <w:rPr>
          <w:rFonts w:ascii="Times New Roman" w:hAnsi="Times New Roman"/>
          <w:color w:val="000000"/>
          <w:sz w:val="22"/>
          <w:u w:val="single"/>
        </w:rPr>
        <w:t>Qualified Acquisition Certificate</w:t>
      </w:r>
      <w:r>
        <w:rPr>
          <w:rFonts w:ascii="Times New Roman" w:hAnsi="Times New Roman"/>
          <w:color w:val="000000"/>
          <w:sz w:val="20"/>
        </w:rPr>
        <w:t>”</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Qualified Acquisition Certificate</w:t>
      </w:r>
      <w:r>
        <w:rPr>
          <w:rFonts w:ascii="Times New Roman" w:hAnsi="Times New Roman"/>
          <w:color w:val="000000"/>
          <w:sz w:val="20"/>
        </w:rPr>
        <w:t xml:space="preserve">” </w:t>
      </w:r>
      <w:r>
        <w:rPr>
          <w:rFonts w:ascii="Times New Roman" w:hAnsi="Times New Roman"/>
          <w:color w:val="000000"/>
          <w:sz w:val="22"/>
        </w:rPr>
        <w:t>has the meaning specified in the definition of “Qualified Acquisition.”</w:t>
      </w:r>
    </w:p>
    <w:p>
      <w:pPr>
        <w:pStyle w:val="TextBody"/>
        <w:bidi w:val="0"/>
        <w:spacing w:before="0" w:after="240"/>
        <w:jc w:val="both"/>
        <w:rPr/>
      </w:pPr>
      <w:r>
        <w:rPr>
          <w:color w:val="000000"/>
        </w:rPr>
        <w:t>“</w:t>
      </w:r>
      <w:r>
        <w:rPr>
          <w:rFonts w:ascii="Times New Roman" w:hAnsi="Times New Roman"/>
          <w:color w:val="000000"/>
          <w:sz w:val="22"/>
          <w:u w:val="single"/>
        </w:rPr>
        <w:t>Qualified ECP Guarantor</w:t>
      </w:r>
      <w:r>
        <w:rPr>
          <w:rFonts w:ascii="Times New Roman" w:hAnsi="Times New Roman"/>
          <w:color w:val="000000"/>
          <w:sz w:val="20"/>
        </w:rPr>
        <w:t xml:space="preserve">” </w:t>
      </w:r>
      <w:r>
        <w:rPr>
          <w:rFonts w:ascii="Times New Roman" w:hAnsi="Times New Roman"/>
          <w:color w:val="000000"/>
          <w:sz w:val="22"/>
        </w:rPr>
        <w:t>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pStyle w:val="TextBody"/>
        <w:bidi w:val="0"/>
        <w:spacing w:before="0" w:after="240"/>
        <w:jc w:val="both"/>
        <w:rPr/>
      </w:pPr>
      <w:r>
        <w:rPr>
          <w:color w:val="000000"/>
        </w:rPr>
        <w:t>“</w:t>
      </w:r>
      <w:r>
        <w:rPr>
          <w:rFonts w:ascii="Times New Roman" w:hAnsi="Times New Roman"/>
          <w:color w:val="000000"/>
          <w:sz w:val="22"/>
          <w:u w:val="single"/>
        </w:rPr>
        <w:t>Qualified Stock</w:t>
      </w:r>
      <w:r>
        <w:rPr>
          <w:rFonts w:ascii="Times New Roman" w:hAnsi="Times New Roman"/>
          <w:color w:val="000000"/>
          <w:sz w:val="20"/>
        </w:rPr>
        <w:t xml:space="preserve">” </w:t>
      </w:r>
      <w:r>
        <w:rPr>
          <w:rFonts w:ascii="Times New Roman" w:hAnsi="Times New Roman"/>
          <w:color w:val="000000"/>
          <w:sz w:val="22"/>
        </w:rPr>
        <w:t>means, with respect to any Person, Equity Interests of such Person which is not Disqualified Stock.</w:t>
      </w:r>
    </w:p>
    <w:p>
      <w:pPr>
        <w:pStyle w:val="TextBody"/>
        <w:bidi w:val="0"/>
        <w:spacing w:before="0" w:after="240"/>
        <w:jc w:val="both"/>
        <w:rPr/>
      </w:pPr>
      <w:r>
        <w:rPr>
          <w:color w:val="000000"/>
        </w:rPr>
        <w:t>“</w:t>
      </w:r>
      <w:r>
        <w:rPr>
          <w:rFonts w:ascii="Times New Roman" w:hAnsi="Times New Roman"/>
          <w:color w:val="000000"/>
          <w:sz w:val="22"/>
          <w:u w:val="single"/>
        </w:rPr>
        <w:t>Recipient</w:t>
      </w:r>
      <w:r>
        <w:rPr>
          <w:rFonts w:ascii="Times New Roman" w:hAnsi="Times New Roman"/>
          <w:color w:val="000000"/>
          <w:sz w:val="20"/>
        </w:rPr>
        <w:t xml:space="preserve">” </w:t>
      </w:r>
      <w:r>
        <w:rPr>
          <w:rFonts w:ascii="Times New Roman" w:hAnsi="Times New Roman"/>
          <w:color w:val="000000"/>
          <w:sz w:val="22"/>
        </w:rPr>
        <w:t>means the Administrative Agent, any Lender, any L/C Issuer or any other recipient of any payment to be made by or on account of any obligation of any Loan Party hereunder.</w:t>
      </w:r>
    </w:p>
    <w:p>
      <w:pPr>
        <w:pStyle w:val="TextBody"/>
        <w:bidi w:val="0"/>
        <w:spacing w:before="0" w:after="240"/>
        <w:jc w:val="both"/>
        <w:rPr/>
      </w:pPr>
      <w:r>
        <w:rPr>
          <w:color w:val="000000"/>
        </w:rPr>
        <w:t>“</w:t>
      </w:r>
      <w:r>
        <w:rPr>
          <w:rFonts w:ascii="Times New Roman" w:hAnsi="Times New Roman"/>
          <w:color w:val="000000"/>
          <w:sz w:val="22"/>
          <w:u w:val="single"/>
        </w:rPr>
        <w:t>Recovery Event</w:t>
      </w:r>
      <w:r>
        <w:rPr>
          <w:rFonts w:ascii="Times New Roman" w:hAnsi="Times New Roman"/>
          <w:color w:val="000000"/>
          <w:sz w:val="20"/>
        </w:rPr>
        <w:t xml:space="preserve">” </w:t>
      </w:r>
      <w:r>
        <w:rPr>
          <w:rFonts w:ascii="Times New Roman" w:hAnsi="Times New Roman"/>
          <w:color w:val="000000"/>
          <w:sz w:val="22"/>
        </w:rPr>
        <w:t>means any loss of, damage to or destruction of, or any condemnation or other taking for public use of, any property of the Borrower or any Subsidiary.</w:t>
      </w:r>
    </w:p>
    <w:p>
      <w:pPr>
        <w:pStyle w:val="TextBody"/>
        <w:bidi w:val="0"/>
        <w:spacing w:before="0" w:after="240"/>
        <w:jc w:val="both"/>
        <w:rPr/>
      </w:pPr>
      <w:r>
        <w:rPr>
          <w:color w:val="000000"/>
        </w:rPr>
        <w:t>“</w:t>
      </w:r>
      <w:r>
        <w:rPr>
          <w:rFonts w:ascii="Times New Roman" w:hAnsi="Times New Roman"/>
          <w:color w:val="000000"/>
          <w:sz w:val="22"/>
          <w:u w:val="single"/>
        </w:rPr>
        <w:t>Register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11.06(c)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Reinstatement Event</w:t>
      </w:r>
      <w:r>
        <w:rPr>
          <w:rFonts w:ascii="Times New Roman" w:hAnsi="Times New Roman"/>
          <w:color w:val="000000"/>
          <w:sz w:val="20"/>
        </w:rPr>
        <w:t xml:space="preserve">” </w:t>
      </w:r>
      <w:r>
        <w:rPr>
          <w:rFonts w:ascii="Times New Roman" w:hAnsi="Times New Roman"/>
          <w:color w:val="000000"/>
          <w:sz w:val="22"/>
        </w:rPr>
        <w:t>means, during any Investment Grade Period, the event that shall be deemed to have occurred if the Borrower shall no longer maintain an Investment Grade Ratings Status.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Related Parties</w:t>
      </w:r>
      <w:r>
        <w:rPr>
          <w:rFonts w:ascii="Times New Roman" w:hAnsi="Times New Roman"/>
          <w:color w:val="000000"/>
          <w:sz w:val="20"/>
        </w:rPr>
        <w:t xml:space="preserve">” </w:t>
      </w:r>
      <w:r>
        <w:rPr>
          <w:rFonts w:ascii="Times New Roman" w:hAnsi="Times New Roman"/>
          <w:color w:val="000000"/>
          <w:sz w:val="22"/>
        </w:rPr>
        <w:t>means, with respect to any Person, such Person’s Affiliates and the partners, directors, officers, employees, agents, trustees, administrators, managers, advisors and representatives of such Person and of such Person’s Affiliates.</w:t>
      </w:r>
    </w:p>
    <w:p>
      <w:pPr>
        <w:pStyle w:val="TextBody"/>
        <w:bidi w:val="0"/>
        <w:spacing w:before="0" w:after="240"/>
        <w:jc w:val="both"/>
        <w:rPr/>
      </w:pPr>
      <w:r>
        <w:rPr>
          <w:color w:val="000000"/>
        </w:rPr>
        <w:t>“</w:t>
      </w:r>
      <w:r>
        <w:rPr>
          <w:rFonts w:ascii="Times New Roman" w:hAnsi="Times New Roman"/>
          <w:color w:val="000000"/>
          <w:sz w:val="22"/>
          <w:u w:val="single"/>
        </w:rPr>
        <w:t>Reportable Event</w:t>
      </w:r>
      <w:r>
        <w:rPr>
          <w:rFonts w:ascii="Times New Roman" w:hAnsi="Times New Roman"/>
          <w:color w:val="000000"/>
          <w:sz w:val="20"/>
        </w:rPr>
        <w:t xml:space="preserve">” </w:t>
      </w:r>
      <w:r>
        <w:rPr>
          <w:rFonts w:ascii="Times New Roman" w:hAnsi="Times New Roman"/>
          <w:color w:val="000000"/>
          <w:sz w:val="22"/>
        </w:rPr>
        <w:t>means any of the events set forth in Section 4043(c) of ERISA, other than events for which the thirty-day notice period has been waived.</w:t>
      </w:r>
    </w:p>
    <w:p>
      <w:pPr>
        <w:pStyle w:val="TextBody"/>
        <w:bidi w:val="0"/>
        <w:spacing w:before="0" w:after="240"/>
        <w:jc w:val="both"/>
        <w:rPr/>
      </w:pPr>
      <w:r>
        <w:rPr>
          <w:color w:val="000000"/>
        </w:rPr>
        <w:t>“</w:t>
      </w:r>
      <w:r>
        <w:rPr>
          <w:rFonts w:ascii="Times New Roman" w:hAnsi="Times New Roman"/>
          <w:color w:val="000000"/>
          <w:sz w:val="22"/>
          <w:u w:val="single"/>
        </w:rPr>
        <w:t>Request for Credit Extension</w:t>
      </w:r>
      <w:r>
        <w:rPr>
          <w:rFonts w:ascii="Times New Roman" w:hAnsi="Times New Roman"/>
          <w:color w:val="000000"/>
          <w:sz w:val="20"/>
        </w:rPr>
        <w:t xml:space="preserve">” </w:t>
      </w:r>
      <w:r>
        <w:rPr>
          <w:rFonts w:ascii="Times New Roman" w:hAnsi="Times New Roman"/>
          <w:color w:val="000000"/>
          <w:sz w:val="22"/>
        </w:rPr>
        <w:t>means (a) with respect to a Borrowing, conversion or continuation of Loans, a Loan Notice and (b) with respect to an L/C Credit Extension, a Letter of Credit Application.</w:t>
      </w:r>
    </w:p>
    <w:p>
      <w:pPr>
        <w:pStyle w:val="TextBody"/>
        <w:bidi w:val="0"/>
        <w:spacing w:before="0" w:after="240"/>
        <w:jc w:val="both"/>
        <w:rPr/>
      </w:pPr>
      <w:r>
        <w:rPr>
          <w:color w:val="000000"/>
        </w:rPr>
        <w:t>“</w:t>
      </w:r>
      <w:r>
        <w:rPr>
          <w:rFonts w:ascii="Times New Roman" w:hAnsi="Times New Roman"/>
          <w:color w:val="000000"/>
          <w:sz w:val="22"/>
          <w:u w:val="single"/>
        </w:rPr>
        <w:t>Required Lenders</w:t>
      </w:r>
      <w:r>
        <w:rPr>
          <w:rFonts w:ascii="Times New Roman" w:hAnsi="Times New Roman"/>
          <w:color w:val="000000"/>
          <w:sz w:val="20"/>
        </w:rPr>
        <w:t xml:space="preserve">” </w:t>
      </w:r>
      <w:r>
        <w:rPr>
          <w:rFonts w:ascii="Times New Roman" w:hAnsi="Times New Roman"/>
          <w:color w:val="000000"/>
          <w:sz w:val="22"/>
        </w:rPr>
        <w:t xml:space="preserve">means, at any time, Lenders having Total Credit Exposures representing more than 50% of the Total Credit Exposures of all Lenders. The Total Credit Exposure of any Defaulting Lender shall be disregarded in determining Required Lenders at any time;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amount of any participation in any Unreimbursed Amounts that such Defaulting Lender has failed to fund that have not been reallocated to and funded by another Lender shall be deemed to be held by the Lender that is the applicable L/C Issuer, as the case may be, in making such determination.</w:t>
      </w:r>
    </w:p>
    <w:p>
      <w:pPr>
        <w:pStyle w:val="TextBody"/>
        <w:bidi w:val="0"/>
        <w:spacing w:before="0" w:after="240"/>
        <w:jc w:val="both"/>
        <w:rPr/>
      </w:pPr>
      <w:r>
        <w:rPr>
          <w:color w:val="000000"/>
        </w:rPr>
        <w:t>“</w:t>
      </w:r>
      <w:r>
        <w:rPr>
          <w:rFonts w:ascii="Times New Roman" w:hAnsi="Times New Roman"/>
          <w:color w:val="000000"/>
          <w:sz w:val="22"/>
          <w:u w:val="single"/>
        </w:rPr>
        <w:t>Rescindable Amount</w:t>
      </w:r>
      <w:r>
        <w:rPr>
          <w:rFonts w:ascii="Times New Roman" w:hAnsi="Times New Roman"/>
          <w:color w:val="000000"/>
          <w:sz w:val="20"/>
        </w:rPr>
        <w:t xml:space="preserve">” </w:t>
      </w:r>
      <w:r>
        <w:rPr>
          <w:rFonts w:ascii="Times New Roman" w:hAnsi="Times New Roman"/>
          <w:color w:val="000000"/>
          <w:sz w:val="22"/>
        </w:rPr>
        <w:t xml:space="preserve">has the meaning as specified in </w:t>
      </w:r>
      <w:r>
        <w:rPr>
          <w:rFonts w:ascii="Times New Roman" w:hAnsi="Times New Roman"/>
          <w:color w:val="000000"/>
          <w:sz w:val="22"/>
          <w:u w:val="single"/>
        </w:rPr>
        <w:t>Section 2.12(b)(ii)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Resolution Authority</w:t>
      </w:r>
      <w:r>
        <w:rPr>
          <w:rFonts w:ascii="Times New Roman" w:hAnsi="Times New Roman"/>
          <w:color w:val="000000"/>
          <w:sz w:val="20"/>
        </w:rPr>
        <w:t xml:space="preserve">” </w:t>
      </w:r>
      <w:r>
        <w:rPr>
          <w:rFonts w:ascii="Times New Roman" w:hAnsi="Times New Roman"/>
          <w:color w:val="000000"/>
          <w:sz w:val="22"/>
        </w:rPr>
        <w:t>means an EEA Resolution Authority or, with respect to any UK Financial Institution, a UK Resolution Authority.</w:t>
      </w:r>
    </w:p>
    <w:p>
      <w:pPr>
        <w:pStyle w:val="TextBody"/>
        <w:bidi w:val="0"/>
        <w:spacing w:before="0" w:after="240"/>
        <w:jc w:val="both"/>
        <w:rPr/>
      </w:pPr>
      <w:r>
        <w:rPr>
          <w:color w:val="000000"/>
        </w:rPr>
        <w:t>“</w:t>
      </w:r>
      <w:r>
        <w:rPr>
          <w:rFonts w:ascii="Times New Roman" w:hAnsi="Times New Roman"/>
          <w:color w:val="000000"/>
          <w:sz w:val="22"/>
          <w:u w:val="single"/>
        </w:rPr>
        <w:t>Responsible Officer</w:t>
      </w:r>
      <w:r>
        <w:rPr>
          <w:rFonts w:ascii="Times New Roman" w:hAnsi="Times New Roman"/>
          <w:color w:val="000000"/>
          <w:sz w:val="20"/>
        </w:rPr>
        <w:t xml:space="preserve">” </w:t>
      </w:r>
      <w:r>
        <w:rPr>
          <w:rFonts w:ascii="Times New Roman" w:hAnsi="Times New Roman"/>
          <w:color w:val="000000"/>
          <w:sz w:val="22"/>
        </w:rPr>
        <w:t xml:space="preserve">means the chief executive officer, president, chief financial officer, treasurer, chief operating officer or corporate secretary of the applicable Loan Party so specified herein and, solely for purposes of the delivery of incumbency certificates, the secretary or any assistant secretary of a Loan Party and, solely for purposes of notices given pursuant to </w:t>
      </w:r>
      <w:r>
        <w:rPr>
          <w:rFonts w:ascii="Times New Roman" w:hAnsi="Times New Roman"/>
          <w:color w:val="000000"/>
          <w:sz w:val="22"/>
          <w:u w:val="single"/>
        </w:rPr>
        <w:t>Article II</w:t>
      </w:r>
      <w:r>
        <w:rPr>
          <w:rFonts w:ascii="Times New Roman" w:hAnsi="Times New Roman"/>
          <w:color w:val="000000"/>
          <w:sz w:val="22"/>
        </w:rPr>
        <w:t>, any other officer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appropriate authorization documentation, in form and substance reasonably satisfactory to the Administrative Agent.</w:t>
      </w:r>
    </w:p>
    <w:p>
      <w:pPr>
        <w:pStyle w:val="TextBody"/>
        <w:bidi w:val="0"/>
        <w:spacing w:before="0" w:after="240"/>
        <w:jc w:val="both"/>
        <w:rPr/>
      </w:pPr>
      <w:r>
        <w:rPr>
          <w:color w:val="000000"/>
        </w:rPr>
        <w:t>“</w:t>
      </w:r>
      <w:r>
        <w:rPr>
          <w:rFonts w:ascii="Times New Roman" w:hAnsi="Times New Roman"/>
          <w:color w:val="000000"/>
          <w:sz w:val="22"/>
          <w:u w:val="single"/>
        </w:rPr>
        <w:t>Restricted Payment</w:t>
      </w:r>
      <w:r>
        <w:rPr>
          <w:rFonts w:ascii="Times New Roman" w:hAnsi="Times New Roman"/>
          <w:color w:val="000000"/>
          <w:sz w:val="20"/>
        </w:rPr>
        <w:t xml:space="preserve">” </w:t>
      </w:r>
      <w:r>
        <w:rPr>
          <w:rFonts w:ascii="Times New Roman" w:hAnsi="Times New Roman"/>
          <w:color w:val="000000"/>
          <w:sz w:val="22"/>
        </w:rPr>
        <w:t xml:space="preserve">means any dividend or other distribution (whether in cash, securities or other property) with respect to any Equity Interests of any Person, or any payment (whether in cash, securities or other property), including any sinking fund or similar deposit, on account of the purchase, redemption, retirement, defeasance, acquisition, cancellation or termination of any such Equity Interests or on account of any return of capital to such Person’s stockholders, partners or members (or the equivalent Person thereof), or any option, warrant or other right to acquire any such dividend or other distribution or payment, including any payment of (or to repurchase) Permitted Convertible Indebtedness in cash (a) upon conversion thereof into capital stock of the Borrower or (b) prior to the conversion thereof, in an amount in excess of the principal and accrued interest thereon;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 [reserved] and (ii) any payment of (or to repurchase or convert) Permitted Convertible Indebtedness to the extent made with Equity Interests of the Borrower (other than Disqualified Stock) shall not constitute a Restricted Payment.</w:t>
      </w:r>
    </w:p>
    <w:p>
      <w:pPr>
        <w:pStyle w:val="TextBody"/>
        <w:bidi w:val="0"/>
        <w:spacing w:before="0" w:after="240"/>
        <w:jc w:val="both"/>
        <w:rPr/>
      </w:pPr>
      <w:r>
        <w:rPr>
          <w:color w:val="000000"/>
        </w:rPr>
        <w:t>“</w:t>
      </w:r>
      <w:r>
        <w:rPr>
          <w:rFonts w:ascii="Times New Roman" w:hAnsi="Times New Roman"/>
          <w:color w:val="000000"/>
          <w:sz w:val="22"/>
          <w:u w:val="single"/>
        </w:rPr>
        <w:t>Revaluation Date</w:t>
      </w:r>
      <w:r>
        <w:rPr>
          <w:rFonts w:ascii="Times New Roman" w:hAnsi="Times New Roman"/>
          <w:color w:val="000000"/>
          <w:sz w:val="20"/>
        </w:rPr>
        <w:t xml:space="preserve">” </w:t>
      </w:r>
      <w:r>
        <w:rPr>
          <w:rFonts w:ascii="Times New Roman" w:hAnsi="Times New Roman"/>
          <w:color w:val="000000"/>
          <w:sz w:val="22"/>
        </w:rPr>
        <w:t>means, with respect to any Letter of Credit, each of the following: (i) each date of issuance, amendment and/or extension of a Letter of Credit denominated in an Alternative Currency, (ii) each date of any payment by the applicable L/C Issuer under any Letter of Credit denominated in an Alternative Currency and (iii) such additional dates as the Administrative Agent or the applicable L/C Issuer shall determine or the Required Lenders shall require.</w:t>
      </w:r>
    </w:p>
    <w:p>
      <w:pPr>
        <w:pStyle w:val="TextBody"/>
        <w:bidi w:val="0"/>
        <w:spacing w:before="0" w:after="240"/>
        <w:jc w:val="both"/>
        <w:rPr/>
      </w:pPr>
      <w:r>
        <w:rPr>
          <w:color w:val="000000"/>
        </w:rPr>
        <w:t>“</w:t>
      </w:r>
      <w:r>
        <w:rPr>
          <w:rFonts w:ascii="Times New Roman" w:hAnsi="Times New Roman"/>
          <w:color w:val="000000"/>
          <w:sz w:val="22"/>
          <w:u w:val="single"/>
        </w:rPr>
        <w:t>Revolving Commitment</w:t>
      </w:r>
      <w:r>
        <w:rPr>
          <w:rFonts w:ascii="Times New Roman" w:hAnsi="Times New Roman"/>
          <w:color w:val="000000"/>
          <w:sz w:val="20"/>
        </w:rPr>
        <w:t xml:space="preserve">” </w:t>
      </w:r>
      <w:r>
        <w:rPr>
          <w:rFonts w:ascii="Times New Roman" w:hAnsi="Times New Roman"/>
          <w:color w:val="000000"/>
          <w:sz w:val="22"/>
        </w:rPr>
        <w:t xml:space="preserve">means, as to each Lender, its obligation to (a) make Revolving Loans to the Borrower pursuant to </w:t>
      </w:r>
      <w:r>
        <w:rPr>
          <w:rFonts w:ascii="Times New Roman" w:hAnsi="Times New Roman"/>
          <w:color w:val="000000"/>
          <w:sz w:val="22"/>
          <w:u w:val="single"/>
        </w:rPr>
        <w:t>Section 2.01(a)</w:t>
      </w:r>
      <w:r>
        <w:rPr>
          <w:rFonts w:ascii="Times New Roman" w:hAnsi="Times New Roman"/>
          <w:color w:val="000000"/>
          <w:sz w:val="20"/>
        </w:rPr>
        <w:t xml:space="preserve"> </w:t>
      </w:r>
      <w:r>
        <w:rPr>
          <w:rFonts w:ascii="Times New Roman" w:hAnsi="Times New Roman"/>
          <w:color w:val="000000"/>
          <w:sz w:val="22"/>
        </w:rPr>
        <w:t xml:space="preserve">and (b) purchase participations in L/C Obligations, in an aggregate principal amount at any one time outstanding not to exceed the amount set forth opposite such Lender’s name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 xml:space="preserve">or in the Assignment and Assumption pursuant to which such Lender becomes a party hereto or in any documentation executed by such Lender pursuant to </w:t>
      </w:r>
      <w:r>
        <w:rPr>
          <w:rFonts w:ascii="Times New Roman" w:hAnsi="Times New Roman"/>
          <w:color w:val="000000"/>
          <w:sz w:val="22"/>
          <w:u w:val="single"/>
        </w:rPr>
        <w:t>Section 2.16(f)</w:t>
      </w:r>
      <w:r>
        <w:rPr>
          <w:rFonts w:ascii="Times New Roman" w:hAnsi="Times New Roman"/>
          <w:color w:val="000000"/>
          <w:sz w:val="22"/>
        </w:rPr>
        <w:t>, as applicable, as such amount may be adjusted from time to time in accordance with this Agreement.</w:t>
      </w:r>
    </w:p>
    <w:p>
      <w:pPr>
        <w:pStyle w:val="TextBody"/>
        <w:bidi w:val="0"/>
        <w:spacing w:before="0" w:after="240"/>
        <w:jc w:val="both"/>
        <w:rPr/>
      </w:pPr>
      <w:r>
        <w:rPr>
          <w:color w:val="000000"/>
        </w:rPr>
        <w:t>“</w:t>
      </w:r>
      <w:r>
        <w:rPr>
          <w:rFonts w:ascii="Times New Roman" w:hAnsi="Times New Roman"/>
          <w:color w:val="000000"/>
          <w:sz w:val="22"/>
          <w:u w:val="single"/>
        </w:rPr>
        <w:t>Revolving Commitment Increase</w:t>
      </w:r>
      <w:r>
        <w:rPr>
          <w:rFonts w:ascii="Times New Roman" w:hAnsi="Times New Roman"/>
          <w:color w:val="000000"/>
          <w:sz w:val="20"/>
        </w:rPr>
        <w:t xml:space="preserve">” </w:t>
      </w:r>
      <w:r>
        <w:rPr>
          <w:rFonts w:ascii="Times New Roman" w:hAnsi="Times New Roman"/>
          <w:color w:val="000000"/>
          <w:sz w:val="22"/>
        </w:rPr>
        <w:t xml:space="preserve">has the meaning provided in </w:t>
      </w:r>
      <w:r>
        <w:rPr>
          <w:rFonts w:ascii="Times New Roman" w:hAnsi="Times New Roman"/>
          <w:color w:val="000000"/>
          <w:sz w:val="22"/>
          <w:u w:val="single"/>
        </w:rPr>
        <w:t>Section 2.16(a)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Revolving Credit Exposure</w:t>
      </w:r>
      <w:r>
        <w:rPr>
          <w:rFonts w:ascii="Times New Roman" w:hAnsi="Times New Roman"/>
          <w:color w:val="000000"/>
          <w:sz w:val="20"/>
        </w:rPr>
        <w:t xml:space="preserve">” </w:t>
      </w:r>
      <w:r>
        <w:rPr>
          <w:rFonts w:ascii="Times New Roman" w:hAnsi="Times New Roman"/>
          <w:color w:val="000000"/>
          <w:sz w:val="22"/>
        </w:rPr>
        <w:t>means, as to any Lender at any time, the aggregate principal amount at such time of such Lender’s outstanding Revolving Loans and such Lender’s participation in L/C Obligations at such time.</w:t>
      </w:r>
    </w:p>
    <w:p>
      <w:pPr>
        <w:pStyle w:val="TextBody"/>
        <w:bidi w:val="0"/>
        <w:spacing w:before="0" w:after="240"/>
        <w:jc w:val="both"/>
        <w:rPr/>
      </w:pPr>
      <w:r>
        <w:rPr>
          <w:color w:val="000000"/>
        </w:rPr>
        <w:t>“</w:t>
      </w:r>
      <w:r>
        <w:rPr>
          <w:rFonts w:ascii="Times New Roman" w:hAnsi="Times New Roman"/>
          <w:color w:val="000000"/>
          <w:sz w:val="22"/>
          <w:u w:val="single"/>
        </w:rPr>
        <w:t>Revolving Credit Facility</w:t>
      </w:r>
      <w:r>
        <w:rPr>
          <w:rFonts w:ascii="Times New Roman" w:hAnsi="Times New Roman"/>
          <w:color w:val="000000"/>
          <w:sz w:val="20"/>
        </w:rPr>
        <w:t xml:space="preserve">” </w:t>
      </w:r>
      <w:r>
        <w:rPr>
          <w:rFonts w:ascii="Times New Roman" w:hAnsi="Times New Roman"/>
          <w:color w:val="000000"/>
          <w:sz w:val="22"/>
        </w:rPr>
        <w:t>means the Revolving Commitments and any Credit Extension made thereunder.</w:t>
      </w:r>
    </w:p>
    <w:p>
      <w:pPr>
        <w:pStyle w:val="TextBody"/>
        <w:bidi w:val="0"/>
        <w:spacing w:before="0" w:after="240"/>
        <w:jc w:val="both"/>
        <w:rPr/>
      </w:pPr>
      <w:r>
        <w:rPr>
          <w:color w:val="000000"/>
        </w:rPr>
        <w:t>“</w:t>
      </w:r>
      <w:r>
        <w:rPr>
          <w:rFonts w:ascii="Times New Roman" w:hAnsi="Times New Roman"/>
          <w:color w:val="000000"/>
          <w:sz w:val="22"/>
          <w:u w:val="single"/>
        </w:rPr>
        <w:t>Revolving Loan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2.01(a)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S&amp;P</w:t>
      </w:r>
      <w:r>
        <w:rPr>
          <w:rFonts w:ascii="Times New Roman" w:hAnsi="Times New Roman"/>
          <w:color w:val="000000"/>
          <w:sz w:val="20"/>
        </w:rPr>
        <w:t xml:space="preserve">” </w:t>
      </w:r>
      <w:r>
        <w:rPr>
          <w:rFonts w:ascii="Times New Roman" w:hAnsi="Times New Roman"/>
          <w:color w:val="000000"/>
          <w:sz w:val="22"/>
        </w:rPr>
        <w:t>means Standard &amp; Poor’s Financial Services LLC, a subsidiary of S&amp;P Global Inc. and any successor thereto.</w:t>
      </w:r>
    </w:p>
    <w:p>
      <w:pPr>
        <w:pStyle w:val="TextBody"/>
        <w:bidi w:val="0"/>
        <w:spacing w:before="0" w:after="240"/>
        <w:jc w:val="both"/>
        <w:rPr/>
      </w:pPr>
      <w:r>
        <w:rPr>
          <w:color w:val="000000"/>
        </w:rPr>
        <w:t>“</w:t>
      </w:r>
      <w:r>
        <w:rPr>
          <w:rFonts w:ascii="Times New Roman" w:hAnsi="Times New Roman"/>
          <w:color w:val="000000"/>
          <w:sz w:val="22"/>
          <w:u w:val="single"/>
        </w:rPr>
        <w:t>Sale and Leaseback Transaction</w:t>
      </w:r>
      <w:r>
        <w:rPr>
          <w:rFonts w:ascii="Times New Roman" w:hAnsi="Times New Roman"/>
          <w:color w:val="000000"/>
          <w:sz w:val="20"/>
        </w:rPr>
        <w:t xml:space="preserve">” </w:t>
      </w:r>
      <w:r>
        <w:rPr>
          <w:rFonts w:ascii="Times New Roman" w:hAnsi="Times New Roman"/>
          <w:color w:val="000000"/>
          <w:sz w:val="22"/>
        </w:rPr>
        <w:t>means, with respect to any Person, any arrangement, directly or indirectly, whereby such Person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pStyle w:val="TextBody"/>
        <w:bidi w:val="0"/>
        <w:jc w:val="center"/>
        <w:rPr>
          <w:rFonts w:ascii="Times New Roman" w:hAnsi="Times New Roman"/>
          <w:color w:val="000000"/>
          <w:sz w:val="22"/>
        </w:rPr>
      </w:pPr>
      <w:r>
        <w:rPr>
          <w:rFonts w:ascii="Times New Roman" w:hAnsi="Times New Roman"/>
          <w:color w:val="000000"/>
          <w:sz w:val="22"/>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Sanction(s)</w:t>
      </w:r>
      <w:r>
        <w:rPr>
          <w:rFonts w:ascii="Times New Roman" w:hAnsi="Times New Roman"/>
          <w:color w:val="000000"/>
          <w:sz w:val="20"/>
        </w:rPr>
        <w:t xml:space="preserve">” </w:t>
      </w:r>
      <w:r>
        <w:rPr>
          <w:rFonts w:ascii="Times New Roman" w:hAnsi="Times New Roman"/>
          <w:color w:val="000000"/>
          <w:sz w:val="22"/>
        </w:rPr>
        <w:t>means any international economic sanction or trade embargo administered or enforced by the United States Government, including OFAC and the U.S. Department of State, or the United Nations Security Council, the European Union (not to include those protecting against the effects of extraterritorial sanctions by other nations), His Majesty’s Treasury or other relevant sanctions authority of OECD member countries.</w:t>
      </w:r>
    </w:p>
    <w:p>
      <w:pPr>
        <w:pStyle w:val="TextBody"/>
        <w:bidi w:val="0"/>
        <w:spacing w:before="0" w:after="240"/>
        <w:jc w:val="both"/>
        <w:rPr/>
      </w:pPr>
      <w:r>
        <w:rPr>
          <w:color w:val="000000"/>
        </w:rPr>
        <w:t>“</w:t>
      </w:r>
      <w:r>
        <w:rPr>
          <w:rFonts w:ascii="Times New Roman" w:hAnsi="Times New Roman"/>
          <w:color w:val="000000"/>
          <w:sz w:val="22"/>
          <w:u w:val="single"/>
        </w:rPr>
        <w:t>Scheduled Unavailability Date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3.03(b)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SEC</w:t>
      </w:r>
      <w:r>
        <w:rPr>
          <w:rFonts w:ascii="Times New Roman" w:hAnsi="Times New Roman"/>
          <w:color w:val="000000"/>
          <w:sz w:val="20"/>
        </w:rPr>
        <w:t xml:space="preserve">” </w:t>
      </w:r>
      <w:r>
        <w:rPr>
          <w:rFonts w:ascii="Times New Roman" w:hAnsi="Times New Roman"/>
          <w:color w:val="000000"/>
          <w:sz w:val="22"/>
        </w:rPr>
        <w:t>means the Securities and Exchange Commission, or any Governmental Authority succeeding to any of its principal functions.</w:t>
      </w:r>
    </w:p>
    <w:p>
      <w:pPr>
        <w:pStyle w:val="TextBody"/>
        <w:bidi w:val="0"/>
        <w:spacing w:before="0" w:after="240"/>
        <w:jc w:val="both"/>
        <w:rPr/>
      </w:pPr>
      <w:r>
        <w:rPr>
          <w:color w:val="000000"/>
        </w:rPr>
        <w:t>“</w:t>
      </w:r>
      <w:r>
        <w:rPr>
          <w:rFonts w:ascii="Times New Roman" w:hAnsi="Times New Roman"/>
          <w:color w:val="000000"/>
          <w:sz w:val="22"/>
          <w:u w:val="single"/>
        </w:rPr>
        <w:t>Secured Cash Management Agreement</w:t>
      </w:r>
      <w:r>
        <w:rPr>
          <w:rFonts w:ascii="Times New Roman" w:hAnsi="Times New Roman"/>
          <w:color w:val="000000"/>
          <w:sz w:val="20"/>
        </w:rPr>
        <w:t xml:space="preserve">” </w:t>
      </w:r>
      <w:r>
        <w:rPr>
          <w:rFonts w:ascii="Times New Roman" w:hAnsi="Times New Roman"/>
          <w:color w:val="000000"/>
          <w:sz w:val="22"/>
        </w:rPr>
        <w:t xml:space="preserve">means any Cash Management Agreement that is entered into by and between the Borrower or any Subsidiary and any Cash Management Bank with respect to such Cash Management Agreement. For the avoidance of doubt, a holder of Obligations in respect of Secured Cash Management Agreements shall be subject to the last paragraph of </w:t>
      </w:r>
      <w:r>
        <w:rPr>
          <w:rFonts w:ascii="Times New Roman" w:hAnsi="Times New Roman"/>
          <w:color w:val="000000"/>
          <w:sz w:val="22"/>
          <w:u w:val="single"/>
        </w:rPr>
        <w:t>Section 9.03</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10.11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Secured Hedge Agreement</w:t>
      </w:r>
      <w:r>
        <w:rPr>
          <w:rFonts w:ascii="Times New Roman" w:hAnsi="Times New Roman"/>
          <w:color w:val="000000"/>
          <w:sz w:val="20"/>
        </w:rPr>
        <w:t xml:space="preserve">” </w:t>
      </w:r>
      <w:r>
        <w:rPr>
          <w:rFonts w:ascii="Times New Roman" w:hAnsi="Times New Roman"/>
          <w:color w:val="000000"/>
          <w:sz w:val="22"/>
        </w:rPr>
        <w:t xml:space="preserve">means any Swap Contract that is entered into by and between the Borrower or any Subsidiary and any Hedge Bank with respect to such Swap Contract. For the avoidance of doubt, a holder of Obligations in respect of Secured Hedge Agreements shall be subject to the last paragraph of </w:t>
      </w:r>
      <w:r>
        <w:rPr>
          <w:rFonts w:ascii="Times New Roman" w:hAnsi="Times New Roman"/>
          <w:color w:val="000000"/>
          <w:sz w:val="22"/>
          <w:u w:val="single"/>
        </w:rPr>
        <w:t>Section 9.03</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10.11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Secured Party Designation Notice</w:t>
      </w:r>
      <w:r>
        <w:rPr>
          <w:rFonts w:ascii="Times New Roman" w:hAnsi="Times New Roman"/>
          <w:color w:val="000000"/>
          <w:sz w:val="20"/>
        </w:rPr>
        <w:t xml:space="preserve">” </w:t>
      </w:r>
      <w:r>
        <w:rPr>
          <w:rFonts w:ascii="Times New Roman" w:hAnsi="Times New Roman"/>
          <w:color w:val="000000"/>
          <w:sz w:val="22"/>
        </w:rPr>
        <w:t xml:space="preserve">shall mean a notice from any Lender or an Affiliate of a Lender substantially in the form of </w:t>
      </w:r>
      <w:r>
        <w:rPr>
          <w:rFonts w:ascii="Times New Roman" w:hAnsi="Times New Roman"/>
          <w:color w:val="000000"/>
          <w:sz w:val="22"/>
          <w:u w:val="single"/>
        </w:rPr>
        <w:t>Exhibit H</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Security Agreement</w:t>
      </w:r>
      <w:r>
        <w:rPr>
          <w:rFonts w:ascii="Times New Roman" w:hAnsi="Times New Roman"/>
          <w:color w:val="000000"/>
          <w:sz w:val="20"/>
        </w:rPr>
        <w:t xml:space="preserve">” </w:t>
      </w:r>
      <w:r>
        <w:rPr>
          <w:rFonts w:ascii="Times New Roman" w:hAnsi="Times New Roman"/>
          <w:color w:val="000000"/>
          <w:sz w:val="22"/>
        </w:rPr>
        <w:t>means the security and pledge agreement, dated as of the Effective Date, by and among the Loan Parties and the Administrative Agent, for the benefit of the holders of the Obligations.</w:t>
      </w:r>
    </w:p>
    <w:p>
      <w:pPr>
        <w:pStyle w:val="TextBody"/>
        <w:bidi w:val="0"/>
        <w:spacing w:before="0" w:after="240"/>
        <w:jc w:val="both"/>
        <w:rPr/>
      </w:pPr>
      <w:r>
        <w:rPr>
          <w:color w:val="000000"/>
        </w:rPr>
        <w:t>“</w:t>
      </w:r>
      <w:r>
        <w:rPr>
          <w:rFonts w:ascii="Times New Roman" w:hAnsi="Times New Roman"/>
          <w:color w:val="000000"/>
          <w:sz w:val="22"/>
          <w:u w:val="single"/>
        </w:rPr>
        <w:t>SOFR</w:t>
      </w:r>
      <w:r>
        <w:rPr>
          <w:rFonts w:ascii="Times New Roman" w:hAnsi="Times New Roman"/>
          <w:color w:val="000000"/>
          <w:sz w:val="20"/>
        </w:rPr>
        <w:t xml:space="preserve">” </w:t>
      </w:r>
      <w:r>
        <w:rPr>
          <w:rFonts w:ascii="Times New Roman" w:hAnsi="Times New Roman"/>
          <w:color w:val="000000"/>
          <w:sz w:val="22"/>
        </w:rPr>
        <w:t>means the Secured Overnight Financing Rate as administered by the Federal Reserve Bank of New York (or a successor administrator).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SOFR Adjustment</w:t>
      </w:r>
      <w:r>
        <w:rPr>
          <w:rFonts w:ascii="Times New Roman" w:hAnsi="Times New Roman"/>
          <w:color w:val="000000"/>
          <w:sz w:val="20"/>
        </w:rPr>
        <w:t xml:space="preserve">” </w:t>
      </w:r>
      <w:r>
        <w:rPr>
          <w:rFonts w:ascii="Times New Roman" w:hAnsi="Times New Roman"/>
          <w:color w:val="000000"/>
          <w:sz w:val="22"/>
        </w:rPr>
        <w:t>with respect to Daily Simple SOFR means 0.00% (0.00 basis points); and with respect to Term SOFR for all Interest Periods, means 0.00% (0 basis points).</w:t>
      </w:r>
    </w:p>
    <w:p>
      <w:pPr>
        <w:pStyle w:val="TextBody"/>
        <w:bidi w:val="0"/>
        <w:spacing w:before="0" w:after="240"/>
        <w:jc w:val="both"/>
        <w:rPr/>
      </w:pPr>
      <w:r>
        <w:rPr>
          <w:color w:val="000000"/>
        </w:rPr>
        <w:t>“</w:t>
      </w:r>
      <w:r>
        <w:rPr>
          <w:rFonts w:ascii="Times New Roman" w:hAnsi="Times New Roman"/>
          <w:color w:val="000000"/>
          <w:sz w:val="22"/>
          <w:u w:val="single"/>
        </w:rPr>
        <w:t>Solvent</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Solvency</w:t>
      </w:r>
      <w:r>
        <w:rPr>
          <w:rFonts w:ascii="Times New Roman" w:hAnsi="Times New Roman"/>
          <w:color w:val="000000"/>
          <w:sz w:val="20"/>
        </w:rPr>
        <w:t xml:space="preserve">” </w:t>
      </w:r>
      <w:r>
        <w:rPr>
          <w:rFonts w:ascii="Times New Roman" w:hAnsi="Times New Roman"/>
          <w:color w:val="000000"/>
          <w:sz w:val="22"/>
        </w:rPr>
        <w:t>means, with respect to any Person as of a particular date,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such debts and liabilities as they mature in the ordinary course of business, (c) such Person is not engaged in a business or a transaction, and is not about to engage in a business or a transaction, for which such Person’s property would constitute unreasonably small capital, (d) the fair value of the property of such Person is greater than the total amount of liabilities, including contingent liabilities, of such Person, (e) the present fair salable value of the property of such Person is not less than the amount that will be required to pay the probable liability of such Person on its debts as they become absolute and matured and (f) such Person does not intend, in any transaction, to hinder, delay or defraud either present or future creditors or any other person to which such Person is or will become, through such transaction, indebted.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before="0" w:after="240"/>
        <w:jc w:val="both"/>
        <w:rPr/>
      </w:pPr>
      <w:r>
        <w:rPr>
          <w:color w:val="000000"/>
        </w:rPr>
        <w:t>“</w:t>
      </w:r>
      <w:r>
        <w:rPr>
          <w:rFonts w:ascii="Times New Roman" w:hAnsi="Times New Roman"/>
          <w:color w:val="000000"/>
          <w:sz w:val="22"/>
          <w:u w:val="single"/>
        </w:rPr>
        <w:t>Specified Loan Party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4.08</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Specified Representations</w:t>
      </w:r>
      <w:r>
        <w:rPr>
          <w:rFonts w:ascii="Times New Roman" w:hAnsi="Times New Roman"/>
          <w:color w:val="000000"/>
          <w:sz w:val="20"/>
        </w:rPr>
        <w:t xml:space="preserve">” </w:t>
      </w:r>
      <w:r>
        <w:rPr>
          <w:rFonts w:ascii="Times New Roman" w:hAnsi="Times New Roman"/>
          <w:color w:val="000000"/>
          <w:sz w:val="22"/>
        </w:rPr>
        <w:t xml:space="preserve">means the representations and warranties set forth in </w:t>
      </w:r>
      <w:r>
        <w:rPr>
          <w:rFonts w:ascii="Times New Roman" w:hAnsi="Times New Roman"/>
          <w:color w:val="000000"/>
          <w:sz w:val="22"/>
          <w:u w:val="single"/>
        </w:rPr>
        <w:t xml:space="preserve">Section 6.01 </w:t>
      </w:r>
      <w:r>
        <w:rPr>
          <w:rFonts w:ascii="Times New Roman" w:hAnsi="Times New Roman"/>
          <w:color w:val="000000"/>
          <w:sz w:val="22"/>
        </w:rPr>
        <w:t xml:space="preserve">(solely with respect to the Loan Parties), </w:t>
      </w:r>
      <w:r>
        <w:rPr>
          <w:rFonts w:ascii="Times New Roman" w:hAnsi="Times New Roman"/>
          <w:color w:val="000000"/>
          <w:sz w:val="22"/>
          <w:u w:val="single"/>
        </w:rPr>
        <w:t>Section 6.02</w:t>
      </w:r>
      <w:r>
        <w:rPr>
          <w:rFonts w:ascii="Times New Roman" w:hAnsi="Times New Roman"/>
          <w:color w:val="000000"/>
          <w:sz w:val="20"/>
        </w:rPr>
        <w:t xml:space="preserve"> </w:t>
      </w:r>
      <w:r>
        <w:rPr>
          <w:rFonts w:ascii="Times New Roman" w:hAnsi="Times New Roman"/>
          <w:color w:val="000000"/>
          <w:sz w:val="22"/>
        </w:rPr>
        <w:t xml:space="preserve">(solely with respect to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and solely with respect to the Loan Parties), </w:t>
      </w:r>
      <w:r>
        <w:rPr>
          <w:rFonts w:ascii="Times New Roman" w:hAnsi="Times New Roman"/>
          <w:color w:val="000000"/>
          <w:sz w:val="22"/>
          <w:u w:val="single"/>
        </w:rPr>
        <w:t>Section 6.03</w:t>
      </w:r>
      <w:r>
        <w:rPr>
          <w:rFonts w:ascii="Times New Roman" w:hAnsi="Times New Roman"/>
          <w:color w:val="000000"/>
          <w:sz w:val="20"/>
        </w:rPr>
        <w:t xml:space="preserve"> </w:t>
      </w:r>
      <w:r>
        <w:rPr>
          <w:rFonts w:ascii="Times New Roman" w:hAnsi="Times New Roman"/>
          <w:color w:val="000000"/>
          <w:sz w:val="22"/>
        </w:rPr>
        <w:t xml:space="preserve">(to the extent related to approvals, consents, exemptions, authorizations, or other actions required by a Governmental Authority or applicable Laws), </w:t>
      </w:r>
      <w:r>
        <w:rPr>
          <w:rFonts w:ascii="Times New Roman" w:hAnsi="Times New Roman"/>
          <w:color w:val="000000"/>
          <w:sz w:val="22"/>
          <w:u w:val="single"/>
        </w:rPr>
        <w:t>Section 6.04</w:t>
      </w:r>
      <w:r>
        <w:rPr>
          <w:rFonts w:ascii="Times New Roman" w:hAnsi="Times New Roman"/>
          <w:color w:val="000000"/>
          <w:sz w:val="22"/>
        </w:rPr>
        <w:t xml:space="preserve">, </w:t>
      </w:r>
      <w:r>
        <w:rPr>
          <w:rFonts w:ascii="Times New Roman" w:hAnsi="Times New Roman"/>
          <w:color w:val="000000"/>
          <w:sz w:val="22"/>
          <w:u w:val="single"/>
        </w:rPr>
        <w:t>Section 6.14</w:t>
      </w:r>
      <w:r>
        <w:rPr>
          <w:rFonts w:ascii="Times New Roman" w:hAnsi="Times New Roman"/>
          <w:color w:val="000000"/>
          <w:sz w:val="22"/>
        </w:rPr>
        <w:t xml:space="preserve">, </w:t>
      </w:r>
      <w:r>
        <w:rPr>
          <w:rFonts w:ascii="Times New Roman" w:hAnsi="Times New Roman"/>
          <w:color w:val="000000"/>
          <w:sz w:val="22"/>
          <w:u w:val="single"/>
        </w:rPr>
        <w:t>Section 6.18</w:t>
      </w:r>
      <w:r>
        <w:rPr>
          <w:rFonts w:ascii="Times New Roman" w:hAnsi="Times New Roman"/>
          <w:color w:val="000000"/>
          <w:sz w:val="22"/>
        </w:rPr>
        <w:t xml:space="preserve">, </w:t>
      </w:r>
      <w:r>
        <w:rPr>
          <w:rFonts w:ascii="Times New Roman" w:hAnsi="Times New Roman"/>
          <w:color w:val="000000"/>
          <w:sz w:val="22"/>
          <w:u w:val="single"/>
        </w:rPr>
        <w:t>Section 6.19</w:t>
      </w:r>
      <w:r>
        <w:rPr>
          <w:rFonts w:ascii="Times New Roman" w:hAnsi="Times New Roman"/>
          <w:color w:val="000000"/>
          <w:sz w:val="20"/>
        </w:rPr>
        <w:t xml:space="preserve"> </w:t>
      </w:r>
      <w:r>
        <w:rPr>
          <w:rFonts w:ascii="Times New Roman" w:hAnsi="Times New Roman"/>
          <w:color w:val="000000"/>
          <w:sz w:val="22"/>
        </w:rPr>
        <w:t xml:space="preserve">(subject to any exceptions to be agreed by the Lenders providing the relevant Incremental Term Loan), </w:t>
      </w:r>
      <w:r>
        <w:rPr>
          <w:rFonts w:ascii="Times New Roman" w:hAnsi="Times New Roman"/>
          <w:color w:val="000000"/>
          <w:sz w:val="22"/>
          <w:u w:val="single"/>
        </w:rPr>
        <w:t>Section 6.21</w:t>
      </w:r>
      <w:r>
        <w:rPr>
          <w:rFonts w:ascii="Times New Roman" w:hAnsi="Times New Roman"/>
          <w:color w:val="000000"/>
          <w:sz w:val="20"/>
        </w:rPr>
        <w:t xml:space="preserve"> </w:t>
      </w:r>
      <w:r>
        <w:rPr>
          <w:rFonts w:ascii="Times New Roman" w:hAnsi="Times New Roman"/>
          <w:color w:val="000000"/>
          <w:sz w:val="22"/>
        </w:rPr>
        <w:t xml:space="preserve">(solely with respect to the use of proceeds of the Incremental Term Loans) and </w:t>
      </w:r>
      <w:r>
        <w:rPr>
          <w:rFonts w:ascii="Times New Roman" w:hAnsi="Times New Roman"/>
          <w:color w:val="000000"/>
          <w:sz w:val="22"/>
          <w:u w:val="single"/>
        </w:rPr>
        <w:t>Section 6.22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Subordinated Indebtedness</w:t>
      </w:r>
      <w:r>
        <w:rPr>
          <w:rFonts w:ascii="Times New Roman" w:hAnsi="Times New Roman"/>
          <w:color w:val="000000"/>
          <w:sz w:val="20"/>
        </w:rPr>
        <w:t xml:space="preserve">” </w:t>
      </w:r>
      <w:r>
        <w:rPr>
          <w:rFonts w:ascii="Times New Roman" w:hAnsi="Times New Roman"/>
          <w:color w:val="000000"/>
          <w:sz w:val="22"/>
        </w:rPr>
        <w:t>means Indebtedness for borrowed money of the Borrower or any Subsidiary which by its terms is subordinated in right of payment to the payment in full of the Obligations in a form and substance reasonably acceptable to the Administrative Agent.</w:t>
      </w:r>
    </w:p>
    <w:p>
      <w:pPr>
        <w:pStyle w:val="TextBody"/>
        <w:bidi w:val="0"/>
        <w:spacing w:before="0" w:after="240"/>
        <w:jc w:val="both"/>
        <w:rPr/>
      </w:pPr>
      <w:r>
        <w:rPr>
          <w:color w:val="000000"/>
        </w:rPr>
        <w:t>“</w:t>
      </w:r>
      <w:r>
        <w:rPr>
          <w:rFonts w:ascii="Times New Roman" w:hAnsi="Times New Roman"/>
          <w:color w:val="000000"/>
          <w:sz w:val="22"/>
          <w:u w:val="single"/>
        </w:rPr>
        <w:t>Subordinating Loan Party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11.18</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of a Person means a corporation, partnership, joint venture, limited liability company or other business entity of which a majority of the shares of Voting Equity Interests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pStyle w:val="TextBody"/>
        <w:bidi w:val="0"/>
        <w:spacing w:before="0" w:after="240"/>
        <w:jc w:val="both"/>
        <w:rPr/>
      </w:pPr>
      <w:r>
        <w:rPr>
          <w:color w:val="000000"/>
        </w:rPr>
        <w:t>“</w:t>
      </w:r>
      <w:r>
        <w:rPr>
          <w:rFonts w:ascii="Times New Roman" w:hAnsi="Times New Roman"/>
          <w:color w:val="000000"/>
          <w:sz w:val="22"/>
          <w:u w:val="single"/>
        </w:rPr>
        <w:t>Successor Rate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3.03(b)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Supported QFC</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11.25</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Swap Contract</w:t>
      </w:r>
      <w:r>
        <w:rPr>
          <w:rFonts w:ascii="Times New Roman" w:hAnsi="Times New Roman"/>
          <w:color w:val="000000"/>
          <w:sz w:val="20"/>
        </w:rPr>
        <w:t xml:space="preserve">” </w:t>
      </w:r>
      <w:r>
        <w:rPr>
          <w:rFonts w:ascii="Times New Roman" w:hAnsi="Times New Roman"/>
          <w:color w:val="000000"/>
          <w:sz w:val="22"/>
        </w:rPr>
        <w:t>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color w:val="000000"/>
          <w:sz w:val="22"/>
          <w:u w:val="single"/>
        </w:rPr>
        <w:t>Master Agreement</w:t>
      </w:r>
      <w:r>
        <w:rPr>
          <w:rFonts w:ascii="Times New Roman" w:hAnsi="Times New Roman"/>
          <w:color w:val="000000"/>
          <w:sz w:val="20"/>
        </w:rPr>
        <w:t>”</w:t>
      </w:r>
      <w:r>
        <w:rPr>
          <w:rFonts w:ascii="Times New Roman" w:hAnsi="Times New Roman"/>
          <w:color w:val="000000"/>
          <w:sz w:val="22"/>
        </w:rPr>
        <w:t>), including any such obligations or liabilities under any Master Agreement.</w:t>
      </w:r>
    </w:p>
    <w:p>
      <w:pPr>
        <w:pStyle w:val="TextBody"/>
        <w:bidi w:val="0"/>
        <w:spacing w:before="0" w:after="240"/>
        <w:jc w:val="both"/>
        <w:rPr/>
      </w:pPr>
      <w:r>
        <w:rPr>
          <w:color w:val="000000"/>
        </w:rPr>
        <w:t>“</w:t>
      </w:r>
      <w:r>
        <w:rPr>
          <w:rFonts w:ascii="Times New Roman" w:hAnsi="Times New Roman"/>
          <w:color w:val="000000"/>
          <w:sz w:val="22"/>
          <w:u w:val="single"/>
        </w:rPr>
        <w:t>Swap Obligation</w:t>
      </w:r>
      <w:r>
        <w:rPr>
          <w:rFonts w:ascii="Times New Roman" w:hAnsi="Times New Roman"/>
          <w:color w:val="000000"/>
          <w:sz w:val="20"/>
        </w:rPr>
        <w:t xml:space="preserve">” </w:t>
      </w:r>
      <w:r>
        <w:rPr>
          <w:rFonts w:ascii="Times New Roman" w:hAnsi="Times New Roman"/>
          <w:color w:val="000000"/>
          <w:sz w:val="22"/>
        </w:rPr>
        <w:t>means, with respect to any Guarantor, any obligation to pay or perform under any agreement, contract or transaction that constitutes a “swap” within the meaning of Section 1a(47) of the Commodity Exchange Act.</w:t>
      </w:r>
    </w:p>
    <w:p>
      <w:pPr>
        <w:pStyle w:val="TextBody"/>
        <w:bidi w:val="0"/>
        <w:spacing w:before="0" w:after="240"/>
        <w:jc w:val="both"/>
        <w:rPr/>
      </w:pPr>
      <w:r>
        <w:rPr>
          <w:color w:val="000000"/>
        </w:rPr>
        <w:t>“</w:t>
      </w:r>
      <w:r>
        <w:rPr>
          <w:rFonts w:ascii="Times New Roman" w:hAnsi="Times New Roman"/>
          <w:color w:val="000000"/>
          <w:sz w:val="22"/>
          <w:u w:val="single"/>
        </w:rPr>
        <w:t>Swap Termination Value</w:t>
      </w:r>
      <w:r>
        <w:rPr>
          <w:rFonts w:ascii="Times New Roman" w:hAnsi="Times New Roman"/>
          <w:color w:val="000000"/>
          <w:sz w:val="20"/>
        </w:rPr>
        <w:t xml:space="preserve">” </w:t>
      </w:r>
      <w:r>
        <w:rPr>
          <w:rFonts w:ascii="Times New Roman" w:hAnsi="Times New Roman"/>
          <w:color w:val="000000"/>
          <w:sz w:val="22"/>
        </w:rPr>
        <w:t xml:space="preserve">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above,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jc w:val="center"/>
        <w:rPr>
          <w:rFonts w:ascii="Times New Roman" w:hAnsi="Times New Roman"/>
          <w:color w:val="000000"/>
          <w:sz w:val="22"/>
        </w:rPr>
      </w:pPr>
      <w:r>
        <w:rPr>
          <w:rFonts w:ascii="Times New Roman" w:hAnsi="Times New Roman"/>
          <w:color w:val="000000"/>
          <w:sz w:val="22"/>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Synthetic Lease Obligation</w:t>
      </w:r>
      <w:r>
        <w:rPr>
          <w:rFonts w:ascii="Times New Roman" w:hAnsi="Times New Roman"/>
          <w:color w:val="000000"/>
          <w:sz w:val="20"/>
        </w:rPr>
        <w:t xml:space="preserve">” </w:t>
      </w:r>
      <w:r>
        <w:rPr>
          <w:rFonts w:ascii="Times New Roman" w:hAnsi="Times New Roman"/>
          <w:color w:val="000000"/>
          <w:sz w:val="22"/>
        </w:rPr>
        <w:t>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pStyle w:val="TextBody"/>
        <w:bidi w:val="0"/>
        <w:spacing w:before="0" w:after="240"/>
        <w:jc w:val="both"/>
        <w:rPr/>
      </w:pPr>
      <w:r>
        <w:rPr>
          <w:color w:val="000000"/>
        </w:rPr>
        <w:t>“</w:t>
      </w:r>
      <w:r>
        <w:rPr>
          <w:rFonts w:ascii="Times New Roman" w:hAnsi="Times New Roman"/>
          <w:color w:val="000000"/>
          <w:sz w:val="22"/>
          <w:u w:val="single"/>
        </w:rPr>
        <w:t>Taxes</w:t>
      </w:r>
      <w:r>
        <w:rPr>
          <w:rFonts w:ascii="Times New Roman" w:hAnsi="Times New Roman"/>
          <w:color w:val="000000"/>
          <w:sz w:val="20"/>
        </w:rPr>
        <w:t xml:space="preserve">” </w:t>
      </w:r>
      <w:r>
        <w:rPr>
          <w:rFonts w:ascii="Times New Roman" w:hAnsi="Times New Roman"/>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color w:val="000000"/>
          <w:sz w:val="22"/>
          <w:u w:val="single"/>
        </w:rPr>
        <w:t>Term Loan</w:t>
      </w:r>
      <w:r>
        <w:rPr>
          <w:rFonts w:ascii="Times New Roman" w:hAnsi="Times New Roman"/>
          <w:color w:val="000000"/>
          <w:sz w:val="20"/>
        </w:rPr>
        <w:t xml:space="preserve">” </w:t>
      </w:r>
      <w:r>
        <w:rPr>
          <w:rFonts w:ascii="Times New Roman" w:hAnsi="Times New Roman"/>
          <w:color w:val="000000"/>
          <w:sz w:val="22"/>
        </w:rPr>
        <w:t>means any Incremental Term Loan.</w:t>
      </w:r>
    </w:p>
    <w:p>
      <w:pPr>
        <w:pStyle w:val="TextBody"/>
        <w:bidi w:val="0"/>
        <w:spacing w:before="0" w:after="240"/>
        <w:jc w:val="both"/>
        <w:rPr/>
      </w:pPr>
      <w:r>
        <w:rPr>
          <w:color w:val="000000"/>
        </w:rPr>
        <w:t>“</w:t>
      </w:r>
      <w:r>
        <w:rPr>
          <w:rFonts w:ascii="Times New Roman" w:hAnsi="Times New Roman"/>
          <w:color w:val="000000"/>
          <w:sz w:val="22"/>
          <w:u w:val="single"/>
        </w:rPr>
        <w:t>Term SOFR</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plus the SOFR Adjustment for such Interest Period;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for any interest calculation with respect to a Base Rate Loan on any date, the rate per annum equal to the Term SOFR Screen Rate two U.S. Government Securities Business Days prior to such date with a term of one month commencing that day; provided that if the rate is not published prior to 11:00 a.m. on such determination date then Term SOFR means the Term SOFR Screen Rate on the first U.S. Government Securities Business Day immediately prior thereto, in each case, plus the SOFR Adjustment for such Interest Period;</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Term SOFR determined in accordance with either of the foregoing provisions (a) or (b) of this definition would otherwise be less than zero, the Term SOFR shall be deemed zero for purposes of this Agreement.</w:t>
      </w:r>
    </w:p>
    <w:p>
      <w:pPr>
        <w:pStyle w:val="TextBody"/>
        <w:bidi w:val="0"/>
        <w:spacing w:before="0" w:after="240"/>
        <w:jc w:val="both"/>
        <w:rPr/>
      </w:pPr>
      <w:r>
        <w:rPr>
          <w:color w:val="000000"/>
        </w:rPr>
        <w:t>“</w:t>
      </w:r>
      <w:r>
        <w:rPr>
          <w:rFonts w:ascii="Times New Roman" w:hAnsi="Times New Roman"/>
          <w:color w:val="000000"/>
          <w:sz w:val="22"/>
          <w:u w:val="single"/>
        </w:rPr>
        <w:t>Term SOFR Loan</w:t>
      </w:r>
      <w:r>
        <w:rPr>
          <w:rFonts w:ascii="Times New Roman" w:hAnsi="Times New Roman"/>
          <w:color w:val="000000"/>
          <w:sz w:val="20"/>
        </w:rPr>
        <w:t xml:space="preserve">” </w:t>
      </w:r>
      <w:r>
        <w:rPr>
          <w:rFonts w:ascii="Times New Roman" w:hAnsi="Times New Roman"/>
          <w:color w:val="000000"/>
          <w:sz w:val="22"/>
        </w:rPr>
        <w:t>means a Loan that bears interest at a rate based on clause (a) of the definition of Term SOFR.</w:t>
      </w:r>
    </w:p>
    <w:p>
      <w:pPr>
        <w:pStyle w:val="TextBody"/>
        <w:bidi w:val="0"/>
        <w:spacing w:before="0" w:after="240"/>
        <w:jc w:val="both"/>
        <w:rPr/>
      </w:pPr>
      <w:r>
        <w:rPr>
          <w:color w:val="000000"/>
        </w:rPr>
        <w:t>“</w:t>
      </w:r>
      <w:r>
        <w:rPr>
          <w:rFonts w:ascii="Times New Roman" w:hAnsi="Times New Roman"/>
          <w:color w:val="000000"/>
          <w:sz w:val="22"/>
          <w:u w:val="single"/>
        </w:rPr>
        <w:t>Term SOFR Replacement Date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3.03(b)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Term SOFR Screen Rate</w:t>
      </w:r>
      <w:r>
        <w:rPr>
          <w:rFonts w:ascii="Times New Roman" w:hAnsi="Times New Roman"/>
          <w:color w:val="000000"/>
          <w:sz w:val="20"/>
        </w:rPr>
        <w:t xml:space="preserve">” </w:t>
      </w:r>
      <w:r>
        <w:rPr>
          <w:rFonts w:ascii="Times New Roman" w:hAnsi="Times New Roman"/>
          <w:color w:val="000000"/>
          <w:sz w:val="22"/>
        </w:rPr>
        <w:t>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pStyle w:val="TextBody"/>
        <w:bidi w:val="0"/>
        <w:spacing w:before="0" w:after="240"/>
        <w:jc w:val="both"/>
        <w:rPr/>
      </w:pPr>
      <w:r>
        <w:rPr>
          <w:color w:val="000000"/>
        </w:rPr>
        <w:t>“</w:t>
      </w:r>
      <w:r>
        <w:rPr>
          <w:rFonts w:ascii="Times New Roman" w:hAnsi="Times New Roman"/>
          <w:color w:val="000000"/>
          <w:sz w:val="22"/>
          <w:u w:val="single"/>
        </w:rPr>
        <w:t>Threshold Amount</w:t>
      </w:r>
      <w:r>
        <w:rPr>
          <w:rFonts w:ascii="Times New Roman" w:hAnsi="Times New Roman"/>
          <w:color w:val="000000"/>
          <w:sz w:val="20"/>
        </w:rPr>
        <w:t xml:space="preserve">” </w:t>
      </w:r>
      <w:r>
        <w:rPr>
          <w:rFonts w:ascii="Times New Roman" w:hAnsi="Times New Roman"/>
          <w:color w:val="000000"/>
          <w:sz w:val="22"/>
        </w:rPr>
        <w:t>means the greater of (x) $100,000,000 and (y) 10% of Consolidated EBITDA.</w:t>
      </w:r>
    </w:p>
    <w:p>
      <w:pPr>
        <w:pStyle w:val="TextBody"/>
        <w:bidi w:val="0"/>
        <w:spacing w:before="0" w:after="240"/>
        <w:jc w:val="both"/>
        <w:rPr/>
      </w:pPr>
      <w:r>
        <w:rPr>
          <w:color w:val="000000"/>
        </w:rPr>
        <w:t>“</w:t>
      </w:r>
      <w:r>
        <w:rPr>
          <w:rFonts w:ascii="Times New Roman" w:hAnsi="Times New Roman"/>
          <w:color w:val="000000"/>
          <w:sz w:val="22"/>
          <w:u w:val="single"/>
        </w:rPr>
        <w:t>Total Credit Exposure</w:t>
      </w:r>
      <w:r>
        <w:rPr>
          <w:rFonts w:ascii="Times New Roman" w:hAnsi="Times New Roman"/>
          <w:color w:val="000000"/>
          <w:sz w:val="20"/>
        </w:rPr>
        <w:t xml:space="preserve">” </w:t>
      </w:r>
      <w:r>
        <w:rPr>
          <w:rFonts w:ascii="Times New Roman" w:hAnsi="Times New Roman"/>
          <w:color w:val="000000"/>
          <w:sz w:val="22"/>
        </w:rPr>
        <w:t>means, as to any Lender at any time, the unused Commitments of such Lender at such time, the outstanding Loans of such Lender at such time and such Lender’s participation in L/C Obligations at such time.</w:t>
      </w:r>
    </w:p>
    <w:p>
      <w:pPr>
        <w:pStyle w:val="TextBody"/>
        <w:bidi w:val="0"/>
        <w:spacing w:before="0" w:after="240"/>
        <w:jc w:val="both"/>
        <w:rPr/>
      </w:pPr>
      <w:r>
        <w:rPr>
          <w:color w:val="000000"/>
        </w:rPr>
        <w:t>“</w:t>
      </w:r>
      <w:r>
        <w:rPr>
          <w:rFonts w:ascii="Times New Roman" w:hAnsi="Times New Roman"/>
          <w:color w:val="000000"/>
          <w:sz w:val="22"/>
          <w:u w:val="single"/>
        </w:rPr>
        <w:t>Total Revolving Outstandings</w:t>
      </w:r>
      <w:r>
        <w:rPr>
          <w:rFonts w:ascii="Times New Roman" w:hAnsi="Times New Roman"/>
          <w:color w:val="000000"/>
          <w:sz w:val="20"/>
        </w:rPr>
        <w:t xml:space="preserve">” </w:t>
      </w:r>
      <w:r>
        <w:rPr>
          <w:rFonts w:ascii="Times New Roman" w:hAnsi="Times New Roman"/>
          <w:color w:val="000000"/>
          <w:sz w:val="22"/>
        </w:rPr>
        <w:t>means the aggregate Outstanding Amount of all Revolving Loans and all L/C Obligations.</w:t>
      </w:r>
    </w:p>
    <w:p>
      <w:pPr>
        <w:pStyle w:val="TextBody"/>
        <w:bidi w:val="0"/>
        <w:jc w:val="center"/>
        <w:rPr>
          <w:rFonts w:ascii="Times New Roman" w:hAnsi="Times New Roman"/>
          <w:color w:val="000000"/>
          <w:sz w:val="22"/>
        </w:rPr>
      </w:pPr>
      <w:r>
        <w:rPr>
          <w:rFonts w:ascii="Times New Roman" w:hAnsi="Times New Roman"/>
          <w:color w:val="000000"/>
          <w:sz w:val="22"/>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Transactions</w:t>
      </w:r>
      <w:r>
        <w:rPr>
          <w:rFonts w:ascii="Times New Roman" w:hAnsi="Times New Roman"/>
          <w:color w:val="000000"/>
          <w:sz w:val="20"/>
        </w:rPr>
        <w:t xml:space="preserve">” </w:t>
      </w:r>
      <w:r>
        <w:rPr>
          <w:rFonts w:ascii="Times New Roman" w:hAnsi="Times New Roman"/>
          <w:color w:val="000000"/>
          <w:sz w:val="22"/>
        </w:rPr>
        <w:t>means, collectively, (a) the execution and delivery of the Loan Documents, (b) the effectiveness of the Revolving Credit Facility, (c) the funding of Loans on the Effective Date, if any, (d) the performance and/or consummation, as applicable, of all other transactions related to any of the foregoing and (e) the payment of all fees and expenses in connection with any of the foregoing.</w:t>
      </w:r>
    </w:p>
    <w:p>
      <w:pPr>
        <w:pStyle w:val="TextBody"/>
        <w:bidi w:val="0"/>
        <w:spacing w:before="0" w:after="240"/>
        <w:jc w:val="both"/>
        <w:rPr/>
      </w:pPr>
      <w:r>
        <w:rPr>
          <w:color w:val="000000"/>
        </w:rPr>
        <w:t>“</w:t>
      </w:r>
      <w:r>
        <w:rPr>
          <w:rFonts w:ascii="Times New Roman" w:hAnsi="Times New Roman"/>
          <w:color w:val="000000"/>
          <w:sz w:val="22"/>
          <w:u w:val="single"/>
        </w:rPr>
        <w:t>Type</w:t>
      </w:r>
      <w:r>
        <w:rPr>
          <w:rFonts w:ascii="Times New Roman" w:hAnsi="Times New Roman"/>
          <w:color w:val="000000"/>
          <w:sz w:val="20"/>
        </w:rPr>
        <w:t xml:space="preserve">” </w:t>
      </w:r>
      <w:r>
        <w:rPr>
          <w:rFonts w:ascii="Times New Roman" w:hAnsi="Times New Roman"/>
          <w:color w:val="000000"/>
          <w:sz w:val="22"/>
        </w:rPr>
        <w:t>means, with respect to a Loan, its character as a Base Rate Loan or a Term SOFR Loan.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UK Financial Institution</w:t>
      </w:r>
      <w:r>
        <w:rPr>
          <w:rFonts w:ascii="Times New Roman" w:hAnsi="Times New Roman"/>
          <w:color w:val="000000"/>
          <w:sz w:val="20"/>
        </w:rPr>
        <w:t xml:space="preserve">” </w:t>
      </w:r>
      <w:r>
        <w:rPr>
          <w:rFonts w:ascii="Times New Roman" w:hAnsi="Times New Roman"/>
          <w:color w:val="000000"/>
          <w:sz w:val="22"/>
        </w:rPr>
        <w:t>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jc w:val="both"/>
        <w:rPr/>
      </w:pPr>
      <w:r>
        <w:rPr>
          <w:color w:val="000000"/>
        </w:rPr>
        <w:t>“</w:t>
      </w:r>
      <w:r>
        <w:rPr>
          <w:rFonts w:ascii="Times New Roman" w:hAnsi="Times New Roman"/>
          <w:color w:val="000000"/>
          <w:sz w:val="22"/>
          <w:u w:val="single"/>
        </w:rPr>
        <w:t>UK Resolution Authority</w:t>
      </w:r>
      <w:r>
        <w:rPr>
          <w:rFonts w:ascii="Times New Roman" w:hAnsi="Times New Roman"/>
          <w:color w:val="000000"/>
          <w:sz w:val="20"/>
        </w:rPr>
        <w:t xml:space="preserve">” </w:t>
      </w:r>
      <w:r>
        <w:rPr>
          <w:rFonts w:ascii="Times New Roman" w:hAnsi="Times New Roman"/>
          <w:color w:val="000000"/>
          <w:sz w:val="22"/>
        </w:rPr>
        <w:t>means the Bank of England or any other public administrative authority having responsibility for the resolution of any UK Financial Institution.</w:t>
      </w:r>
    </w:p>
    <w:p>
      <w:pPr>
        <w:pStyle w:val="TextBody"/>
        <w:bidi w:val="0"/>
        <w:spacing w:before="0" w:after="240"/>
        <w:jc w:val="both"/>
        <w:rPr/>
      </w:pPr>
      <w:r>
        <w:rPr>
          <w:color w:val="000000"/>
        </w:rPr>
        <w:t>“</w:t>
      </w:r>
      <w:r>
        <w:rPr>
          <w:rFonts w:ascii="Times New Roman" w:hAnsi="Times New Roman"/>
          <w:color w:val="000000"/>
          <w:sz w:val="22"/>
          <w:u w:val="single"/>
        </w:rPr>
        <w:t>United States</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U.S.</w:t>
      </w:r>
      <w:r>
        <w:rPr>
          <w:rFonts w:ascii="Times New Roman" w:hAnsi="Times New Roman"/>
          <w:color w:val="000000"/>
          <w:sz w:val="20"/>
        </w:rPr>
        <w:t xml:space="preserve">” </w:t>
      </w:r>
      <w:r>
        <w:rPr>
          <w:rFonts w:ascii="Times New Roman" w:hAnsi="Times New Roman"/>
          <w:color w:val="000000"/>
          <w:sz w:val="22"/>
        </w:rPr>
        <w:t>mean the United States of America.</w:t>
      </w:r>
    </w:p>
    <w:p>
      <w:pPr>
        <w:pStyle w:val="TextBody"/>
        <w:bidi w:val="0"/>
        <w:spacing w:before="0" w:after="240"/>
        <w:jc w:val="both"/>
        <w:rPr/>
      </w:pPr>
      <w:r>
        <w:rPr>
          <w:color w:val="000000"/>
        </w:rPr>
        <w:t>“</w:t>
      </w:r>
      <w:r>
        <w:rPr>
          <w:rFonts w:ascii="Times New Roman" w:hAnsi="Times New Roman"/>
          <w:color w:val="000000"/>
          <w:sz w:val="22"/>
          <w:u w:val="single"/>
        </w:rPr>
        <w:t>Unreimbursed Amount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2.03(c)(i)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U.S. Government Securities Business Day</w:t>
      </w:r>
      <w:r>
        <w:rPr>
          <w:rFonts w:ascii="Times New Roman" w:hAnsi="Times New Roman"/>
          <w:color w:val="000000"/>
          <w:sz w:val="20"/>
        </w:rPr>
        <w:t xml:space="preserve">” </w:t>
      </w:r>
      <w:r>
        <w:rPr>
          <w:rFonts w:ascii="Times New Roman" w:hAnsi="Times New Roman"/>
          <w:color w:val="000000"/>
          <w:sz w:val="22"/>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jc w:val="both"/>
        <w:rPr/>
      </w:pPr>
      <w:r>
        <w:rPr>
          <w:color w:val="000000"/>
        </w:rPr>
        <w:t>“</w:t>
      </w:r>
      <w:r>
        <w:rPr>
          <w:rFonts w:ascii="Times New Roman" w:hAnsi="Times New Roman"/>
          <w:color w:val="000000"/>
          <w:sz w:val="22"/>
          <w:u w:val="single"/>
        </w:rPr>
        <w:t>U.S. Person</w:t>
      </w:r>
      <w:r>
        <w:rPr>
          <w:rFonts w:ascii="Times New Roman" w:hAnsi="Times New Roman"/>
          <w:color w:val="000000"/>
          <w:sz w:val="20"/>
        </w:rPr>
        <w:t xml:space="preserve">” </w:t>
      </w:r>
      <w:r>
        <w:rPr>
          <w:rFonts w:ascii="Times New Roman" w:hAnsi="Times New Roman"/>
          <w:color w:val="000000"/>
          <w:sz w:val="22"/>
        </w:rPr>
        <w:t>means any Person that is a “United States Person” as defined in Section 7701(a)(30) of the Internal Revenue Code.</w:t>
      </w:r>
    </w:p>
    <w:p>
      <w:pPr>
        <w:pStyle w:val="TextBody"/>
        <w:bidi w:val="0"/>
        <w:spacing w:before="0" w:after="240"/>
        <w:jc w:val="both"/>
        <w:rPr/>
      </w:pPr>
      <w:r>
        <w:rPr>
          <w:color w:val="000000"/>
        </w:rPr>
        <w:t>“</w:t>
      </w:r>
      <w:r>
        <w:rPr>
          <w:rFonts w:ascii="Times New Roman" w:hAnsi="Times New Roman"/>
          <w:color w:val="000000"/>
          <w:sz w:val="22"/>
          <w:u w:val="single"/>
        </w:rPr>
        <w:t>U.S. Special Resolution Regimes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11.25</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U.S. Tax Compliance Certificate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3.01(e)(ii)(B)(III)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USA PATRIOT Act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6.22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Voting Equity Interests</w:t>
      </w:r>
      <w:r>
        <w:rPr>
          <w:rFonts w:ascii="Times New Roman" w:hAnsi="Times New Roman"/>
          <w:color w:val="000000"/>
          <w:sz w:val="20"/>
        </w:rPr>
        <w:t xml:space="preserve">” </w:t>
      </w:r>
      <w:r>
        <w:rPr>
          <w:rFonts w:ascii="Times New Roman" w:hAnsi="Times New Roman"/>
          <w:color w:val="000000"/>
          <w:sz w:val="22"/>
        </w:rPr>
        <w:t>means, with respect to any Person, Equity Interests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pStyle w:val="TextBody"/>
        <w:bidi w:val="0"/>
        <w:spacing w:before="0" w:after="240"/>
        <w:jc w:val="both"/>
        <w:rPr/>
      </w:pPr>
      <w:r>
        <w:rPr>
          <w:color w:val="000000"/>
        </w:rPr>
        <w:t>“</w:t>
      </w:r>
      <w:r>
        <w:rPr>
          <w:rFonts w:ascii="Times New Roman" w:hAnsi="Times New Roman"/>
          <w:color w:val="000000"/>
          <w:sz w:val="22"/>
          <w:u w:val="single"/>
        </w:rPr>
        <w:t>Weighted Average Life to Maturity</w:t>
      </w:r>
      <w:r>
        <w:rPr>
          <w:rFonts w:ascii="Times New Roman" w:hAnsi="Times New Roman"/>
          <w:color w:val="000000"/>
          <w:sz w:val="20"/>
        </w:rPr>
        <w:t xml:space="preserve">” </w:t>
      </w:r>
      <w:r>
        <w:rPr>
          <w:rFonts w:ascii="Times New Roman" w:hAnsi="Times New Roman"/>
          <w:color w:val="000000"/>
          <w:sz w:val="22"/>
        </w:rPr>
        <w:t xml:space="preserve">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w:t>
      </w:r>
      <w:r>
        <w:rPr>
          <w:rFonts w:ascii="Times New Roman" w:hAnsi="Times New Roman"/>
          <w:color w:val="000000"/>
          <w:sz w:val="22"/>
          <w:u w:val="single"/>
        </w:rPr>
        <w:t>by</w:t>
      </w:r>
      <w:r>
        <w:rPr>
          <w:rFonts w:ascii="Times New Roman" w:hAnsi="Times New Roman"/>
          <w:color w:val="000000"/>
          <w:sz w:val="20"/>
        </w:rPr>
        <w:t xml:space="preserve"> </w:t>
      </w:r>
      <w:r>
        <w:rPr>
          <w:rFonts w:ascii="Times New Roman" w:hAnsi="Times New Roman"/>
          <w:color w:val="000000"/>
          <w:sz w:val="22"/>
        </w:rPr>
        <w:t xml:space="preserve">(ii) the number of years (calculated to the nearest one-twelfth) that will elapse between such date and the making of such payment; </w:t>
      </w:r>
      <w:r>
        <w:rPr>
          <w:rFonts w:ascii="Times New Roman" w:hAnsi="Times New Roman"/>
          <w:color w:val="000000"/>
          <w:sz w:val="22"/>
          <w:u w:val="single"/>
        </w:rPr>
        <w:t>by</w:t>
      </w:r>
      <w:r>
        <w:rPr>
          <w:rFonts w:ascii="Times New Roman" w:hAnsi="Times New Roman"/>
          <w:color w:val="000000"/>
          <w:sz w:val="20"/>
        </w:rPr>
        <w:t xml:space="preserve"> </w:t>
      </w:r>
      <w:r>
        <w:rPr>
          <w:rFonts w:ascii="Times New Roman" w:hAnsi="Times New Roman"/>
          <w:color w:val="000000"/>
          <w:sz w:val="22"/>
        </w:rPr>
        <w:t>(b) the then outstanding principal amount of such Indebtedness.</w:t>
      </w:r>
    </w:p>
    <w:p>
      <w:pPr>
        <w:pStyle w:val="TextBody"/>
        <w:bidi w:val="0"/>
        <w:spacing w:before="0" w:after="240"/>
        <w:jc w:val="both"/>
        <w:rPr/>
      </w:pPr>
      <w:r>
        <w:rPr>
          <w:color w:val="000000"/>
        </w:rPr>
        <w:t>“</w:t>
      </w:r>
      <w:r>
        <w:rPr>
          <w:rFonts w:ascii="Times New Roman" w:hAnsi="Times New Roman"/>
          <w:color w:val="000000"/>
          <w:sz w:val="22"/>
          <w:u w:val="single"/>
        </w:rPr>
        <w:t>Write-Down and Conversion Powers</w:t>
      </w:r>
      <w:r>
        <w:rPr>
          <w:rFonts w:ascii="Times New Roman" w:hAnsi="Times New Roman"/>
          <w:color w:val="000000"/>
          <w:sz w:val="20"/>
        </w:rPr>
        <w:t xml:space="preserve">” </w:t>
      </w:r>
      <w:r>
        <w:rPr>
          <w:rFonts w:ascii="Times New Roman" w:hAnsi="Times New Roman"/>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1.02 </w:t>
      </w:r>
      <w:r>
        <w:rPr>
          <w:rFonts w:ascii="Times New Roman" w:hAnsi="Times New Roman"/>
          <w:b w:val="false"/>
          <w:color w:val="000000"/>
          <w:sz w:val="22"/>
          <w:u w:val="single"/>
        </w:rPr>
        <w:t>Other Interpretive Provisions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reference to this Agreement and each other Loan Document, unless otherwise specified herein or in such other Loan Document:</w:t>
      </w:r>
    </w:p>
    <w:p>
      <w:pPr>
        <w:pStyle w:val="TextBody"/>
        <w:bidi w:val="0"/>
        <w:spacing w:before="0" w:after="240"/>
        <w:jc w:val="both"/>
        <w:rPr>
          <w:rFonts w:ascii="Times New Roman" w:hAnsi="Times New Roman"/>
          <w:sz w:val="20"/>
        </w:rPr>
      </w:pPr>
      <w:r>
        <w:rPr>
          <w:rFonts w:ascii="Times New Roman" w:hAnsi="Times New Roman"/>
          <w:color w:val="000000"/>
          <w:sz w:val="22"/>
        </w:rPr>
        <w:t>(a) The definitions of terms herein shall apply equally to the singular and plural forms of the terms defined. Whenever the context may require, any pronoun shall include the corresponding masculine, feminine and neuter forms. The words “</w:t>
      </w:r>
      <w:r>
        <w:rPr>
          <w:rFonts w:ascii="Times New Roman" w:hAnsi="Times New Roman"/>
          <w:color w:val="000000"/>
          <w:sz w:val="22"/>
          <w:u w:val="single"/>
        </w:rPr>
        <w:t>include</w:t>
      </w:r>
      <w:r>
        <w:rPr>
          <w:rFonts w:ascii="Times New Roman" w:hAnsi="Times New Roman"/>
          <w:color w:val="000000"/>
          <w:sz w:val="22"/>
        </w:rPr>
        <w:t>,” “</w:t>
      </w:r>
      <w:r>
        <w:rPr>
          <w:rFonts w:ascii="Times New Roman" w:hAnsi="Times New Roman"/>
          <w:color w:val="000000"/>
          <w:sz w:val="22"/>
          <w:u w:val="single"/>
        </w:rPr>
        <w:t>includes</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including</w:t>
      </w:r>
      <w:r>
        <w:rPr>
          <w:rFonts w:ascii="Times New Roman" w:hAnsi="Times New Roman"/>
          <w:color w:val="000000"/>
          <w:sz w:val="20"/>
        </w:rPr>
        <w:t xml:space="preserve">” </w:t>
      </w:r>
      <w:r>
        <w:rPr>
          <w:rFonts w:ascii="Times New Roman" w:hAnsi="Times New Roman"/>
          <w:color w:val="000000"/>
          <w:sz w:val="22"/>
        </w:rPr>
        <w:t>shall be deemed to be followed by the phrase “</w:t>
      </w:r>
      <w:r>
        <w:rPr>
          <w:rFonts w:ascii="Times New Roman" w:hAnsi="Times New Roman"/>
          <w:color w:val="000000"/>
          <w:sz w:val="22"/>
          <w:u w:val="single"/>
        </w:rPr>
        <w:t>without limitation</w:t>
      </w:r>
      <w:r>
        <w:rPr>
          <w:rFonts w:ascii="Times New Roman" w:hAnsi="Times New Roman"/>
          <w:color w:val="000000"/>
          <w:sz w:val="22"/>
        </w:rPr>
        <w:t>.” The word “</w:t>
      </w:r>
      <w:r>
        <w:rPr>
          <w:rFonts w:ascii="Times New Roman" w:hAnsi="Times New Roman"/>
          <w:color w:val="000000"/>
          <w:sz w:val="22"/>
          <w:u w:val="single"/>
        </w:rPr>
        <w:t>will</w:t>
      </w:r>
      <w:r>
        <w:rPr>
          <w:rFonts w:ascii="Times New Roman" w:hAnsi="Times New Roman"/>
          <w:color w:val="000000"/>
          <w:sz w:val="20"/>
        </w:rPr>
        <w:t xml:space="preserve">” </w:t>
      </w:r>
      <w:r>
        <w:rPr>
          <w:rFonts w:ascii="Times New Roman" w:hAnsi="Times New Roman"/>
          <w:color w:val="000000"/>
          <w:sz w:val="22"/>
        </w:rPr>
        <w:t>shall be construed to have the same meaning and effect as the word “</w:t>
      </w:r>
      <w:r>
        <w:rPr>
          <w:rFonts w:ascii="Times New Roman" w:hAnsi="Times New Roman"/>
          <w:color w:val="000000"/>
          <w:sz w:val="22"/>
          <w:u w:val="single"/>
        </w:rPr>
        <w:t>shall</w:t>
      </w:r>
      <w:r>
        <w:rPr>
          <w:rFonts w:ascii="Times New Roman" w:hAnsi="Times New Roman"/>
          <w:color w:val="000000"/>
          <w:sz w:val="22"/>
        </w:rPr>
        <w:t>.”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modified, extended, restated, replaced or supplemented from time to time (subject to any restrictions on such amendments, modifications, extensions, restatements, replacements or supplements set forth herein or in any other Loan Document), (ii) any reference herein to any Person shall be construed to include such Person’s successors and assigns, (iii) the words “</w:t>
      </w:r>
      <w:r>
        <w:rPr>
          <w:rFonts w:ascii="Times New Roman" w:hAnsi="Times New Roman"/>
          <w:color w:val="000000"/>
          <w:sz w:val="22"/>
          <w:u w:val="single"/>
        </w:rPr>
        <w:t>hereto</w:t>
      </w:r>
      <w:r>
        <w:rPr>
          <w:rFonts w:ascii="Times New Roman" w:hAnsi="Times New Roman"/>
          <w:color w:val="000000"/>
          <w:sz w:val="22"/>
        </w:rPr>
        <w:t>,” “</w:t>
      </w:r>
      <w:r>
        <w:rPr>
          <w:rFonts w:ascii="Times New Roman" w:hAnsi="Times New Roman"/>
          <w:color w:val="000000"/>
          <w:sz w:val="22"/>
          <w:u w:val="single"/>
        </w:rPr>
        <w:t>herein</w:t>
      </w:r>
      <w:r>
        <w:rPr>
          <w:rFonts w:ascii="Times New Roman" w:hAnsi="Times New Roman"/>
          <w:color w:val="000000"/>
          <w:sz w:val="22"/>
        </w:rPr>
        <w:t>,” “</w:t>
      </w:r>
      <w:r>
        <w:rPr>
          <w:rFonts w:ascii="Times New Roman" w:hAnsi="Times New Roman"/>
          <w:color w:val="000000"/>
          <w:sz w:val="22"/>
          <w:u w:val="single"/>
        </w:rPr>
        <w:t>hereof</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hereunder</w:t>
      </w:r>
      <w:r>
        <w:rPr>
          <w:rFonts w:ascii="Times New Roman" w:hAnsi="Times New Roman"/>
          <w:color w:val="000000"/>
          <w:sz w:val="22"/>
        </w:rPr>
        <w:t>,”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rule or regulation shall, unless otherwise specified, refer to such law, rule or regulation as amended, modified, extended, restated, replaced or supplemented from time to time, and (vi) the words “</w:t>
      </w:r>
      <w:r>
        <w:rPr>
          <w:rFonts w:ascii="Times New Roman" w:hAnsi="Times New Roman"/>
          <w:color w:val="000000"/>
          <w:sz w:val="22"/>
          <w:u w:val="single"/>
        </w:rPr>
        <w:t>asset</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property</w:t>
      </w:r>
      <w:r>
        <w:rPr>
          <w:rFonts w:ascii="Times New Roman" w:hAnsi="Times New Roman"/>
          <w:color w:val="000000"/>
          <w:sz w:val="20"/>
        </w:rPr>
        <w:t xml:space="preserve">” </w:t>
      </w:r>
      <w:r>
        <w:rPr>
          <w:rFonts w:ascii="Times New Roman" w:hAnsi="Times New Roman"/>
          <w:color w:val="000000"/>
          <w:sz w:val="22"/>
        </w:rPr>
        <w:t>shall be construed to have the same meaning and effect and to refer to any and all assets and properties, tangible and intangible, real and personal, including cash, securities, accounts and contract rights.</w:t>
      </w:r>
    </w:p>
    <w:p>
      <w:pPr>
        <w:pStyle w:val="TextBody"/>
        <w:bidi w:val="0"/>
        <w:spacing w:before="0" w:after="240"/>
        <w:jc w:val="both"/>
        <w:rPr>
          <w:rFonts w:ascii="Times New Roman" w:hAnsi="Times New Roman"/>
          <w:sz w:val="20"/>
        </w:rPr>
      </w:pPr>
      <w:r>
        <w:rPr>
          <w:rFonts w:ascii="Times New Roman" w:hAnsi="Times New Roman"/>
          <w:color w:val="000000"/>
          <w:sz w:val="22"/>
        </w:rPr>
        <w:t>(b) In the computation of periods of time from a specified date to a later specified date, the word “</w:t>
      </w:r>
      <w:r>
        <w:rPr>
          <w:rFonts w:ascii="Times New Roman" w:hAnsi="Times New Roman"/>
          <w:color w:val="000000"/>
          <w:sz w:val="22"/>
          <w:u w:val="single"/>
        </w:rPr>
        <w:t>from</w:t>
      </w:r>
      <w:r>
        <w:rPr>
          <w:rFonts w:ascii="Times New Roman" w:hAnsi="Times New Roman"/>
          <w:color w:val="000000"/>
          <w:sz w:val="20"/>
        </w:rPr>
        <w:t xml:space="preserve">” </w:t>
      </w:r>
      <w:r>
        <w:rPr>
          <w:rFonts w:ascii="Times New Roman" w:hAnsi="Times New Roman"/>
          <w:color w:val="000000"/>
          <w:sz w:val="22"/>
        </w:rPr>
        <w:t>means “</w:t>
      </w:r>
      <w:r>
        <w:rPr>
          <w:rFonts w:ascii="Times New Roman" w:hAnsi="Times New Roman"/>
          <w:color w:val="000000"/>
          <w:sz w:val="22"/>
          <w:u w:val="single"/>
        </w:rPr>
        <w:t>from and including</w:t>
      </w:r>
      <w:r>
        <w:rPr>
          <w:rFonts w:ascii="Times New Roman" w:hAnsi="Times New Roman"/>
          <w:color w:val="000000"/>
          <w:sz w:val="22"/>
        </w:rPr>
        <w:t>;” the words “</w:t>
      </w:r>
      <w:r>
        <w:rPr>
          <w:rFonts w:ascii="Times New Roman" w:hAnsi="Times New Roman"/>
          <w:color w:val="000000"/>
          <w:sz w:val="22"/>
          <w:u w:val="single"/>
        </w:rPr>
        <w:t>to</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until</w:t>
      </w:r>
      <w:r>
        <w:rPr>
          <w:rFonts w:ascii="Times New Roman" w:hAnsi="Times New Roman"/>
          <w:color w:val="000000"/>
          <w:sz w:val="20"/>
        </w:rPr>
        <w:t xml:space="preserve">” </w:t>
      </w:r>
      <w:r>
        <w:rPr>
          <w:rFonts w:ascii="Times New Roman" w:hAnsi="Times New Roman"/>
          <w:color w:val="000000"/>
          <w:sz w:val="22"/>
        </w:rPr>
        <w:t>each mean “</w:t>
      </w:r>
      <w:r>
        <w:rPr>
          <w:rFonts w:ascii="Times New Roman" w:hAnsi="Times New Roman"/>
          <w:color w:val="000000"/>
          <w:sz w:val="22"/>
          <w:u w:val="single"/>
        </w:rPr>
        <w:t>to but excluding</w:t>
      </w:r>
      <w:r>
        <w:rPr>
          <w:rFonts w:ascii="Times New Roman" w:hAnsi="Times New Roman"/>
          <w:color w:val="000000"/>
          <w:sz w:val="22"/>
        </w:rPr>
        <w:t>;” and the word “</w:t>
      </w:r>
      <w:r>
        <w:rPr>
          <w:rFonts w:ascii="Times New Roman" w:hAnsi="Times New Roman"/>
          <w:color w:val="000000"/>
          <w:sz w:val="22"/>
          <w:u w:val="single"/>
        </w:rPr>
        <w:t>through</w:t>
      </w:r>
      <w:r>
        <w:rPr>
          <w:rFonts w:ascii="Times New Roman" w:hAnsi="Times New Roman"/>
          <w:color w:val="000000"/>
          <w:sz w:val="20"/>
        </w:rPr>
        <w:t xml:space="preserve">” </w:t>
      </w:r>
      <w:r>
        <w:rPr>
          <w:rFonts w:ascii="Times New Roman" w:hAnsi="Times New Roman"/>
          <w:color w:val="000000"/>
          <w:sz w:val="22"/>
        </w:rPr>
        <w:t>means “</w:t>
      </w:r>
      <w:r>
        <w:rPr>
          <w:rFonts w:ascii="Times New Roman" w:hAnsi="Times New Roman"/>
          <w:color w:val="000000"/>
          <w:sz w:val="22"/>
          <w:u w:val="single"/>
        </w:rPr>
        <w:t>to and including</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Section headings herein and in the other Loan Documents are included for convenience of reference only and shall not affect the interpretation of this Agreement or any other Loan Document.</w:t>
      </w:r>
    </w:p>
    <w:p>
      <w:pPr>
        <w:pStyle w:val="TextBody"/>
        <w:bidi w:val="0"/>
        <w:spacing w:before="0" w:after="240"/>
        <w:jc w:val="both"/>
        <w:rPr>
          <w:rFonts w:ascii="Times New Roman" w:hAnsi="Times New Roman"/>
          <w:sz w:val="20"/>
        </w:rPr>
      </w:pPr>
      <w:r>
        <w:rPr>
          <w:rFonts w:ascii="Times New Roman" w:hAnsi="Times New Roman"/>
          <w:color w:val="000000"/>
          <w:sz w:val="22"/>
        </w:rPr>
        <w:t>(d) Any reference herein to a merger, transfer, consolidation, amalgamation, assignment, sale or disposition,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or disposition, or similar term, as applicable, to, of or with a separate Person. Any division of a limited liability company shall constitute a separate Person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hereunder (and each division of any limited liability company that is a Subsidiary, joint venture or any other like term shall also constitute such a Person).</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1.03 </w:t>
      </w:r>
      <w:r>
        <w:rPr>
          <w:rFonts w:ascii="Times New Roman" w:hAnsi="Times New Roman"/>
          <w:b w:val="false"/>
          <w:color w:val="000000"/>
          <w:sz w:val="22"/>
          <w:u w:val="single"/>
        </w:rPr>
        <w:t>Accounting Terms; Changes in GAAP; Calculation of Financial Covenants on a Pro Forma Basis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Generally</w:t>
      </w:r>
      <w:r>
        <w:rPr>
          <w:rFonts w:ascii="Times New Roman" w:hAnsi="Times New Roman"/>
          <w:color w:val="000000"/>
          <w:sz w:val="22"/>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Historical Financial Statements (as in existence on the Effective Date), except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 In addition, in the case of any Permitted Convertible Indebtedness for which the embedded conversion obligation must be settled by paying solely cash, so long as substantially concurrently with the offering of such Permitted Convertible Indebtedness, the Borrower enters into a cash-settled Permitted Bond Hedge Transaction relating to such Permitted Convertible Indebtedness, notwithstanding any other provision contained herein, for so long as such Permitted Bond Hedge Transaction (or a portion thereof corresponding to the amount of outstanding Permitted Convertible Indebtedness) remains in effect in an amount sufficient to fully satisfy such conversion obligation in cash, all computations of amounts and ratios referred to herein shall be made as if the amount of Indebtedness represented by such Permitted Convertible Indebtedness were equal to the face principal amount thereof without regard to any mark-to-market derivative accounting for such Indebtedness. In addition, notwithstanding the foregoing, all financial covenants contained herein shall be calculated, and compliance with all other covenants shall be determined without giving effect to any change in accounting for leases pursuant to GAAP resulting from the adoption of Financial Accounting Standards Board Accounting Standards Update No. 2016-02, Leases (Topic 842) (“FAS 842”), to the extent such adoption would require (x) treating any lease (or similar arrangement conveying the right to use) as a capital lease where such lease (or similar arrangement) would not have been required to be so treated under GAAP as in effect on December 31, 2015 or (y) recognizing liabilities on the balance sheet with respect to operating leases under FAS 842.</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Changes in GAAP</w:t>
      </w:r>
      <w:r>
        <w:rPr>
          <w:rFonts w:ascii="Times New Roman" w:hAnsi="Times New Roman"/>
          <w:color w:val="000000"/>
          <w:sz w:val="22"/>
        </w:rPr>
        <w:t xml:space="preserve">. If at any time any change in GAAP (including the adoption of IFRS) would affect the computation of any financial ratio or requirement set forth in any Loan Document, and either the Borrower or the Required Lenders shall so request, the Administrative Agent, the Lenders and the Loan Parties shall negotiate in good faith to amend such ratio or requirement to preserve the original intent thereof in light of such change in GAAP (subject to the approval of the Required Lenders);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Consolidation of Variable Interest Entities</w:t>
      </w:r>
      <w:r>
        <w:rPr>
          <w:rFonts w:ascii="Times New Roman" w:hAnsi="Times New Roman"/>
          <w:color w:val="000000"/>
          <w:sz w:val="22"/>
        </w:rPr>
        <w:t>. All references herein to consolidated financial statements of the Borrower and its Subsidiaries or to the determination of any amount for the Borrower and its Subsidiaries on a consolidated basis or any similar reference shall, in each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case, be deemed to include each variable interest entity that the Borrower is required to consolidate pursuant to FASB ASC 810 as if such variable interest entity were a Subsidiary as defined herein.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Calculation of Financial Covenants on a Pro Forma Basis</w:t>
      </w:r>
      <w:r>
        <w:rPr>
          <w:rFonts w:ascii="Times New Roman" w:hAnsi="Times New Roman"/>
          <w:color w:val="000000"/>
          <w:sz w:val="22"/>
        </w:rPr>
        <w:t xml:space="preserve">. Notwithstanding the above, the parties hereto acknowledge and agree that all calculations of the financial covenants in </w:t>
      </w:r>
      <w:r>
        <w:rPr>
          <w:rFonts w:ascii="Times New Roman" w:hAnsi="Times New Roman"/>
          <w:color w:val="000000"/>
          <w:sz w:val="22"/>
          <w:u w:val="single"/>
        </w:rPr>
        <w:t>Section 8.11</w:t>
      </w:r>
      <w:r>
        <w:rPr>
          <w:rFonts w:ascii="Times New Roman" w:hAnsi="Times New Roman"/>
          <w:color w:val="000000"/>
          <w:sz w:val="20"/>
        </w:rPr>
        <w:t xml:space="preserve"> </w:t>
      </w:r>
      <w:r>
        <w:rPr>
          <w:rFonts w:ascii="Times New Roman" w:hAnsi="Times New Roman"/>
          <w:color w:val="000000"/>
          <w:sz w:val="22"/>
        </w:rPr>
        <w:t>(including for purposes of determining the Applicable Rate) shall be made on a Pro Forma Basis with respect to any Acquisition, any Material Disposition or any Material Recovery Event occurring during the applicable period.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Limited Condition Acquisitions</w:t>
      </w:r>
      <w:r>
        <w:rPr>
          <w:rFonts w:ascii="Times New Roman" w:hAnsi="Times New Roman"/>
          <w:color w:val="000000"/>
          <w:sz w:val="22"/>
        </w:rPr>
        <w:t>. Notwithstanding anything to the contrary herein, to the extent that the terms of this Agreement require compliance with any financial ratio or test in connection with a Limited Condition Acquisition, at the option of the Borrower, the date of determination of whether the relevant condition is satisfied shall be deemed to be the date (on the basis of the financial statements for the most recently ended period of four quarters of the Borrower for which financial statements have been delivered) of execution of the definitive agreement with respect to such Limited Condition Acquisition (the “</w:t>
      </w:r>
      <w:r>
        <w:rPr>
          <w:rFonts w:ascii="Times New Roman" w:hAnsi="Times New Roman"/>
          <w:color w:val="000000"/>
          <w:sz w:val="22"/>
          <w:u w:val="single"/>
        </w:rPr>
        <w:t>LCA Test Date</w:t>
      </w:r>
      <w:r>
        <w:rPr>
          <w:rFonts w:ascii="Times New Roman" w:hAnsi="Times New Roman"/>
          <w:color w:val="000000"/>
          <w:sz w:val="20"/>
        </w:rPr>
        <w:t>”</w:t>
      </w:r>
      <w:r>
        <w:rPr>
          <w:rFonts w:ascii="Times New Roman" w:hAnsi="Times New Roman"/>
          <w:color w:val="000000"/>
          <w:sz w:val="22"/>
        </w:rPr>
        <w:t xml:space="preserve">), after giving effect to the relevant Limited Condition Acquisition and related incurrence of Indebtedness, on a Pro Forma Basis;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notwithstanding the foregoing, the Limited Condition Acquisition and the related Indebtedness to be incurred (and any associated Lien) and the use of proceeds thereof (and the consummation of any Acquisition or Investment) shall be deemed incurred and/or applied at the LCA Test Date (until such time as the Indebtedness is actually incurred or the applicable definitive agreement is terminated without actually consummating the applicable Limited Condition Acquisition) and outstanding thereafter solely for purposes of pro forma compliance with any applicable calculation of the financial covenants set forth in </w:t>
      </w:r>
      <w:r>
        <w:rPr>
          <w:rFonts w:ascii="Times New Roman" w:hAnsi="Times New Roman"/>
          <w:color w:val="000000"/>
          <w:sz w:val="22"/>
          <w:u w:val="single"/>
        </w:rPr>
        <w:t>Section 8.11</w:t>
      </w:r>
      <w:r>
        <w:rPr>
          <w:rFonts w:ascii="Times New Roman" w:hAnsi="Times New Roman"/>
          <w:color w:val="000000"/>
          <w:sz w:val="20"/>
        </w:rPr>
        <w:t xml:space="preserve"> </w:t>
      </w:r>
      <w:r>
        <w:rPr>
          <w:rFonts w:ascii="Times New Roman" w:hAnsi="Times New Roman"/>
          <w:color w:val="000000"/>
          <w:sz w:val="22"/>
        </w:rPr>
        <w:t>in determining whether the relevant Limited Condition Acquisition and related incurrence of Indebtedness are permitted to be consummated.</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1.04 </w:t>
      </w:r>
      <w:r>
        <w:rPr>
          <w:rFonts w:ascii="Times New Roman" w:hAnsi="Times New Roman"/>
          <w:b w:val="false"/>
          <w:color w:val="000000"/>
          <w:sz w:val="22"/>
          <w:u w:val="single"/>
        </w:rPr>
        <w:t>Rounding</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financial ratios required to be maintained by the Loan Parties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1.05 </w:t>
      </w:r>
      <w:r>
        <w:rPr>
          <w:rFonts w:ascii="Times New Roman" w:hAnsi="Times New Roman"/>
          <w:b w:val="false"/>
          <w:color w:val="000000"/>
          <w:sz w:val="22"/>
          <w:u w:val="single"/>
        </w:rPr>
        <w:t>Times of Day; Rates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Unless otherwise specified, all references herein to times of day shall be references to Eastern time (daylight or standard, as applicable).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 w:hAnsi="Times New Roman"/>
          <w:b/>
          <w:color w:val="000000"/>
          <w:sz w:val="22"/>
        </w:rPr>
        <w:t>(</w:t>
      </w:r>
      <w:r>
        <w:rPr>
          <w:rFonts w:ascii="Times New Roman" w:hAnsi="Times New Roman"/>
          <w:color w:val="000000"/>
          <w:sz w:val="22"/>
        </w:rPr>
        <w:t>or any component of any of the foregoing), in each case pursuant to the terms of this Agreement, and shall have no liability to the Borrower, any Lender or any other person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1.06 </w:t>
      </w:r>
      <w:r>
        <w:rPr>
          <w:rFonts w:ascii="Times New Roman" w:hAnsi="Times New Roman"/>
          <w:b w:val="false"/>
          <w:color w:val="000000"/>
          <w:sz w:val="22"/>
          <w:u w:val="single"/>
        </w:rPr>
        <w:t>Letter of Credit Amounts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Unless otherwise specified herein, the amount of a Letter of Credit at any time shall be deemed to be the Dollar Equivalent of the stated amount of such Letter of Credit in effect at such time;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1.07 </w:t>
      </w:r>
      <w:r>
        <w:rPr>
          <w:rFonts w:ascii="Times New Roman" w:hAnsi="Times New Roman"/>
          <w:b w:val="false"/>
          <w:color w:val="000000"/>
          <w:sz w:val="22"/>
          <w:u w:val="single"/>
        </w:rPr>
        <w:t>Exchange Rates; Currency Equivalents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applicable L/C Issuer shall determine the Dollar Equivalent amounts of L/C Credit Extensions and Outstanding Amounts with respect to any L/C Obligation denominated in Alternative Currencies. Such Dollar Equivalent shall become effective as of such Revaluation Date and shall be the Dollar Equivalent of such amounts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applicable L/C Issuer.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Wherever in this Agreement in connection with an issuance, amendment or extension of a Letter of Credit, an amount, such as a required minimum or multiple amount, is expressed in Dollars, but such Letter of Credit is denominated in an Alternative Currency, such amount shall be the relevant Alternative Currency Equivalent of such Dollar amount (rounded to the nearest unit of such Alternative Currency, with 0.5 of a unit being rounded upward), as determined by the applicable L/C Issuer.</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1.08 </w:t>
      </w:r>
      <w:r>
        <w:rPr>
          <w:rFonts w:ascii="Times New Roman" w:hAnsi="Times New Roman"/>
          <w:b w:val="false"/>
          <w:color w:val="000000"/>
          <w:sz w:val="22"/>
          <w:u w:val="single"/>
        </w:rPr>
        <w:t>Change of Currency</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Each obligation of the Borrower to make a payment denominated in the national currency unit of any member state of the European Union that adopts the EUR as its lawful currency after the date hereof shall be redenominated into EUR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 such expressed basis shall be replaced by such convention or practice with effect from the date on which such member state adopts the EUR as its lawful currency;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any Borrowing in the currency of such member state is outstanding immediately prior to such date, such replacement shall take effect, with respect to such Borrowing, at the end of the then current Interest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provision of this Agreement shall be subject to such reasonable changes of construction as the Administrative Agent may from time to time specify to be appropriate to reflect the adoption of the EUR by any member state of the European Union and any relevant market conventions or practices relating to the EUR.</w:t>
      </w:r>
    </w:p>
    <w:p>
      <w:pPr>
        <w:pStyle w:val="TextBody"/>
        <w:bidi w:val="0"/>
        <w:jc w:val="center"/>
        <w:rPr>
          <w:rFonts w:ascii="Times New Roman" w:hAnsi="Times New Roman"/>
          <w:color w:val="000000"/>
          <w:sz w:val="22"/>
        </w:rPr>
      </w:pPr>
      <w:r>
        <w:rPr>
          <w:rFonts w:ascii="Times New Roman" w:hAnsi="Times New Roman"/>
          <w:color w:val="000000"/>
          <w:sz w:val="22"/>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1.09 </w:t>
      </w:r>
      <w:r>
        <w:rPr>
          <w:rFonts w:ascii="Times New Roman" w:hAnsi="Times New Roman"/>
          <w:b w:val="false"/>
          <w:color w:val="000000"/>
          <w:sz w:val="22"/>
          <w:u w:val="single"/>
        </w:rPr>
        <w:t>Investment Grade Period</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parties hereto acknowledge that, as of the Effective Date, a Non-Investment Grade Period is in effect.</w:t>
      </w:r>
    </w:p>
    <w:p>
      <w:pPr>
        <w:pStyle w:val="TextBody"/>
        <w:bidi w:val="0"/>
        <w:spacing w:before="0" w:after="240"/>
        <w:jc w:val="both"/>
        <w:rPr>
          <w:rFonts w:ascii="Times New Roman" w:hAnsi="Times New Roman"/>
          <w:sz w:val="20"/>
        </w:rPr>
      </w:pPr>
      <w:r>
        <w:rPr>
          <w:rFonts w:ascii="Times New Roman" w:hAnsi="Times New Roman"/>
          <w:color w:val="000000"/>
          <w:sz w:val="22"/>
        </w:rPr>
        <w:t>(b) Notwithstanding anything to the contrary contained in this Agreement or any other Loan Document, no action taken or omitted to be taken during an Investment Grade Period shall require reversal or give rise to a Default or an Event of Default during a subsequent Non-Investment Grade Period so long as such action or omission was permitted during such Investment Grade Period.</w:t>
      </w:r>
      <w:r>
        <w:rPr>
          <w:rFonts w:ascii="Times New Roman" w:hAnsi="Times New Roman"/>
          <w:color w:val="000000"/>
          <w:sz w:val="20"/>
        </w:rPr>
        <w:t xml:space="preserve"> </w:t>
      </w:r>
    </w:p>
    <w:p>
      <w:pPr>
        <w:pStyle w:val="Heading1"/>
        <w:bidi w:val="0"/>
        <w:spacing w:before="0" w:after="240"/>
        <w:jc w:val="center"/>
        <w:rPr>
          <w:rFonts w:ascii="Times New Roman" w:hAnsi="Times New Roman"/>
          <w:b w:val="false"/>
          <w:caps/>
          <w:color w:val="000000"/>
          <w:sz w:val="22"/>
        </w:rPr>
      </w:pPr>
      <w:r>
        <w:rPr>
          <w:rFonts w:ascii="Times New Roman" w:hAnsi="Times New Roman"/>
          <w:b w:val="false"/>
          <w:caps/>
          <w:color w:val="000000"/>
          <w:sz w:val="22"/>
        </w:rPr>
        <w:t>Article II.</w:t>
        <w:br/>
        <w:br/>
        <w:t>THE COMMITMENTS AND CREDIT EXTENSIONS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2.01 </w:t>
      </w:r>
      <w:r>
        <w:rPr>
          <w:rFonts w:ascii="Times New Roman" w:hAnsi="Times New Roman"/>
          <w:b w:val="false"/>
          <w:color w:val="000000"/>
          <w:sz w:val="22"/>
          <w:u w:val="single"/>
        </w:rPr>
        <w:t>Revolving Loans and Term Loans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Revolving Loans</w:t>
      </w:r>
      <w:r>
        <w:rPr>
          <w:rFonts w:ascii="Times New Roman" w:hAnsi="Times New Roman"/>
          <w:color w:val="000000"/>
          <w:sz w:val="22"/>
        </w:rPr>
        <w:t>. Subject to the terms and conditions set forth herein, each Lender severally agrees to make loans (each such loan, a “</w:t>
      </w:r>
      <w:r>
        <w:rPr>
          <w:rFonts w:ascii="Times New Roman" w:hAnsi="Times New Roman"/>
          <w:color w:val="000000"/>
          <w:sz w:val="22"/>
          <w:u w:val="single"/>
        </w:rPr>
        <w:t>Revolving Loan</w:t>
      </w:r>
      <w:r>
        <w:rPr>
          <w:rFonts w:ascii="Times New Roman" w:hAnsi="Times New Roman"/>
          <w:color w:val="000000"/>
          <w:sz w:val="20"/>
        </w:rPr>
        <w:t>”</w:t>
      </w:r>
      <w:r>
        <w:rPr>
          <w:rFonts w:ascii="Times New Roman" w:hAnsi="Times New Roman"/>
          <w:color w:val="000000"/>
          <w:sz w:val="22"/>
        </w:rPr>
        <w:t xml:space="preserve">) to the Borrower in Dollars from time to time on any Business Day during the Availability Period in an aggregate amount not to exceed at any time outstanding the amount of such Lender’s Revolving Commitment;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after giving effect to any Borrowing of Revolving Loans, (i) the Total Revolving Outstandings shall not exceed the Aggregate Revolving Commitments, and (ii) the Revolving Credit Exposure of any Lender shall not exceed such Lender’s Revolving Commitment. Within the limits of each Lender’s Revolving Commitment, and subject to the other terms and conditions hereof, the Borrower may borrow Revolving Loans under this </w:t>
      </w:r>
      <w:r>
        <w:rPr>
          <w:rFonts w:ascii="Times New Roman" w:hAnsi="Times New Roman"/>
          <w:color w:val="000000"/>
          <w:sz w:val="22"/>
          <w:u w:val="single"/>
        </w:rPr>
        <w:t>Section 2.01(a)</w:t>
      </w:r>
      <w:r>
        <w:rPr>
          <w:rFonts w:ascii="Times New Roman" w:hAnsi="Times New Roman"/>
          <w:color w:val="000000"/>
          <w:sz w:val="22"/>
        </w:rPr>
        <w:t xml:space="preserve">, prepay Revolving Loans pursuant to </w:t>
      </w:r>
      <w:r>
        <w:rPr>
          <w:rFonts w:ascii="Times New Roman" w:hAnsi="Times New Roman"/>
          <w:color w:val="000000"/>
          <w:sz w:val="22"/>
          <w:u w:val="single"/>
        </w:rPr>
        <w:t>Section 2.05(a)</w:t>
      </w:r>
      <w:r>
        <w:rPr>
          <w:rFonts w:ascii="Times New Roman" w:hAnsi="Times New Roman"/>
          <w:color w:val="000000"/>
          <w:sz w:val="22"/>
        </w:rPr>
        <w:t xml:space="preserve">, and reborrow Revolving Loans under this </w:t>
      </w:r>
      <w:r>
        <w:rPr>
          <w:rFonts w:ascii="Times New Roman" w:hAnsi="Times New Roman"/>
          <w:color w:val="000000"/>
          <w:sz w:val="22"/>
          <w:u w:val="single"/>
        </w:rPr>
        <w:t>Section 2.01(a)</w:t>
      </w:r>
      <w:r>
        <w:rPr>
          <w:rFonts w:ascii="Times New Roman" w:hAnsi="Times New Roman"/>
          <w:color w:val="000000"/>
          <w:sz w:val="22"/>
        </w:rPr>
        <w:t>. Revolving Loans may be Base Rate Loans or Term SOFR Loans, or a combination thereof, as further provided herein.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Incremental Term Loans</w:t>
      </w:r>
      <w:r>
        <w:rPr>
          <w:rFonts w:ascii="Times New Roman" w:hAnsi="Times New Roman"/>
          <w:color w:val="000000"/>
          <w:sz w:val="22"/>
        </w:rPr>
        <w:t xml:space="preserve">. Subject to the terms and conditions set forth herein, on any Incremental Facility Closing Date on which any Incremental Term Loan Commitments of any Class are effected pursuant to </w:t>
      </w:r>
      <w:r>
        <w:rPr>
          <w:rFonts w:ascii="Times New Roman" w:hAnsi="Times New Roman"/>
          <w:color w:val="000000"/>
          <w:sz w:val="22"/>
          <w:u w:val="single"/>
        </w:rPr>
        <w:t>Section 2.16</w:t>
      </w:r>
      <w:r>
        <w:rPr>
          <w:rFonts w:ascii="Times New Roman" w:hAnsi="Times New Roman"/>
          <w:color w:val="000000"/>
          <w:sz w:val="22"/>
        </w:rPr>
        <w:t>, (i) each Lender of such Class severally agrees to make its portion of a term loan (each, an “</w:t>
      </w:r>
      <w:r>
        <w:rPr>
          <w:rFonts w:ascii="Times New Roman" w:hAnsi="Times New Roman"/>
          <w:color w:val="000000"/>
          <w:sz w:val="22"/>
          <w:u w:val="single"/>
        </w:rPr>
        <w:t>Incremental Term Loan</w:t>
      </w:r>
      <w:r>
        <w:rPr>
          <w:rFonts w:ascii="Times New Roman" w:hAnsi="Times New Roman"/>
          <w:color w:val="000000"/>
          <w:sz w:val="20"/>
        </w:rPr>
        <w:t>”</w:t>
      </w:r>
      <w:r>
        <w:rPr>
          <w:rFonts w:ascii="Times New Roman" w:hAnsi="Times New Roman"/>
          <w:color w:val="000000"/>
          <w:sz w:val="22"/>
        </w:rPr>
        <w:t>) to the Borrower in Dollars in an amount equal to such Lender’s Incremental Term Loan Commitment with respect to such Incremental Term Loan. Amounts repaid on any Incremental Term Loan may not be reborrowed. An Incremental Term Loan may consist of Base Rate Loans or Term SOFR Loans, or a combination thereof, as further provided herein.</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2.02 </w:t>
      </w:r>
      <w:r>
        <w:rPr>
          <w:rFonts w:ascii="Times New Roman" w:hAnsi="Times New Roman"/>
          <w:b w:val="false"/>
          <w:color w:val="000000"/>
          <w:sz w:val="22"/>
          <w:u w:val="single"/>
        </w:rPr>
        <w:t>Borrowings, Conversions and Continuations of Loans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Each Borrowing, each conversion of Loans from one Type to the other, and each continuation of Term SOFR Loans shall be made upon the Borrower’s irrevocable notice to the Administrative Agent, which may be given by telephone or a Loan Notice; provided, that, any telephonic notice must be confirmed promptly by delivery to the Administrative Agent of a Loan Notice. Each such notice must be received by the Administrative Agent not later than 11:00 a.m.</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two Business Days prior to the requested date of any Borrowing of, conversion to or continuation of Term SOFR Loans or of any conversion of Term SOFR Loans to Base Rate Loans, and (ii) on the requested date of any Borrowing of Base Rate Loans; provided, that, if the Borrower wishes to request Term SOFR Loans having an Interest Period other than one, three or six months in duration as provided in the definition of “Interest Period,” the applicable notice must be received by the Administrative Agent not later than 11:00 a.m. four Business Days prior to the requested date of such Borrowing, conversion or continuation, whereupon the Administrative Agent shall give prompt notice to the appropriate Lenders of such request and determine whether the requested Interest Period is acceptable to all of them (and the Administrative Agent shall notify the Borrower (which notice may be by telephone) whether or not the requested Interest Period has been consented to by all of the appropriate Lenders not later than 11:00 a.m., three Business Days before the requested date of such Borrowing, conversion or continuation). Each Borrowing of, conversion to or continuation of Term SOFR Loans shall be in a principal amount of $1,000,000 or a whole multiple of $500,000 in excess thereof (or, in connection with any conversion or continuation of a Term Loan, if less, the entire principal thereof then outstanding). Except as provided in </w:t>
      </w:r>
      <w:r>
        <w:rPr>
          <w:rFonts w:ascii="Times New Roman" w:hAnsi="Times New Roman"/>
          <w:color w:val="000000"/>
          <w:sz w:val="22"/>
          <w:u w:val="single"/>
        </w:rPr>
        <w:t>Section 2.03(c)</w:t>
      </w:r>
      <w:r>
        <w:rPr>
          <w:rFonts w:ascii="Times New Roman" w:hAnsi="Times New Roman"/>
          <w:color w:val="000000"/>
          <w:sz w:val="22"/>
        </w:rPr>
        <w:t>, each Borrowing of or conversion to Base Rate Loans shall be in a principal amount of $500,000 or a whole multiple of $100,000 in excess thereof (or, in connection with any conversion or continuation of a Term Loan, if less, the entire principal thereof then outstanding). Each Loan Notice and each telephonic notice shall specify (A) whether the Borrower is requesting a Borrowing (and, if so, whether the Borrower is requesting a Borrowing of Revolving Loans or a Borrowing of an Incremental Term Loan), a conversion of Loans from one Type to the other, or a continuation of Term SOFR Loans, (B) the requested date of the Borrowing, conversion or continuation, as the case may be (which shall be a Business Day), (C) the principal amount of Loans to be borrowed, converted or continued, (D) the Type of Loans to be borrowed or to which existing Loans are to be converted, and (E)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Term SOFR Loans in any Loan Notice, but fails to specify an Interest Period, it will be deemed to have specified an Interest Period of one month.</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Following receipt of a Loan Notice, the Administrative Agent shall promptly notify each Lender of the amount of its Applicable Percentage of the applicable Loans, and if no timely notice of a conversion or continuation is provided by the Borrower, the Administrative Agent shall notify each Lender of the details of any automatic conversion to Base Rate Loans described in </w:t>
      </w:r>
      <w:r>
        <w:rPr>
          <w:rFonts w:ascii="Times New Roman" w:hAnsi="Times New Roman"/>
          <w:color w:val="000000"/>
          <w:sz w:val="22"/>
          <w:u w:val="single"/>
        </w:rPr>
        <w:t>Section 2.02(a)</w:t>
      </w:r>
      <w:r>
        <w:rPr>
          <w:rFonts w:ascii="Times New Roman" w:hAnsi="Times New Roman"/>
          <w:color w:val="000000"/>
          <w:sz w:val="22"/>
        </w:rPr>
        <w:t xml:space="preserve">. In the case of a Borrowing, each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Times New Roman" w:hAnsi="Times New Roman"/>
          <w:color w:val="000000"/>
          <w:sz w:val="22"/>
          <w:u w:val="single"/>
        </w:rPr>
        <w:t>Section 5.02</w:t>
      </w:r>
      <w:r>
        <w:rPr>
          <w:rFonts w:ascii="Times New Roman" w:hAnsi="Times New Roman"/>
          <w:color w:val="000000"/>
          <w:sz w:val="22"/>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Times New Roman" w:hAnsi="Times New Roman"/>
          <w:color w:val="000000"/>
          <w:sz w:val="22"/>
          <w:u w:val="single"/>
        </w:rPr>
        <w:t>provided</w:t>
      </w:r>
      <w:r>
        <w:rPr>
          <w:rFonts w:ascii="Times New Roman" w:hAnsi="Times New Roman"/>
          <w:color w:val="000000"/>
          <w:sz w:val="22"/>
        </w:rPr>
        <w:t xml:space="preserve">, that, if, on the date the Loan Notice with respect to a Borrowing of Revolving Loans is given by the Borrower, there are L/C Borrowings outstanding, then the proceeds of such Borrowing, </w:t>
      </w:r>
      <w:r>
        <w:rPr>
          <w:rFonts w:ascii="Times New Roman" w:hAnsi="Times New Roman"/>
          <w:color w:val="000000"/>
          <w:sz w:val="22"/>
          <w:u w:val="single"/>
        </w:rPr>
        <w:t>first</w:t>
      </w:r>
      <w:r>
        <w:rPr>
          <w:rFonts w:ascii="Times New Roman" w:hAnsi="Times New Roman"/>
          <w:color w:val="000000"/>
          <w:sz w:val="22"/>
        </w:rPr>
        <w:t xml:space="preserve">, shall be applied to the payment in full of any such L/C Borrowings, and </w:t>
      </w:r>
      <w:r>
        <w:rPr>
          <w:rFonts w:ascii="Times New Roman" w:hAnsi="Times New Roman"/>
          <w:color w:val="000000"/>
          <w:sz w:val="22"/>
          <w:u w:val="single"/>
        </w:rPr>
        <w:t>second</w:t>
      </w:r>
      <w:r>
        <w:rPr>
          <w:rFonts w:ascii="Times New Roman" w:hAnsi="Times New Roman"/>
          <w:color w:val="000000"/>
          <w:sz w:val="22"/>
        </w:rPr>
        <w:t>, shall be made available to the Borrower as provided above.</w:t>
      </w:r>
    </w:p>
    <w:p>
      <w:pPr>
        <w:pStyle w:val="TextBody"/>
        <w:bidi w:val="0"/>
        <w:jc w:val="center"/>
        <w:rPr>
          <w:rFonts w:ascii="Times New Roman" w:hAnsi="Times New Roman"/>
          <w:color w:val="000000"/>
          <w:sz w:val="22"/>
        </w:rPr>
      </w:pPr>
      <w:r>
        <w:rPr>
          <w:rFonts w:ascii="Times New Roman" w:hAnsi="Times New Roman"/>
          <w:color w:val="000000"/>
          <w:sz w:val="22"/>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Except as otherwise provided herein, a Term SOFR Loan may be continued or converted only on the last day of the Interest Period for such Term SOFR Loan. During the existence of a Default, no Loans may be requested as, converted to or continued as Term SOFR Loans without the consent of the Required Lenders and the Required Lenders may demand that any or all of the outstanding Term SOFR Loans be converted immediately to Base Rate Loans.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Each determination of an interest rate by the Administrative Agent pursuant to any provision of this Agreement shall be conclusive and binding on the Borrower and the Lenders in the absence of manifest error.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After giving effect to all Borrowings, all conversions of Loans from one Type to the other, and all continuations of Loans as the same Type, there shall not be more than ten (10) Interest Periods in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Notwithstanding anything to the contrary in this Agreement, any Lender may exchange, continue or rollover all or a portion of its Loans in connection with any refinancing, extension, loan modification, repricing or similar transaction permitted by the terms of this Agreement, pursuant to a cashless settlement mechanism approved by the Borrower, the Administrative Agent and such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with respect to any such amendment effected, the Administrative Agent shall post each such amendment implementing such Conforming Changes to the Borrower and the Lenders reasonably promptly after such amendment becomes effective.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2.03 </w:t>
      </w:r>
      <w:r>
        <w:rPr>
          <w:rFonts w:ascii="Times New Roman" w:hAnsi="Times New Roman"/>
          <w:b w:val="false"/>
          <w:color w:val="000000"/>
          <w:sz w:val="22"/>
          <w:u w:val="single"/>
        </w:rPr>
        <w:t>Letters of Credit</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The Letter of Credit Commitment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Subject to the terms and conditions set forth herein: (A) each L/C Issuer agrees, in reliance upon the agreements of the Lenders set forth in this </w:t>
      </w:r>
      <w:r>
        <w:rPr>
          <w:rFonts w:ascii="Times New Roman" w:hAnsi="Times New Roman"/>
          <w:color w:val="000000"/>
          <w:sz w:val="22"/>
          <w:u w:val="single"/>
        </w:rPr>
        <w:t>Section 2.03</w:t>
      </w:r>
      <w:r>
        <w:rPr>
          <w:rFonts w:ascii="Times New Roman" w:hAnsi="Times New Roman"/>
          <w:color w:val="000000"/>
          <w:sz w:val="22"/>
        </w:rPr>
        <w:t xml:space="preserve">, (1) from time to time on any Business Day during the Availability Period, and until the Letter of Credit Expiration Date, to issue Letters of Credit in Dollars or an Alternative Currency for the account of the Borrower or any Subsidiary, and to amend or extend Letters of Credit previously issued by it, in accordance with </w:t>
      </w:r>
      <w:r>
        <w:rPr>
          <w:rFonts w:ascii="Times New Roman" w:hAnsi="Times New Roman"/>
          <w:color w:val="000000"/>
          <w:sz w:val="22"/>
          <w:u w:val="single"/>
        </w:rPr>
        <w:t>Section 2.03(b)</w:t>
      </w:r>
      <w:r>
        <w:rPr>
          <w:rFonts w:ascii="Times New Roman" w:hAnsi="Times New Roman"/>
          <w:color w:val="000000"/>
          <w:sz w:val="20"/>
        </w:rPr>
        <w:t xml:space="preserve"> </w:t>
      </w:r>
      <w:r>
        <w:rPr>
          <w:rFonts w:ascii="Times New Roman" w:hAnsi="Times New Roman"/>
          <w:color w:val="000000"/>
          <w:sz w:val="22"/>
        </w:rPr>
        <w:t xml:space="preserve">and (2) to honor drawings under the Letters of Credit; and (B) the Lenders with Revolving Commitments severally agree to participate in Letters of Credit issued for the account of the Borrower or any Subsidiary and any drawings thereunder;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after giving effect to any L/C Credit Extension with respect to any Letter of Credit, (1) the Total Revolving Outstandings shall not exceed the Aggregate Revolving Commitments, (2) the Revolving Credit Exposure of any Lender shall not exceed such Lender’s Revolving Commitment, (3) the Outstanding Amount of the L/C Obligations shall not exceed the Letter of Credit Sublimit and (4) the aggregate outstanding amount of all L/C Obligations of any L/C Issuer shall not exceed such L/C Issuer’s L/C Commitment (unless otherwise agreed by such L/C Issuer in its sole discretion).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ability to obtain Letters of Credit shall be fully revolving, and accordingly the Borrower may, during the foregoing period, obtain Letters of Credit to replace Letters of Credit that have expired or that have been drawn upon and reimbursed.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No L/C Issuer shall issue or extend any Letter of Credit if: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subject to </w:t>
      </w:r>
      <w:r>
        <w:rPr>
          <w:rFonts w:ascii="Times New Roman" w:hAnsi="Times New Roman"/>
          <w:color w:val="000000"/>
          <w:sz w:val="22"/>
          <w:u w:val="single"/>
        </w:rPr>
        <w:t>Section 2.03(b)(iii)</w:t>
      </w:r>
      <w:r>
        <w:rPr>
          <w:rFonts w:ascii="Times New Roman" w:hAnsi="Times New Roman"/>
          <w:color w:val="000000"/>
          <w:sz w:val="22"/>
        </w:rPr>
        <w:t>, the expiry date of the requested Letter of Credit would occur more than twelve months after the date of issuance or last extension, unless the Lenders (other than Defaulting Lenders) holding a majority of the Revolving Credit Exposure have approved such expiry date;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expiry date of such requested Letter of Credit would occur after the Letter of Credit Expiration Date, unless all the Lenders that have Revolving Commitments have approved such expiry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No L/C Issuer shall be under any obligation to issue any Letter of Credit if: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Effective Date, or shall impose upon such L/C Issuer any unreimbursed loss, cost or expense which was not applicable on the Effective Date and which such L/C Issuer in good faith deems material to it;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issuance of such Letter of Credit would violate one or more policies of such L/C Issuer applicable to letters of credit generally;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except as otherwise agreed by the Administrative Agent and such L/C Issuer, such Letter of Credit is in an initial stated amount less than $100,000;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such Letter of Credit is to be denominated in a currency other than Dollars or an Alternative Currency;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any Lender with a Revolving Commitment is at that time a Defaulting Lender, unless such L/C Issuer has entered into arrangements, including the delivery of Cash Collateral, satisfactory to such L/C Issuer (in its sole discretion) with the Borrower or such Defaulting Lender to eliminate such L/C Issuer’s actual or potential Fronting Exposure (after giving effect to </w:t>
      </w:r>
      <w:r>
        <w:rPr>
          <w:rFonts w:ascii="Times New Roman" w:hAnsi="Times New Roman"/>
          <w:color w:val="000000"/>
          <w:sz w:val="22"/>
          <w:u w:val="single"/>
        </w:rPr>
        <w:t>Section 2.15(b)</w:t>
      </w:r>
      <w:r>
        <w:rPr>
          <w:rFonts w:ascii="Times New Roman" w:hAnsi="Times New Roman"/>
          <w:color w:val="000000"/>
          <w:sz w:val="22"/>
        </w:rPr>
        <w:t>) with respect to the Defaulting Lender arising from either the Letter of Credit then proposed to be issued or that Letter of Credit and all other L/C Obligations as to which such L/C Issuer has actual or potential Fronting Exposure, as it may elect in its sole discretion;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such Letter of Credit contains any provisions for automatic reinstatement of the stated amount after any drawing thereunder.</w:t>
      </w:r>
    </w:p>
    <w:p>
      <w:pPr>
        <w:pStyle w:val="TextBody"/>
        <w:bidi w:val="0"/>
        <w:jc w:val="center"/>
        <w:rPr>
          <w:rFonts w:ascii="Times New Roman" w:hAnsi="Times New Roman"/>
          <w:color w:val="000000"/>
          <w:sz w:val="22"/>
        </w:rPr>
      </w:pPr>
      <w:r>
        <w:rPr>
          <w:rFonts w:ascii="Times New Roman" w:hAnsi="Times New Roman"/>
          <w:color w:val="000000"/>
          <w:sz w:val="22"/>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No L/C Issuer shall amend any Letter of Credit if such L/C Issuer would not be permitted at such time to issue such Letter of Credit in its amended form under the terms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 Each L/C Issuer shall act on behalf of the Lenders with respect to any Letters of Credit issued by it and the documents associated therewith, and such L/C Issuer shall have all of the benefits and immunities (A) provided to the Administrative Agent in </w:t>
      </w:r>
      <w:r>
        <w:rPr>
          <w:rFonts w:ascii="Times New Roman" w:hAnsi="Times New Roman"/>
          <w:color w:val="000000"/>
          <w:sz w:val="22"/>
          <w:u w:val="single"/>
        </w:rPr>
        <w:t>Article X</w:t>
      </w:r>
      <w:r>
        <w:rPr>
          <w:rFonts w:ascii="Times New Roman" w:hAnsi="Times New Roman"/>
          <w:color w:val="000000"/>
          <w:sz w:val="20"/>
        </w:rPr>
        <w:t xml:space="preserve"> </w:t>
      </w:r>
      <w:r>
        <w:rPr>
          <w:rFonts w:ascii="Times New Roman" w:hAnsi="Times New Roman"/>
          <w:color w:val="000000"/>
          <w:sz w:val="22"/>
        </w:rPr>
        <w:t xml:space="preserve">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Times New Roman" w:hAnsi="Times New Roman"/>
          <w:color w:val="000000"/>
          <w:sz w:val="22"/>
          <w:u w:val="single"/>
        </w:rPr>
        <w:t>Article X</w:t>
      </w:r>
      <w:r>
        <w:rPr>
          <w:rFonts w:ascii="Times New Roman" w:hAnsi="Times New Roman"/>
          <w:color w:val="000000"/>
          <w:sz w:val="20"/>
        </w:rPr>
        <w:t xml:space="preserve"> </w:t>
      </w:r>
      <w:r>
        <w:rPr>
          <w:rFonts w:ascii="Times New Roman" w:hAnsi="Times New Roman"/>
          <w:color w:val="000000"/>
          <w:sz w:val="22"/>
        </w:rPr>
        <w:t>included such L/C Issuer with respect to such acts or omissions, and (B) as additionally provided herein with respect to such L/C Issuer.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Procedures for Issuance and Amendment of Letters of Credit; Auto-Extension Letters of Credit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Each Letter of Credit shall be issued or amended, as the case may be, upon the request of the Borrower delivered to an L/C Issuer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such L/C Issuer, by personal delivery or by any other means acceptable to such L/C Issuer. Such Letter of Credit Application must be received by such L/C Issuer and the Administrative Agent not later than 11:00 a.m. at least three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such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such L/C Issuer may require. In the case of a request for an amendment of any outstanding Letter of Credit, such Letter of Credit Application shall specify in form and detail satisfactory to such L/C Issuer: (1) the Letter of Credit to be amended; (2) the proposed date of amendment thereof (which shall be a Business Day); (3) the nature of the proposed amendment; and (4) such other matters as such L/C Issuer may require. Additionally, the Borrower shall furnish to such L/C Issuer and the Administrative Agent such other documents and information pertaining to such requested Letter of Credit issuance or amendment, including any Issuer Documents, as such L/C Issuer or the Administrative Agent may require.</w:t>
      </w:r>
    </w:p>
    <w:p>
      <w:pPr>
        <w:pStyle w:val="TextBody"/>
        <w:bidi w:val="0"/>
        <w:spacing w:before="0" w:after="240"/>
        <w:jc w:val="both"/>
        <w:rPr>
          <w:rFonts w:ascii="Times New Roman" w:hAnsi="Times New Roman"/>
          <w:sz w:val="20"/>
        </w:rPr>
      </w:pPr>
      <w:r>
        <w:rPr>
          <w:rFonts w:ascii="Times New Roman" w:hAnsi="Times New Roman"/>
          <w:color w:val="000000"/>
          <w:sz w:val="22"/>
        </w:rPr>
        <w:t>(ii) Promptly after receipt of any Letter of Credit Application, the applicable L/C Issuer will confirm with the Administrative Agent (by telephone or in writing) that the Administrative Agent has received a copy of such Letter of Credit Application from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Borrower and, if not, such L/C Issuer will provide the Administrative Agent with a copy thereof. Unless such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Times New Roman" w:hAnsi="Times New Roman"/>
          <w:color w:val="000000"/>
          <w:sz w:val="22"/>
          <w:u w:val="single"/>
        </w:rPr>
        <w:t>Article V</w:t>
      </w:r>
      <w:r>
        <w:rPr>
          <w:rFonts w:ascii="Times New Roman" w:hAnsi="Times New Roman"/>
          <w:color w:val="000000"/>
          <w:sz w:val="20"/>
        </w:rPr>
        <w:t xml:space="preserve"> </w:t>
      </w:r>
      <w:r>
        <w:rPr>
          <w:rFonts w:ascii="Times New Roman" w:hAnsi="Times New Roman"/>
          <w:color w:val="000000"/>
          <w:sz w:val="22"/>
        </w:rPr>
        <w:t xml:space="preserve">shall not then be satisfied, then, subject to the terms and conditions hereof, such L/C Issuer shall, on the requested date, issue a Letter of Credit for the account of the Borrower or the applicable Subsidiary or enter into the applicable amendment, as the case may be, in each case in accordance with such L/C Issuer’s usual and customary business practices. Immediately upon the issuance of each Letter of Credit, each Lender with a Revolving Commitment shall be deemed to, and hereby irrevocably and unconditionally agrees to, purchase from the applicable L/C Issuer a risk participation in such Letter of Credit in an amount equal to the product of such Lender’s Applicable Revolving Percentage </w:t>
      </w:r>
      <w:r>
        <w:rPr>
          <w:rFonts w:ascii="Times New Roman" w:hAnsi="Times New Roman"/>
          <w:color w:val="000000"/>
          <w:sz w:val="22"/>
          <w:u w:val="single"/>
        </w:rPr>
        <w:t>times</w:t>
      </w:r>
      <w:r>
        <w:rPr>
          <w:rFonts w:ascii="Times New Roman" w:hAnsi="Times New Roman"/>
          <w:color w:val="000000"/>
          <w:sz w:val="20"/>
        </w:rPr>
        <w:t xml:space="preserve"> </w:t>
      </w:r>
      <w:r>
        <w:rPr>
          <w:rFonts w:ascii="Times New Roman" w:hAnsi="Times New Roman"/>
          <w:color w:val="000000"/>
          <w:sz w:val="22"/>
        </w:rPr>
        <w:t>the amount of such Letter of Credit.</w:t>
      </w:r>
    </w:p>
    <w:p>
      <w:pPr>
        <w:pStyle w:val="TextBody"/>
        <w:bidi w:val="0"/>
        <w:spacing w:before="0" w:after="240"/>
        <w:jc w:val="both"/>
        <w:rPr>
          <w:rFonts w:ascii="Times New Roman" w:hAnsi="Times New Roman"/>
          <w:sz w:val="20"/>
        </w:rPr>
      </w:pPr>
      <w:r>
        <w:rPr>
          <w:rFonts w:ascii="Times New Roman" w:hAnsi="Times New Roman"/>
          <w:color w:val="000000"/>
          <w:sz w:val="22"/>
        </w:rPr>
        <w:t>(iii) If the Borrower so requests in any applicable Letter of Credit Application, an L/C Issuer may, in its sole discretion, agree to issue a Letter of Credit that has automatic extension provisions (each, an “</w:t>
      </w:r>
      <w:r>
        <w:rPr>
          <w:rFonts w:ascii="Times New Roman" w:hAnsi="Times New Roman"/>
          <w:color w:val="000000"/>
          <w:sz w:val="22"/>
          <w:u w:val="single"/>
        </w:rPr>
        <w:t>Auto-Extension Letter of Credit</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 such Auto-Extension Letter of Credit must permit such L/C Issuer to prevent any such extension at least once in each twelve-month period (commencing with the date of issuance of such Letter of Credit) by giving prior notice to the beneficiary thereof not later than a day (the “</w:t>
      </w:r>
      <w:r>
        <w:rPr>
          <w:rFonts w:ascii="Times New Roman" w:hAnsi="Times New Roman"/>
          <w:color w:val="000000"/>
          <w:sz w:val="22"/>
          <w:u w:val="single"/>
        </w:rPr>
        <w:t>Non-Extension Notice Date</w:t>
      </w:r>
      <w:r>
        <w:rPr>
          <w:rFonts w:ascii="Times New Roman" w:hAnsi="Times New Roman"/>
          <w:color w:val="000000"/>
          <w:sz w:val="20"/>
        </w:rPr>
        <w:t>”</w:t>
      </w:r>
      <w:r>
        <w:rPr>
          <w:rFonts w:ascii="Times New Roman" w:hAnsi="Times New Roman"/>
          <w:color w:val="000000"/>
          <w:sz w:val="22"/>
        </w:rPr>
        <w:t xml:space="preserve">) in each such twelve-month period to be agreed upon at the time such Letter of Credit is issued. Unless otherwise directed by an L/C Issuer, the Borrower shall not be required to make a specific request to such L/C Issuer for any such extension. Once an Auto-Extension Letter of Credit has been issued, the Lenders shall be deemed to have authorized (but may not require) such L/C Issuer to permit the extension of such Letter of Credit at any time to an expiry date not later than the Letter of Credit Expiration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L/C Issuer shall not permit any such extension if (A) such L/C Issuer has determined that it would not be permitted, or would have no obligation, at such time to issue such Letter of Credit in its revised form (as extended) under the terms hereof (by reason of the provisions of </w:t>
      </w:r>
      <w:r>
        <w:rPr>
          <w:rFonts w:ascii="Times New Roman" w:hAnsi="Times New Roman"/>
          <w:color w:val="000000"/>
          <w:sz w:val="22"/>
          <w:u w:val="single"/>
        </w:rPr>
        <w:t>Section 2.03(a)(ii)</w:t>
      </w:r>
      <w:r>
        <w:rPr>
          <w:rFonts w:ascii="Times New Roman" w:hAnsi="Times New Roman"/>
          <w:color w:val="000000"/>
          <w:sz w:val="22"/>
        </w:rPr>
        <w:t xml:space="preserve">, </w:t>
      </w:r>
      <w:r>
        <w:rPr>
          <w:rFonts w:ascii="Times New Roman" w:hAnsi="Times New Roman"/>
          <w:color w:val="000000"/>
          <w:sz w:val="22"/>
          <w:u w:val="single"/>
        </w:rPr>
        <w:t>Section 2.03(a)(iii)</w:t>
      </w:r>
      <w:r>
        <w:rPr>
          <w:rFonts w:ascii="Times New Roman" w:hAnsi="Times New Roman"/>
          <w:color w:val="000000"/>
          <w:sz w:val="20"/>
        </w:rPr>
        <w:t xml:space="preserve"> </w:t>
      </w:r>
      <w:r>
        <w:rPr>
          <w:rFonts w:ascii="Times New Roman" w:hAnsi="Times New Roman"/>
          <w:color w:val="000000"/>
          <w:sz w:val="22"/>
        </w:rPr>
        <w:t xml:space="preserve">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any Loan Party that one or more of the applicable conditions specified in </w:t>
      </w:r>
      <w:r>
        <w:rPr>
          <w:rFonts w:ascii="Times New Roman" w:hAnsi="Times New Roman"/>
          <w:color w:val="000000"/>
          <w:sz w:val="22"/>
          <w:u w:val="single"/>
        </w:rPr>
        <w:t>Section 5.02</w:t>
      </w:r>
      <w:r>
        <w:rPr>
          <w:rFonts w:ascii="Times New Roman" w:hAnsi="Times New Roman"/>
          <w:color w:val="000000"/>
          <w:sz w:val="20"/>
        </w:rPr>
        <w:t xml:space="preserve"> </w:t>
      </w:r>
      <w:r>
        <w:rPr>
          <w:rFonts w:ascii="Times New Roman" w:hAnsi="Times New Roman"/>
          <w:color w:val="000000"/>
          <w:sz w:val="22"/>
        </w:rPr>
        <w:t>is not then satisfied, and in each case directing such L/C Issuer not to permit such extension.</w:t>
      </w:r>
    </w:p>
    <w:p>
      <w:pPr>
        <w:pStyle w:val="TextBody"/>
        <w:bidi w:val="0"/>
        <w:spacing w:before="0" w:after="240"/>
        <w:jc w:val="both"/>
        <w:rPr>
          <w:rFonts w:ascii="Times New Roman" w:hAnsi="Times New Roman"/>
          <w:sz w:val="20"/>
        </w:rPr>
      </w:pPr>
      <w:r>
        <w:rPr>
          <w:rFonts w:ascii="Times New Roman" w:hAnsi="Times New Roman"/>
          <w:color w:val="000000"/>
          <w:sz w:val="22"/>
        </w:rPr>
        <w:t>(iv) If the Borrower so requests in any applicable Letter of Credit Application, an L/C Issuer may, in its sole discretion, agree to issue a Letter of Credit that permits the automatic reinstatement of all or a portion of the stated amount thereof after any drawing thereunder (each, an “</w:t>
      </w:r>
      <w:r>
        <w:rPr>
          <w:rFonts w:ascii="Times New Roman" w:hAnsi="Times New Roman"/>
          <w:color w:val="000000"/>
          <w:sz w:val="22"/>
          <w:u w:val="single"/>
        </w:rPr>
        <w:t>Auto-Reinstatement Letter of Credit</w:t>
      </w:r>
      <w:r>
        <w:rPr>
          <w:rFonts w:ascii="Times New Roman" w:hAnsi="Times New Roman"/>
          <w:color w:val="000000"/>
          <w:sz w:val="20"/>
        </w:rPr>
        <w:t>”</w:t>
      </w:r>
      <w:r>
        <w:rPr>
          <w:rFonts w:ascii="Times New Roman" w:hAnsi="Times New Roman"/>
          <w:color w:val="000000"/>
          <w:sz w:val="22"/>
        </w:rPr>
        <w:t>). Unless otherwise directed by an L/C Issuer, the Borrower shall not be required to make a specific request to such L/C Issuer to permit such reinstatement. Once an Auto-Reinstatement Letter of Credit has been issued, except as provided in the following sentence, the Lenders shall be deemed to have authorized (but may not require) such L/C Issuer to reinstate all or a portion of the stated amount thereof in accordance with the provisions of such Letter of Credit. Notwithstanding the foregoing, if such Auto-Reinstatement Letter of Credit permits an L/C Issuer to decline to reinstate all or any portion of the stated amount thereof after a drawing thereunder by giving notice of such non-reinstatement within a specified number of days after such drawing (the “</w:t>
      </w:r>
      <w:r>
        <w:rPr>
          <w:rFonts w:ascii="Times New Roman" w:hAnsi="Times New Roman"/>
          <w:color w:val="000000"/>
          <w:sz w:val="22"/>
          <w:u w:val="single"/>
        </w:rPr>
        <w:t>Non-Reinstatement Deadline</w:t>
      </w:r>
      <w:r>
        <w:rPr>
          <w:rFonts w:ascii="Times New Roman" w:hAnsi="Times New Roman"/>
          <w:color w:val="000000"/>
          <w:sz w:val="20"/>
        </w:rPr>
        <w:t>”</w:t>
      </w:r>
      <w:r>
        <w:rPr>
          <w:rFonts w:ascii="Times New Roman" w:hAnsi="Times New Roman"/>
          <w:color w:val="000000"/>
          <w:sz w:val="22"/>
        </w:rPr>
        <w:t>), such L/C Issuer shall not permit such reinstatement if it has received a notice (which may be by telephone or in writing) on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before the day that is seven Business Days before the Non-Reinstatement Deadline (A) from the Administrative Agent that the Required Lenders have elected not to permit such reinstatement or (B) from the Administrative Agent, any Lender or any Loan Party that one or more of the applicable conditions specified in </w:t>
      </w:r>
      <w:r>
        <w:rPr>
          <w:rFonts w:ascii="Times New Roman" w:hAnsi="Times New Roman"/>
          <w:color w:val="000000"/>
          <w:sz w:val="22"/>
          <w:u w:val="single"/>
        </w:rPr>
        <w:t>Section 5.02</w:t>
      </w:r>
      <w:r>
        <w:rPr>
          <w:rFonts w:ascii="Times New Roman" w:hAnsi="Times New Roman"/>
          <w:color w:val="000000"/>
          <w:sz w:val="20"/>
        </w:rPr>
        <w:t xml:space="preserve"> </w:t>
      </w:r>
      <w:r>
        <w:rPr>
          <w:rFonts w:ascii="Times New Roman" w:hAnsi="Times New Roman"/>
          <w:color w:val="000000"/>
          <w:sz w:val="22"/>
        </w:rPr>
        <w:t>is not then satisfied (treating such reinstatement as an L/C Credit Extension for purposes of this clause) and, in each case, directing such L/C Issuer not to permit such reinstatement.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Promptly after its delivery of any Letter of Credit or any amendment to a Letter of Credit to an advising bank with respect thereto or to the beneficiary thereof, the applicable L/C Issuer will also deliver to the Borrower and the Administrative Agent a true and complete copy of such Letter of Credit or amendment.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Drawings and Reimbursements; Funding of Participations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 Upon receipt from the beneficiary of any Letter of Credit of any notice of drawing under such Letter of Credit, the applicable L/C Issuer shall notify the Borrower and the Administrative Agent thereof. Not later than 11:00 a.m. on the date of any payment by such L/C Issuer under a Letter of Credit (each such date, an “</w:t>
      </w:r>
      <w:r>
        <w:rPr>
          <w:rFonts w:ascii="Times New Roman" w:hAnsi="Times New Roman"/>
          <w:color w:val="000000"/>
          <w:sz w:val="22"/>
          <w:u w:val="single"/>
        </w:rPr>
        <w:t>Honor Date</w:t>
      </w:r>
      <w:r>
        <w:rPr>
          <w:rFonts w:ascii="Times New Roman" w:hAnsi="Times New Roman"/>
          <w:color w:val="000000"/>
          <w:sz w:val="20"/>
        </w:rPr>
        <w:t>”</w:t>
      </w:r>
      <w:r>
        <w:rPr>
          <w:rFonts w:ascii="Times New Roman" w:hAnsi="Times New Roman"/>
          <w:color w:val="000000"/>
          <w:sz w:val="22"/>
        </w:rPr>
        <w:t>), the Borrower shall reimburse such L/C Issuer through the Administrative Agent in an amount equal to the amount of such drawing. If the Borrower fails to so reimburse such L/C Issuer by such time, the Administrative Agent shall promptly notify each Lender of the Honor Date, the amount of the unreimbursed drawing (the “</w:t>
      </w:r>
      <w:r>
        <w:rPr>
          <w:rFonts w:ascii="Times New Roman" w:hAnsi="Times New Roman"/>
          <w:color w:val="000000"/>
          <w:sz w:val="22"/>
          <w:u w:val="single"/>
        </w:rPr>
        <w:t>Unreimbursed Amount</w:t>
      </w:r>
      <w:r>
        <w:rPr>
          <w:rFonts w:ascii="Times New Roman" w:hAnsi="Times New Roman"/>
          <w:color w:val="000000"/>
          <w:sz w:val="20"/>
        </w:rPr>
        <w:t>”</w:t>
      </w:r>
      <w:r>
        <w:rPr>
          <w:rFonts w:ascii="Times New Roman" w:hAnsi="Times New Roman"/>
          <w:color w:val="000000"/>
          <w:sz w:val="22"/>
        </w:rPr>
        <w:t xml:space="preserve">), and the amount of such Lender’s Applicable Revolving Percentage thereof. In such event, the Borrower shall be deemed to have requested a Borrowing of Revolving Loans that are Base Rate Loans to be disbursed on the Honor Date in an amount equal to the Dollar Equivalent amount of the Unreimbursed Amount, without regard to the minimum and multiples specified in </w:t>
      </w:r>
      <w:r>
        <w:rPr>
          <w:rFonts w:ascii="Times New Roman" w:hAnsi="Times New Roman"/>
          <w:color w:val="000000"/>
          <w:sz w:val="22"/>
          <w:u w:val="single"/>
        </w:rPr>
        <w:t>Section 2.02</w:t>
      </w:r>
      <w:r>
        <w:rPr>
          <w:rFonts w:ascii="Times New Roman" w:hAnsi="Times New Roman"/>
          <w:color w:val="000000"/>
          <w:sz w:val="20"/>
        </w:rPr>
        <w:t xml:space="preserve"> </w:t>
      </w:r>
      <w:r>
        <w:rPr>
          <w:rFonts w:ascii="Times New Roman" w:hAnsi="Times New Roman"/>
          <w:color w:val="000000"/>
          <w:sz w:val="22"/>
        </w:rPr>
        <w:t xml:space="preserve">for the principal amount of Base Rate Loans, but subject to the unutilized portion of the Aggregate Revolving Commitments and the conditions set forth in </w:t>
      </w:r>
      <w:r>
        <w:rPr>
          <w:rFonts w:ascii="Times New Roman" w:hAnsi="Times New Roman"/>
          <w:color w:val="000000"/>
          <w:sz w:val="22"/>
          <w:u w:val="single"/>
        </w:rPr>
        <w:t>Section 5.02</w:t>
      </w:r>
      <w:r>
        <w:rPr>
          <w:rFonts w:ascii="Times New Roman" w:hAnsi="Times New Roman"/>
          <w:color w:val="000000"/>
          <w:sz w:val="20"/>
        </w:rPr>
        <w:t xml:space="preserve"> </w:t>
      </w:r>
      <w:r>
        <w:rPr>
          <w:rFonts w:ascii="Times New Roman" w:hAnsi="Times New Roman"/>
          <w:color w:val="000000"/>
          <w:sz w:val="22"/>
        </w:rPr>
        <w:t xml:space="preserve">(other than the delivery of a Loan Notice). Any notice given by an L/C Issuer or the Administrative Agent pursuant to this </w:t>
      </w:r>
      <w:r>
        <w:rPr>
          <w:rFonts w:ascii="Times New Roman" w:hAnsi="Times New Roman"/>
          <w:color w:val="000000"/>
          <w:sz w:val="22"/>
          <w:u w:val="single"/>
        </w:rPr>
        <w:t>Section 2.03(c)(i)</w:t>
      </w:r>
      <w:r>
        <w:rPr>
          <w:rFonts w:ascii="Times New Roman" w:hAnsi="Times New Roman"/>
          <w:color w:val="000000"/>
          <w:sz w:val="20"/>
        </w:rPr>
        <w:t xml:space="preserve"> </w:t>
      </w:r>
      <w:r>
        <w:rPr>
          <w:rFonts w:ascii="Times New Roman" w:hAnsi="Times New Roman"/>
          <w:color w:val="000000"/>
          <w:sz w:val="22"/>
        </w:rPr>
        <w:t xml:space="preserve">may be given by telephone if immediately confirmed in writing;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lack of such an immediate confirmation shall not affect the conclusiveness or binding effect of such notice.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Each Lender shall upon any notice pursuant to </w:t>
      </w:r>
      <w:r>
        <w:rPr>
          <w:rFonts w:ascii="Times New Roman" w:hAnsi="Times New Roman"/>
          <w:color w:val="000000"/>
          <w:sz w:val="22"/>
          <w:u w:val="single"/>
        </w:rPr>
        <w:t>Section 2.03(c)(i)</w:t>
      </w:r>
      <w:r>
        <w:rPr>
          <w:rFonts w:ascii="Times New Roman" w:hAnsi="Times New Roman"/>
          <w:color w:val="000000"/>
          <w:sz w:val="20"/>
        </w:rPr>
        <w:t xml:space="preserve"> </w:t>
      </w:r>
      <w:r>
        <w:rPr>
          <w:rFonts w:ascii="Times New Roman" w:hAnsi="Times New Roman"/>
          <w:color w:val="000000"/>
          <w:sz w:val="22"/>
        </w:rPr>
        <w:t xml:space="preserve">make funds available (and the Administrative Agent may apply Cash Collateral provided for this purpose) for the account of the applicable L/C Issuer at the Administrative Agent’s Office in an amount equal to its Applicable Revolving Percentage of the Unreimbursed Amount not later than 1:00 p.m. on the Business Day specified in such notice by the Administrative Agent, whereupon, subject to the provisions of </w:t>
      </w:r>
      <w:r>
        <w:rPr>
          <w:rFonts w:ascii="Times New Roman" w:hAnsi="Times New Roman"/>
          <w:color w:val="000000"/>
          <w:sz w:val="22"/>
          <w:u w:val="single"/>
        </w:rPr>
        <w:t>Section 2.03(c)(iii)</w:t>
      </w:r>
      <w:r>
        <w:rPr>
          <w:rFonts w:ascii="Times New Roman" w:hAnsi="Times New Roman"/>
          <w:color w:val="000000"/>
          <w:sz w:val="22"/>
        </w:rPr>
        <w:t>, each Lender that so makes funds available shall be deemed to have made a Revolving Loan that is a Base Rate Loan to the Borrower in such amount. The Administrative Agent shall remit the funds so received to such L/C Issuer.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With respect to any Unreimbursed Amount that is not fully refinanced by a Borrowing of Revolving Loans that are Base Rate Loans because the conditions set forth in </w:t>
      </w:r>
      <w:r>
        <w:rPr>
          <w:rFonts w:ascii="Times New Roman" w:hAnsi="Times New Roman"/>
          <w:color w:val="000000"/>
          <w:sz w:val="22"/>
          <w:u w:val="single"/>
        </w:rPr>
        <w:t>Section 5.02</w:t>
      </w:r>
      <w:r>
        <w:rPr>
          <w:rFonts w:ascii="Times New Roman" w:hAnsi="Times New Roman"/>
          <w:color w:val="000000"/>
          <w:sz w:val="20"/>
        </w:rPr>
        <w:t xml:space="preserve"> </w:t>
      </w:r>
      <w:r>
        <w:rPr>
          <w:rFonts w:ascii="Times New Roman" w:hAnsi="Times New Roman"/>
          <w:color w:val="000000"/>
          <w:sz w:val="22"/>
        </w:rPr>
        <w:t xml:space="preserve">cannot be satisfied or for any other reason, the Borrower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such L/C Issuer pursuant to </w:t>
      </w:r>
      <w:r>
        <w:rPr>
          <w:rFonts w:ascii="Times New Roman" w:hAnsi="Times New Roman"/>
          <w:color w:val="000000"/>
          <w:sz w:val="22"/>
          <w:u w:val="single"/>
        </w:rPr>
        <w:t>Section 2.03(c)(ii)</w:t>
      </w:r>
      <w:r>
        <w:rPr>
          <w:rFonts w:ascii="Times New Roman" w:hAnsi="Times New Roman"/>
          <w:color w:val="000000"/>
          <w:sz w:val="20"/>
        </w:rPr>
        <w:t xml:space="preserve"> </w:t>
      </w:r>
      <w:r>
        <w:rPr>
          <w:rFonts w:ascii="Times New Roman" w:hAnsi="Times New Roman"/>
          <w:color w:val="000000"/>
          <w:sz w:val="22"/>
        </w:rPr>
        <w:t>shall be deemed payment in respect of its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participation in such L/C Borrowing and shall constitute an L/C Advance from such Lender in satisfaction of its participation obligation under this </w:t>
      </w:r>
      <w:r>
        <w:rPr>
          <w:rFonts w:ascii="Times New Roman" w:hAnsi="Times New Roman"/>
          <w:color w:val="000000"/>
          <w:sz w:val="22"/>
          <w:u w:val="single"/>
        </w:rPr>
        <w:t>Section 2.03</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Until each Lender funds its Revolving Loan or L/C Advance pursuant to this </w:t>
      </w:r>
      <w:r>
        <w:rPr>
          <w:rFonts w:ascii="Times New Roman" w:hAnsi="Times New Roman"/>
          <w:color w:val="000000"/>
          <w:sz w:val="22"/>
          <w:u w:val="single"/>
        </w:rPr>
        <w:t>Section 2.03(c)</w:t>
      </w:r>
      <w:r>
        <w:rPr>
          <w:rFonts w:ascii="Times New Roman" w:hAnsi="Times New Roman"/>
          <w:color w:val="000000"/>
          <w:sz w:val="20"/>
        </w:rPr>
        <w:t xml:space="preserve"> </w:t>
      </w:r>
      <w:r>
        <w:rPr>
          <w:rFonts w:ascii="Times New Roman" w:hAnsi="Times New Roman"/>
          <w:color w:val="000000"/>
          <w:sz w:val="22"/>
        </w:rPr>
        <w:t>to reimburse the applicable L/C Issuer for any amount drawn under any Letter of Credit, interest in respect of such Lender’s Applicable Revolving Percentage of such amount shall be solely for the account of such L/C Issuer.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Each Lender’s obligation to make Revolving Loans or L/C Advances to reimburse the applicable L/C Issuer for amounts drawn under Letters of Credit, as contemplated by this </w:t>
      </w:r>
      <w:r>
        <w:rPr>
          <w:rFonts w:ascii="Times New Roman" w:hAnsi="Times New Roman"/>
          <w:color w:val="000000"/>
          <w:sz w:val="22"/>
          <w:u w:val="single"/>
        </w:rPr>
        <w:t>Section 2.03(c)</w:t>
      </w:r>
      <w:r>
        <w:rPr>
          <w:rFonts w:ascii="Times New Roman" w:hAnsi="Times New Roman"/>
          <w:color w:val="000000"/>
          <w:sz w:val="22"/>
        </w:rPr>
        <w:t xml:space="preserve">, shall be absolute and unconditional and shall not be affected by any circumstance, including: (A) any setoff, counterclaim, recoupment, defense or other right which such Lender may have against such L/C Issuer, the Borrower, any Subsidiary or any other Person for any reason whatsoever; (B) the occurrence or continuance of a Default; or (C) any other occurrence, event or condition, whether or not similar to any of the foregoing;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each Lender’s obligation to make Revolving Loans pursuant to this </w:t>
      </w:r>
      <w:r>
        <w:rPr>
          <w:rFonts w:ascii="Times New Roman" w:hAnsi="Times New Roman"/>
          <w:color w:val="000000"/>
          <w:sz w:val="22"/>
          <w:u w:val="single"/>
        </w:rPr>
        <w:t>Section 2.03(c)</w:t>
      </w:r>
      <w:r>
        <w:rPr>
          <w:rFonts w:ascii="Times New Roman" w:hAnsi="Times New Roman"/>
          <w:color w:val="000000"/>
          <w:sz w:val="20"/>
        </w:rPr>
        <w:t xml:space="preserve"> </w:t>
      </w:r>
      <w:r>
        <w:rPr>
          <w:rFonts w:ascii="Times New Roman" w:hAnsi="Times New Roman"/>
          <w:color w:val="000000"/>
          <w:sz w:val="22"/>
        </w:rPr>
        <w:t xml:space="preserve">is subject to the conditions set forth in </w:t>
      </w:r>
      <w:r>
        <w:rPr>
          <w:rFonts w:ascii="Times New Roman" w:hAnsi="Times New Roman"/>
          <w:color w:val="000000"/>
          <w:sz w:val="22"/>
          <w:u w:val="single"/>
        </w:rPr>
        <w:t>Section 5.02</w:t>
      </w:r>
      <w:r>
        <w:rPr>
          <w:rFonts w:ascii="Times New Roman" w:hAnsi="Times New Roman"/>
          <w:color w:val="000000"/>
          <w:sz w:val="20"/>
        </w:rPr>
        <w:t xml:space="preserve"> </w:t>
      </w:r>
      <w:r>
        <w:rPr>
          <w:rFonts w:ascii="Times New Roman" w:hAnsi="Times New Roman"/>
          <w:color w:val="000000"/>
          <w:sz w:val="22"/>
        </w:rPr>
        <w:t>(other than delivery by the Borrower of a Loan Notice). No such making of an L/C Advance shall relieve or otherwise impair the obligation of the Borrower to reimburse any L/C Issuer for the amount of any payment made by such L/C Issuer under any Letter of Credit, together with interest as provided herein.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 If any Lender fails to make available to the Administrative Agent for the account of the applicable L/C Issuer any amount required to be paid by such Lender pursuant to the foregoing provisions of this </w:t>
      </w:r>
      <w:r>
        <w:rPr>
          <w:rFonts w:ascii="Times New Roman" w:hAnsi="Times New Roman"/>
          <w:color w:val="000000"/>
          <w:sz w:val="22"/>
          <w:u w:val="single"/>
        </w:rPr>
        <w:t>Section 2.03(c)</w:t>
      </w:r>
      <w:r>
        <w:rPr>
          <w:rFonts w:ascii="Times New Roman" w:hAnsi="Times New Roman"/>
          <w:color w:val="000000"/>
          <w:sz w:val="20"/>
        </w:rPr>
        <w:t xml:space="preserve"> </w:t>
      </w:r>
      <w:r>
        <w:rPr>
          <w:rFonts w:ascii="Times New Roman" w:hAnsi="Times New Roman"/>
          <w:color w:val="000000"/>
          <w:sz w:val="22"/>
        </w:rPr>
        <w:t xml:space="preserve">by the time specified in </w:t>
      </w:r>
      <w:r>
        <w:rPr>
          <w:rFonts w:ascii="Times New Roman" w:hAnsi="Times New Roman"/>
          <w:color w:val="000000"/>
          <w:sz w:val="22"/>
          <w:u w:val="single"/>
        </w:rPr>
        <w:t>Section 2.03(c)(ii)</w:t>
      </w:r>
      <w:r>
        <w:rPr>
          <w:rFonts w:ascii="Times New Roman" w:hAnsi="Times New Roman"/>
          <w:color w:val="000000"/>
          <w:sz w:val="22"/>
        </w:rPr>
        <w:t xml:space="preserve">,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such L/C Issuer in accordance with banking industry rules on interbank compensation,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any administrative, processing or similar fees customarily charged by such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such L/C Issuer submitted to any Lender (through the Administrative Agent) with respect to any amounts owing under this </w:t>
      </w:r>
      <w:r>
        <w:rPr>
          <w:rFonts w:ascii="Times New Roman" w:hAnsi="Times New Roman"/>
          <w:color w:val="000000"/>
          <w:sz w:val="22"/>
          <w:u w:val="single"/>
        </w:rPr>
        <w:t>Section 2.03(c)(vi)</w:t>
      </w:r>
      <w:r>
        <w:rPr>
          <w:rFonts w:ascii="Times New Roman" w:hAnsi="Times New Roman"/>
          <w:color w:val="000000"/>
          <w:sz w:val="20"/>
        </w:rPr>
        <w:t xml:space="preserve"> </w:t>
      </w:r>
      <w:r>
        <w:rPr>
          <w:rFonts w:ascii="Times New Roman" w:hAnsi="Times New Roman"/>
          <w:color w:val="000000"/>
          <w:sz w:val="22"/>
        </w:rPr>
        <w:t>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Repayment of Participations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At any time after an L/C Issuer has made a payment under any Letter of Credit and has received from any Lender such Lender’s L/C Advance in respect of such payment in accordance with </w:t>
      </w:r>
      <w:r>
        <w:rPr>
          <w:rFonts w:ascii="Times New Roman" w:hAnsi="Times New Roman"/>
          <w:color w:val="000000"/>
          <w:sz w:val="22"/>
          <w:u w:val="single"/>
        </w:rPr>
        <w:t>Section 2.03(c)</w:t>
      </w:r>
      <w:r>
        <w:rPr>
          <w:rFonts w:ascii="Times New Roman" w:hAnsi="Times New Roman"/>
          <w:color w:val="000000"/>
          <w:sz w:val="22"/>
        </w:rPr>
        <w:t>, if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Revolving Percentage thereof in the same funds as those received by the Administrative Agent.</w:t>
      </w:r>
    </w:p>
    <w:p>
      <w:pPr>
        <w:pStyle w:val="TextBody"/>
        <w:bidi w:val="0"/>
        <w:jc w:val="center"/>
        <w:rPr>
          <w:rFonts w:ascii="Times New Roman" w:hAnsi="Times New Roman"/>
          <w:color w:val="000000"/>
          <w:sz w:val="22"/>
        </w:rPr>
      </w:pPr>
      <w:r>
        <w:rPr>
          <w:rFonts w:ascii="Times New Roman" w:hAnsi="Times New Roman"/>
          <w:color w:val="000000"/>
          <w:sz w:val="22"/>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If any payment received by the Administrative Agent for the account of an L/C Issuer pursuant to </w:t>
      </w:r>
      <w:r>
        <w:rPr>
          <w:rFonts w:ascii="Times New Roman" w:hAnsi="Times New Roman"/>
          <w:color w:val="000000"/>
          <w:sz w:val="22"/>
          <w:u w:val="single"/>
        </w:rPr>
        <w:t>Section 2.03(c)(i)</w:t>
      </w:r>
      <w:r>
        <w:rPr>
          <w:rFonts w:ascii="Times New Roman" w:hAnsi="Times New Roman"/>
          <w:color w:val="000000"/>
          <w:sz w:val="20"/>
        </w:rPr>
        <w:t xml:space="preserve"> </w:t>
      </w:r>
      <w:r>
        <w:rPr>
          <w:rFonts w:ascii="Times New Roman" w:hAnsi="Times New Roman"/>
          <w:color w:val="000000"/>
          <w:sz w:val="22"/>
        </w:rPr>
        <w:t xml:space="preserve">is required to be returned under any of the circumstances described in </w:t>
      </w:r>
      <w:r>
        <w:rPr>
          <w:rFonts w:ascii="Times New Roman" w:hAnsi="Times New Roman"/>
          <w:color w:val="000000"/>
          <w:sz w:val="22"/>
          <w:u w:val="single"/>
        </w:rPr>
        <w:t>Section 11.05</w:t>
      </w:r>
      <w:r>
        <w:rPr>
          <w:rFonts w:ascii="Times New Roman" w:hAnsi="Times New Roman"/>
          <w:color w:val="000000"/>
          <w:sz w:val="20"/>
        </w:rPr>
        <w:t xml:space="preserve"> </w:t>
      </w:r>
      <w:r>
        <w:rPr>
          <w:rFonts w:ascii="Times New Roman" w:hAnsi="Times New Roman"/>
          <w:color w:val="000000"/>
          <w:sz w:val="22"/>
        </w:rPr>
        <w:t xml:space="preserve">(including pursuant to any settlement entered into by such L/C Issuer in its discretion), each Lender shall pay to the Administrative Agent for the account of such L/C Issuer its Applicable Revolving Percentage thereof on demand of the Administrative Agent,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interest thereon from the date of such demand to the date such amount is returned by such Lender, at a rate per annum equal to the Federal Funds Rate from time to time in effect. The obligations of the Lenders under this clause shall survive the Facility Termination Date and the termination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Obligations Absolute</w:t>
      </w:r>
      <w:r>
        <w:rPr>
          <w:rFonts w:ascii="Times New Roman" w:hAnsi="Times New Roman"/>
          <w:color w:val="000000"/>
          <w:sz w:val="22"/>
        </w:rPr>
        <w:t>. The obligation of the Borrower to reimburse each L/C Issuer for each drawing under each Letter of Credit and to repay each L/C Borrowing shall be absolute, unconditional and irrevocable, and shall be paid strictly in accordance with the terms of this Agreement under all circumstances, including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any lack of validity or enforceability of such Letter of Credit, this Agreement or any other Loan Document;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the existence of any claim, counterclaim, setoff, defense or other right that the Borrower or any Subsidiary may have at any time against any beneficiary or any transferee of such Letter of Credit (or any Person for whom any such beneficiary or any such transferee may be acting), such L/C Issuer or any other Person, whether in connection with this Agreement, the transactions contemplated hereby or by such Letter of Credit or any agreement or instrument relating thereto, or any unrelated transaction;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waiver by such L/C Issuer of any requirement that exists for such L/C Issuer’s protection and not the protection of the Borrower or any waiver by such L/C Issuer which does not in fact materially prejudice the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honor of a demand for payment presented electronically even if such Letter of Credit requires that demand be in the form of a draft;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 any payment made by such L/C Issuer in respect of an otherwise complying item presented after the date specified as the expiration date of, or the date by which documents must be received under such Letter of Credit if presentation after such date is authorized by the Uniform Commercial Code or the ISP;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 any payment by such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pStyle w:val="TextBody"/>
        <w:bidi w:val="0"/>
        <w:jc w:val="center"/>
        <w:rPr>
          <w:rFonts w:ascii="Times New Roman" w:hAnsi="Times New Roman"/>
          <w:color w:val="000000"/>
          <w:sz w:val="22"/>
        </w:rPr>
      </w:pPr>
      <w:r>
        <w:rPr>
          <w:rFonts w:ascii="Times New Roman" w:hAnsi="Times New Roman"/>
          <w:color w:val="000000"/>
          <w:sz w:val="22"/>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 any other circumstance or happening whatsoever, whether or not similar to any of the foregoing, including any other circumstance that might otherwise constitute a defense available to, or a discharge of, the Borrower or any Subsidiary;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(ix) any adverse change in the relevant exchange rates or in the availability of the relevant Alternative Currency to the Borrower or any Subsidiary or in the relevant currency markets generally.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 shall promptly examine a copy of each Letter of Credit and each amendment thereto that is delivered to it and, in the event of any claim of noncompliance with the Borrower’s instructions or other irregularity, the Borrower will immediately notify the applicable L/C Issuer. The Borrower shall be conclusively deemed to have waived any such claim against such L/C Issuer and its correspondents unless such notice is given as aforesaid.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Role of L/C Issuer</w:t>
      </w:r>
      <w:r>
        <w:rPr>
          <w:rFonts w:ascii="Times New Roman" w:hAnsi="Times New Roman"/>
          <w:color w:val="000000"/>
          <w:sz w:val="22"/>
        </w:rPr>
        <w:t xml:space="preserve">. Each Lender and the Borrower agree that, in paying any drawing under a Letter of Credit, no L/C Issuer shall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any L/C Issuer, the Administrative Agent, any of their respective Related Parties nor any correspondent, participant or assignee of any L/C Issuer shall be liable to any Lender for (i) any action taken or omitted in connection herewith at the request or with the approval of the Lenders, the Required Lenders or the Lenders holding a majority of the Revolving Credit Exposure,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this assumption is not intended to, and shall not, preclude the Borrower from pursuing such rights and remedies as it may have against the beneficiary or transferee at law or under any other agreement. None of any L/C Issuer, the Administrative Agent, any of their respective Related Parties nor any correspondent, participant or assignee of any L/C Issuer shall be liable or responsible for any of the matters described in </w:t>
      </w:r>
      <w:r>
        <w:rPr>
          <w:rFonts w:ascii="Times New Roman" w:hAnsi="Times New Roman"/>
          <w:color w:val="000000"/>
          <w:sz w:val="22"/>
          <w:u w:val="single"/>
        </w:rPr>
        <w:t>Sections 2.03(e)(i)</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(e)(viii)</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anything in such sections to the contrary notwithstanding, the Borrower may have a claim against an L/C Issuer, and such L/C Issuer may be liable to the Borrower, to the extent, but only to the extent, of any direct, as opposed to consequential or exemplary, damages suffered by the Borrower which the Borrower proves, as determined by a final nonappealable judgment of a court of competent jurisdiction,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In furtherance and not in limitation of the foregoing, an L/C Issuer may accept documents that appear on their face to be in order, without responsibility for further investigation, regardless of any notice or information to the contrary, and such L/C Issuer shall not be responsible for the validity or sufficiency of any instrument transferring, endorsing or assigning or purporting to transfer, endorse or assign a Letter of Credit or the rights or benefits thereunder or proceeds thereof, in whole or in part, which may prove to be invalid or ineffective for any reason. An L/C Issuer may send a Letter of Credit or conduct any communication to or from the beneficiary via the Society for Worldwide Interbank Financial Telecommunication message or overnight courier, or any other commercially reasonable means of communicating with a beneficiary.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Applicability of ISP; Limitation of Liability</w:t>
      </w:r>
      <w:r>
        <w:rPr>
          <w:rFonts w:ascii="Times New Roman" w:hAnsi="Times New Roman"/>
          <w:color w:val="000000"/>
          <w:sz w:val="22"/>
        </w:rPr>
        <w:t>. Unless otherwise expressly agreed by an L/C Issuer and the Borrower when a Letter of Credit is issued, the rules of the ISP shall apply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each Letter of Credit. Notwithstanding the foregoing, no L/C Issuer shall be responsible to the Borrower for, and each L/C Issuer’s rights and remedies against the Borrower shall not be impaired by, any action or inaction of such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in the decisions, opinions, practice statements, or official commentary of the ICC Banking Commission, the Bankers Association for Finance and Trade-International Financial Services Association (BAFT-IFSA), or the Institute of International Banking Law &amp; Practice, whether or not any Letter of Credit chooses such Law or practice.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Letter of Credit Fees</w:t>
      </w:r>
      <w:r>
        <w:rPr>
          <w:rFonts w:ascii="Times New Roman" w:hAnsi="Times New Roman"/>
          <w:color w:val="000000"/>
          <w:sz w:val="22"/>
        </w:rPr>
        <w:t>. The Borrower shall pay to the Administrative Agent, for the account of each Lender with a Revolving Commitment, in accordance, subject to Section 2.15, with its Applicable Revolving Percentage, a Letter of Credit fee (the “</w:t>
      </w:r>
      <w:r>
        <w:rPr>
          <w:rFonts w:ascii="Times New Roman" w:hAnsi="Times New Roman"/>
          <w:color w:val="000000"/>
          <w:sz w:val="22"/>
          <w:u w:val="single"/>
        </w:rPr>
        <w:t>Letter of Credit Fee</w:t>
      </w:r>
      <w:r>
        <w:rPr>
          <w:rFonts w:ascii="Times New Roman" w:hAnsi="Times New Roman"/>
          <w:color w:val="000000"/>
          <w:sz w:val="20"/>
        </w:rPr>
        <w:t>”</w:t>
      </w:r>
      <w:r>
        <w:rPr>
          <w:rFonts w:ascii="Times New Roman" w:hAnsi="Times New Roman"/>
          <w:color w:val="000000"/>
          <w:sz w:val="22"/>
        </w:rPr>
        <w:t xml:space="preserve">) for each Letter of Credit equal to the Applicable Rate for Revolving Loans that are Term SOFR Loans times the daily amount available to be drawn under such Letter of Credit. For purposes of computing the daily amount available to be drawn under any Letter of Credit, the amount of such Letter of Credit shall be determined in accordance with </w:t>
      </w:r>
      <w:r>
        <w:rPr>
          <w:rFonts w:ascii="Times New Roman" w:hAnsi="Times New Roman"/>
          <w:color w:val="000000"/>
          <w:sz w:val="22"/>
          <w:u w:val="single"/>
        </w:rPr>
        <w:t>Section 1.06</w:t>
      </w:r>
      <w:r>
        <w:rPr>
          <w:rFonts w:ascii="Times New Roman" w:hAnsi="Times New Roman"/>
          <w:color w:val="000000"/>
          <w:sz w:val="22"/>
        </w:rPr>
        <w:t xml:space="preserve">. Letter of Credit Fees shall be (i) due and payable on the last Business Day of each January, April, July and October,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(x) while any Event of Default under </w:t>
      </w:r>
      <w:r>
        <w:rPr>
          <w:rFonts w:ascii="Times New Roman" w:hAnsi="Times New Roman"/>
          <w:color w:val="000000"/>
          <w:sz w:val="22"/>
          <w:u w:val="single"/>
        </w:rPr>
        <w:t>Section 9.01(a)</w:t>
      </w:r>
      <w:r>
        <w:rPr>
          <w:rFonts w:ascii="Times New Roman" w:hAnsi="Times New Roman"/>
          <w:color w:val="000000"/>
          <w:sz w:val="20"/>
        </w:rPr>
        <w:t xml:space="preserve"> </w:t>
      </w:r>
      <w:r>
        <w:rPr>
          <w:rFonts w:ascii="Times New Roman" w:hAnsi="Times New Roman"/>
          <w:color w:val="000000"/>
          <w:sz w:val="22"/>
        </w:rPr>
        <w:t>exists or (y) upon the request of the Required Lenders, (i) while any Default due to the failure to pay any interest, fee or other amount when due hereunder or under any other Loan Document exists or (ii) while any other Event of Default (not specified in the preceding clause (x)) exists, all Letter of Credit Fees shall accrue at the Default Rate.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Fronting Fee and Documentary and Processing Charges Payable to L/C Issuer</w:t>
      </w:r>
      <w:r>
        <w:rPr>
          <w:rFonts w:ascii="Times New Roman" w:hAnsi="Times New Roman"/>
          <w:color w:val="000000"/>
          <w:sz w:val="22"/>
        </w:rPr>
        <w:t xml:space="preserve">. The Borrower shall pay directly to each L/C Issuer, for its own account, a fronting fee of 0.125% per annum with respect to each Letter of Credit, computed on the daily amount available to be drawn under such Letter of Credit on a quarterly basis in arrears. In the case of Bank of America, in its capacity as an L/C Issuer, such fronting fee shall be due and payable on the tenth Business Day after the end of each January, April, July and October in respect of the most recently-ended quarterly period (or portion thereof, in the case of the first payment), commencing with the first such date to occur after the issuance of such Letter of Credit, on the Letter of Credit Expiration Date and thereafter on demand. In the case of each other L/C Issuer, such fronting fee shall be due and payable as agreed in writing between the Borrower and such L/C Issuer. For purposes of computing the daily amount available to be drawn under any Letter of Credit, the amount of such Letter of Credit shall be determined in accordance with </w:t>
      </w:r>
      <w:r>
        <w:rPr>
          <w:rFonts w:ascii="Times New Roman" w:hAnsi="Times New Roman"/>
          <w:color w:val="000000"/>
          <w:sz w:val="22"/>
          <w:u w:val="single"/>
        </w:rPr>
        <w:t>Section 1.06</w:t>
      </w:r>
      <w:r>
        <w:rPr>
          <w:rFonts w:ascii="Times New Roman" w:hAnsi="Times New Roman"/>
          <w:color w:val="000000"/>
          <w:sz w:val="22"/>
        </w:rPr>
        <w:t>. In addition, the Borrower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Conflict with Issuer Documents</w:t>
      </w:r>
      <w:r>
        <w:rPr>
          <w:rFonts w:ascii="Times New Roman" w:hAnsi="Times New Roman"/>
          <w:color w:val="000000"/>
          <w:sz w:val="22"/>
        </w:rPr>
        <w:t>. In the event of any conflict between the terms hereof and the terms of any Issuer Document, the terms hereof shall control.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w:t>
      </w:r>
      <w:r>
        <w:rPr>
          <w:rFonts w:ascii="Times New Roman" w:hAnsi="Times New Roman"/>
          <w:color w:val="000000"/>
          <w:sz w:val="22"/>
          <w:u w:val="single"/>
        </w:rPr>
        <w:t>Letters of Credit Issued for Subsidiaries</w:t>
      </w:r>
      <w:r>
        <w:rPr>
          <w:rFonts w:ascii="Times New Roman" w:hAnsi="Times New Roman"/>
          <w:color w:val="000000"/>
          <w:sz w:val="22"/>
        </w:rPr>
        <w:t>. Notwithstanding that a Letter of Credit issued or outstanding hereunder is in support of any obligations of, or is for the account of, a</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Subsidiary, the Borrower shall be obligated to reimburse each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(l) </w:t>
      </w:r>
      <w:r>
        <w:rPr>
          <w:rFonts w:ascii="Times New Roman" w:hAnsi="Times New Roman"/>
          <w:color w:val="000000"/>
          <w:sz w:val="22"/>
          <w:u w:val="single"/>
        </w:rPr>
        <w:t>Additional L/C Issuers</w:t>
      </w:r>
      <w:r>
        <w:rPr>
          <w:rFonts w:ascii="Times New Roman" w:hAnsi="Times New Roman"/>
          <w:color w:val="000000"/>
          <w:sz w:val="22"/>
        </w:rPr>
        <w:t>. Any Lender hereunder may become an L/C Issuer upon receipt by the Administrative Agent of a fully executed Notice of Additional L/C Issuer which shall be signed by the Borrower, the Administrative Agent and the applicable L/C Issuer. Such new L/C Issuer shall provide its L/C Commitment in such Notice of Additional L/C Issuer and upon the receipt by the Administrative Agent of the fully executed Notice of Additional L/C Issuer, the defined term L/C Commitment shall be deemed amended to incorporate the L/C Commitment of such new L/C Issuer.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(m) </w:t>
      </w:r>
      <w:r>
        <w:rPr>
          <w:rFonts w:ascii="Times New Roman" w:hAnsi="Times New Roman"/>
          <w:color w:val="000000"/>
          <w:sz w:val="22"/>
          <w:u w:val="single"/>
        </w:rPr>
        <w:t>L/C Issuer Reports to the Administrative Agent</w:t>
      </w:r>
      <w:r>
        <w:rPr>
          <w:rFonts w:ascii="Times New Roman" w:hAnsi="Times New Roman"/>
          <w:color w:val="000000"/>
          <w:sz w:val="22"/>
        </w:rPr>
        <w:t xml:space="preserve">. Unless otherwise agreed by the Administrative Agent, each L/C Issuer shall, in addition to its notification obligations set forth elsewhere in this </w:t>
      </w:r>
      <w:r>
        <w:rPr>
          <w:rFonts w:ascii="Times New Roman" w:hAnsi="Times New Roman"/>
          <w:color w:val="000000"/>
          <w:sz w:val="22"/>
          <w:u w:val="single"/>
        </w:rPr>
        <w:t>Section 2.03</w:t>
      </w:r>
      <w:r>
        <w:rPr>
          <w:rFonts w:ascii="Times New Roman" w:hAnsi="Times New Roman"/>
          <w:color w:val="000000"/>
          <w:sz w:val="22"/>
        </w:rPr>
        <w:t>, provide the Administrative Agent a Letter of Credit Report, as set forth below: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reasonably prior to the time that such L/C Issuer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on each Business Day on which such L/C Issuer makes a payment pursuant to a Letter of Credit, the date and amount of such payment;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on any Business Day on which the Borrower fails to reimburse a payment made pursuant to a Letter of Credit required to be reimbursed to such L/C Issuer on such day, the date of such failure and the amount of such payment;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on any other Business Day, such other information as the Administrative Agent shall reasonably request as to the Letters of Credit issued by such L/C Issuer;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for so long as any Letter of Credit issued by an L/C Issuer is outstanding, such L/C Issuer shall deliver to the Administrative Agent (A) on the last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 completed with the information for every outstanding Letter of Credit issued by such L/C Issuer</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2.04 </w:t>
      </w:r>
      <w:r>
        <w:rPr>
          <w:rFonts w:ascii="Times New Roman" w:hAnsi="Times New Roman"/>
          <w:b w:val="false"/>
          <w:color w:val="000000"/>
          <w:sz w:val="22"/>
          <w:u w:val="single"/>
        </w:rPr>
        <w:t>[Reserved]</w:t>
      </w:r>
      <w:r>
        <w:rPr>
          <w:rFonts w:ascii="Times New Roman" w:hAnsi="Times New Roman"/>
          <w:b w:val="false"/>
          <w:color w:val="000000"/>
          <w:sz w:val="22"/>
        </w:rPr>
        <w: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2.05 </w:t>
      </w:r>
      <w:r>
        <w:rPr>
          <w:rFonts w:ascii="Times New Roman" w:hAnsi="Times New Roman"/>
          <w:b w:val="false"/>
          <w:color w:val="000000"/>
          <w:sz w:val="22"/>
          <w:u w:val="single"/>
        </w:rPr>
        <w:t>Prepayments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Voluntary Prepayments</w:t>
      </w:r>
      <w:r>
        <w:rPr>
          <w:rFonts w:ascii="Times New Roman" w:hAnsi="Times New Roman"/>
          <w:color w:val="000000"/>
          <w:sz w:val="22"/>
        </w:rPr>
        <w:t xml:space="preserve">. The Borrower may, upon notice from the Borrower to the Administrative Agent pursuant to delivery to the Administrative Agent of a Notice of Loan Prepayment, at any time or from time to time voluntarily prepay Revolving Loans and/or the Term Loans in whole or in part without premium or penalty;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unless otherwise agreed by the Administrative Agent, (A) such notice must be received by the Administrative Agent not later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than 11:00 a.m. (2) two Business Days prior to any date of prepayment of Term SOFR Loans and (2) on the date of prepayment of Base Rate Loans, (B) any such prepayment of Term SOFR Loans shall be in a principal amount of $1,000,000 or a whole multiple of $500,000 in excess thereof (or, if less, the entire principal amount thereof then outstanding), (C) any prepayment of Base Rate Loans shall be in a principal amount of $500,000 or a whole multiple of $100,000 in excess thereof (or, if less, the entire principal amount thereof then outstanding) and (D) any prepayment of any Incremental Term Loan shall be applied as provided in the relevant Incremental Amendment. Each such notice shall specify the date and amount of such prepayment and the Type(s) and Class(es) of Loans to be prepaid and, if Term SOFR Loans are to be prepaid, the Interest Period(s) of such Loans. The Administrative Agent will promptly notify each appropriate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Term SOFR Loan shall be accompanied by all accrued interest on the amount prepaid, together with any additional amounts required pursuant to </w:t>
      </w:r>
      <w:r>
        <w:rPr>
          <w:rFonts w:ascii="Times New Roman" w:hAnsi="Times New Roman"/>
          <w:color w:val="000000"/>
          <w:sz w:val="22"/>
          <w:u w:val="single"/>
        </w:rPr>
        <w:t>Section 3.05</w:t>
      </w:r>
      <w:r>
        <w:rPr>
          <w:rFonts w:ascii="Times New Roman" w:hAnsi="Times New Roman"/>
          <w:color w:val="000000"/>
          <w:sz w:val="22"/>
        </w:rPr>
        <w:t xml:space="preserve">. Subject to </w:t>
      </w:r>
      <w:r>
        <w:rPr>
          <w:rFonts w:ascii="Times New Roman" w:hAnsi="Times New Roman"/>
          <w:color w:val="000000"/>
          <w:sz w:val="22"/>
          <w:u w:val="single"/>
        </w:rPr>
        <w:t>Section 2.15</w:t>
      </w:r>
      <w:r>
        <w:rPr>
          <w:rFonts w:ascii="Times New Roman" w:hAnsi="Times New Roman"/>
          <w:color w:val="000000"/>
          <w:sz w:val="22"/>
        </w:rPr>
        <w:t>, each such prepayment shall be applied to the Loans of the Lenders in accordance with their respective Applicable Percentages.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Mandatory Prepayments of Loans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Revolving Commitments</w:t>
      </w:r>
      <w:r>
        <w:rPr>
          <w:rFonts w:ascii="Times New Roman" w:hAnsi="Times New Roman"/>
          <w:color w:val="000000"/>
          <w:sz w:val="22"/>
        </w:rPr>
        <w:t xml:space="preserve">. If for any reason the Total Revolving Outstandings at any time exceed the Aggregate Revolving Commitments then in effect, the Borrower shall immediately prepay Revolving Loans and/or Cash Collateralize the L/C Obligations in an aggregate amount equal to such excess;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Borrower shall not be required to Cash Collateralize the L/C Obligations pursuant to this </w:t>
      </w:r>
      <w:r>
        <w:rPr>
          <w:rFonts w:ascii="Times New Roman" w:hAnsi="Times New Roman"/>
          <w:color w:val="000000"/>
          <w:sz w:val="22"/>
          <w:u w:val="single"/>
        </w:rPr>
        <w:t>Section 2.05(b)(i)</w:t>
      </w:r>
      <w:r>
        <w:rPr>
          <w:rFonts w:ascii="Times New Roman" w:hAnsi="Times New Roman"/>
          <w:color w:val="000000"/>
          <w:sz w:val="20"/>
        </w:rPr>
        <w:t xml:space="preserve"> </w:t>
      </w:r>
      <w:r>
        <w:rPr>
          <w:rFonts w:ascii="Times New Roman" w:hAnsi="Times New Roman"/>
          <w:color w:val="000000"/>
          <w:sz w:val="22"/>
        </w:rPr>
        <w:t>unless after the prepayment in full of the Revolving Loans the Total Revolving Outstandings exceed the Aggregate Revolving Commitments then in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t>
      </w:r>
      <w:r>
        <w:rPr>
          <w:rFonts w:ascii="Times New Roman" w:hAnsi="Times New Roman"/>
          <w:color w:val="000000"/>
          <w:sz w:val="22"/>
          <w:u w:val="single"/>
        </w:rPr>
        <w:t>Application of Mandatory Prepayments</w:t>
      </w:r>
      <w:r>
        <w:rPr>
          <w:rFonts w:ascii="Times New Roman" w:hAnsi="Times New Roman"/>
          <w:color w:val="000000"/>
          <w:sz w:val="22"/>
        </w:rPr>
        <w:t xml:space="preserve">. All amounts required to be paid pursuant to this </w:t>
      </w:r>
      <w:r>
        <w:rPr>
          <w:rFonts w:ascii="Times New Roman" w:hAnsi="Times New Roman"/>
          <w:color w:val="000000"/>
          <w:sz w:val="22"/>
          <w:u w:val="single"/>
        </w:rPr>
        <w:t>Section 2.05(b)</w:t>
      </w:r>
      <w:r>
        <w:rPr>
          <w:rFonts w:ascii="Times New Roman" w:hAnsi="Times New Roman"/>
          <w:color w:val="000000"/>
          <w:sz w:val="20"/>
        </w:rPr>
        <w:t xml:space="preserve"> </w:t>
      </w:r>
      <w:r>
        <w:rPr>
          <w:rFonts w:ascii="Times New Roman" w:hAnsi="Times New Roman"/>
          <w:color w:val="000000"/>
          <w:sz w:val="22"/>
        </w:rPr>
        <w:t xml:space="preserve">shall be applied: </w:t>
      </w:r>
      <w:r>
        <w:rPr>
          <w:rFonts w:ascii="Times New Roman" w:hAnsi="Times New Roman"/>
          <w:color w:val="000000"/>
          <w:sz w:val="22"/>
          <w:u w:val="single"/>
        </w:rPr>
        <w:t>first</w:t>
      </w:r>
      <w:r>
        <w:rPr>
          <w:rFonts w:ascii="Times New Roman" w:hAnsi="Times New Roman"/>
          <w:color w:val="000000"/>
          <w:sz w:val="22"/>
        </w:rPr>
        <w:t xml:space="preserve">, ratably to the L/C Borrowings, </w:t>
      </w:r>
      <w:r>
        <w:rPr>
          <w:rFonts w:ascii="Times New Roman" w:hAnsi="Times New Roman"/>
          <w:color w:val="000000"/>
          <w:sz w:val="22"/>
          <w:u w:val="single"/>
        </w:rPr>
        <w:t>second</w:t>
      </w:r>
      <w:r>
        <w:rPr>
          <w:rFonts w:ascii="Times New Roman" w:hAnsi="Times New Roman"/>
          <w:color w:val="000000"/>
          <w:sz w:val="22"/>
        </w:rPr>
        <w:t xml:space="preserve">, to the outstanding Revolving Loans, and, </w:t>
      </w:r>
      <w:r>
        <w:rPr>
          <w:rFonts w:ascii="Times New Roman" w:hAnsi="Times New Roman"/>
          <w:color w:val="000000"/>
          <w:sz w:val="22"/>
          <w:u w:val="single"/>
        </w:rPr>
        <w:t>third</w:t>
      </w:r>
      <w:r>
        <w:rPr>
          <w:rFonts w:ascii="Times New Roman" w:hAnsi="Times New Roman"/>
          <w:color w:val="000000"/>
          <w:sz w:val="22"/>
        </w:rPr>
        <w:t xml:space="preserve">, to Cash Collateralize the remaining L/C Obligations (if required by the provision of </w:t>
      </w:r>
      <w:r>
        <w:rPr>
          <w:rFonts w:ascii="Times New Roman" w:hAnsi="Times New Roman"/>
          <w:color w:val="000000"/>
          <w:sz w:val="22"/>
          <w:u w:val="single"/>
        </w:rPr>
        <w:t>Section 2.05(b)(i)</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Within the parameters of the applications set forth above, prepayments shall be applied first to Base Rate Loans and then to Term SOFR Loans in direct order of Interest Period maturities. All prepayments under this </w:t>
      </w:r>
      <w:r>
        <w:rPr>
          <w:rFonts w:ascii="Times New Roman" w:hAnsi="Times New Roman"/>
          <w:color w:val="000000"/>
          <w:sz w:val="22"/>
          <w:u w:val="single"/>
        </w:rPr>
        <w:t>Section 2.05(b)</w:t>
      </w:r>
      <w:r>
        <w:rPr>
          <w:rFonts w:ascii="Times New Roman" w:hAnsi="Times New Roman"/>
          <w:color w:val="000000"/>
          <w:sz w:val="20"/>
        </w:rPr>
        <w:t xml:space="preserve"> </w:t>
      </w:r>
      <w:r>
        <w:rPr>
          <w:rFonts w:ascii="Times New Roman" w:hAnsi="Times New Roman"/>
          <w:color w:val="000000"/>
          <w:sz w:val="22"/>
        </w:rPr>
        <w:t xml:space="preserve">shall be subject to </w:t>
      </w:r>
      <w:r>
        <w:rPr>
          <w:rFonts w:ascii="Times New Roman" w:hAnsi="Times New Roman"/>
          <w:color w:val="000000"/>
          <w:sz w:val="22"/>
          <w:u w:val="single"/>
        </w:rPr>
        <w:t>Section 3.05</w:t>
      </w:r>
      <w:r>
        <w:rPr>
          <w:rFonts w:ascii="Times New Roman" w:hAnsi="Times New Roman"/>
          <w:color w:val="000000"/>
          <w:sz w:val="22"/>
        </w:rPr>
        <w:t>, but otherwise without premium or penalty, and shall be accompanied by interest on the principal amount prepaid through the date of prepayment.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2.06 </w:t>
      </w:r>
      <w:r>
        <w:rPr>
          <w:rFonts w:ascii="Times New Roman" w:hAnsi="Times New Roman"/>
          <w:b w:val="false"/>
          <w:color w:val="000000"/>
          <w:sz w:val="22"/>
          <w:u w:val="single"/>
        </w:rPr>
        <w:t>Optional Reductions of the Aggregate Revolving Commitments</w:t>
      </w:r>
      <w:r>
        <w:rPr>
          <w:rFonts w:ascii="Times New Roman" w:hAnsi="Times New Roman"/>
          <w:b w:val="false"/>
          <w:color w:val="000000"/>
          <w:sz w:val="22"/>
        </w:rPr>
        <w:t xml:space="preserve">. The Borrower may, upon notice to the Administrative Agent, terminate the Aggregate Revolving Commitments, or from time to time permanently reduce the Aggregate Revolving Commitments;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that</w:t>
      </w:r>
      <w:r>
        <w:rPr>
          <w:rFonts w:ascii="Times New Roman" w:hAnsi="Times New Roman"/>
          <w:b w:val="false"/>
          <w:color w:val="000000"/>
          <w:sz w:val="22"/>
        </w:rPr>
        <w:t>, unless otherwise agreed by the Administrative Agent, (i) any such notice shall be received by the Administrative Agent not later than 11:00 a.m. three Business Days prior to the date of termination or reduction, (ii) any such partial reduction shall be in an aggregate amount of $5,000,000 or any whole multiple of $1,000,000 in excess thereof, (iii) the Borrower shall not terminate or reduce the Aggregate Revolving Commitments if, after giving effect thereto and to any concurrent prepayments hereunder, the Total Revolving Outstandings would exceed the Aggregate Revolving Commitments and (iv) if, after giving effect to any reduction of the Aggregate Revolving Commitments or the Letter of Credit Sublimit exceeds the amount of the Aggregate Revolving Commitments, such sublimit shall be automatically reduced by the amount of such excess. The Administrative Agent will promptly notify the Lenders of any such notice of termination or reduction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the Aggregate Revolving Commitments. Any reduction of the Aggregate Revolving Commitments shall be applied to the Revolving Commitment of each Lender according to its Applicable Revolving Percentage. All fees accrued until the effective date of any termination of the Aggregate Revolving Commitments shall be paid on the effective date of such termination.</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2.07 </w:t>
      </w:r>
      <w:r>
        <w:rPr>
          <w:rFonts w:ascii="Times New Roman" w:hAnsi="Times New Roman"/>
          <w:b w:val="false"/>
          <w:color w:val="000000"/>
          <w:sz w:val="22"/>
          <w:u w:val="single"/>
        </w:rPr>
        <w:t>Repayment of Loans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Revolving Loans</w:t>
      </w:r>
      <w:r>
        <w:rPr>
          <w:rFonts w:ascii="Times New Roman" w:hAnsi="Times New Roman"/>
          <w:color w:val="000000"/>
          <w:sz w:val="22"/>
        </w:rPr>
        <w:t>. The Borrower shall repay to the Lenders on the Maturity Date for the Revolving Loans the aggregate principal amount of all Revolving Loans outstanding on such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Incremental Term Loans</w:t>
      </w:r>
      <w:r>
        <w:rPr>
          <w:rFonts w:ascii="Times New Roman" w:hAnsi="Times New Roman"/>
          <w:color w:val="000000"/>
          <w:sz w:val="22"/>
        </w:rPr>
        <w:t xml:space="preserve">. The Borrower shall repay the outstanding principal amount of each Incremental Term Loan as provided in the applicable Incremental Amendment, unless accelerated sooner pursuant to </w:t>
      </w:r>
      <w:r>
        <w:rPr>
          <w:rFonts w:ascii="Times New Roman" w:hAnsi="Times New Roman"/>
          <w:color w:val="000000"/>
          <w:sz w:val="22"/>
          <w:u w:val="single"/>
        </w:rPr>
        <w:t>Section 9.02</w:t>
      </w:r>
      <w:r>
        <w:rPr>
          <w:rFonts w:ascii="Times New Roman" w:hAnsi="Times New Roman"/>
          <w:color w:val="000000"/>
          <w:sz w:val="22"/>
        </w:rPr>
        <w: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2.08 </w:t>
      </w:r>
      <w:r>
        <w:rPr>
          <w:rFonts w:ascii="Times New Roman" w:hAnsi="Times New Roman"/>
          <w:b w:val="false"/>
          <w:color w:val="000000"/>
          <w:sz w:val="22"/>
          <w:u w:val="single"/>
        </w:rPr>
        <w:t>Interest</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Subject to the provisions of </w:t>
      </w:r>
      <w:r>
        <w:rPr>
          <w:rFonts w:ascii="Times New Roman" w:hAnsi="Times New Roman"/>
          <w:color w:val="000000"/>
          <w:sz w:val="22"/>
          <w:u w:val="single"/>
        </w:rPr>
        <w:t>Section 2.08 (b)</w:t>
      </w:r>
      <w:r>
        <w:rPr>
          <w:rFonts w:ascii="Times New Roman" w:hAnsi="Times New Roman"/>
          <w:color w:val="000000"/>
          <w:sz w:val="22"/>
        </w:rPr>
        <w:t xml:space="preserve">, (i) each Term SOFR Loan shall bear interest on the outstanding principal amount thereof for each Interest Period at a rate per annum equal to the Term SOFR for such Interest Period plus the Applicable Rate and (ii) each Base Rate Loan shall bear interest on the outstanding principal amount thereof from the applicable borrowing date at a rate per annum equal to the Base Rate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the Applicable Rate. To the extent that any calculation of interest or any fee required to be paid under this Agreement shall be based on (or would result in) a calculation that is less than zero, such calculation shall be deemed zero for purposes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Upon the request of the Required Lenders, while any Event of Default exists, the Borrower shall pay interest on the principal amount of all outstanding Obligations hereunder at a fluctuating interest rate per annum at all times equal to the Default Rate to the fullest extent permitted by applicable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Accrued and unpaid interest on past due amounts (including interest on past due interest) shall be due and payable upon demand.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pStyle w:val="TextBody"/>
        <w:bidi w:val="0"/>
        <w:jc w:val="center"/>
        <w:rPr>
          <w:rFonts w:ascii="Times New Roman" w:hAnsi="Times New Roman"/>
          <w:color w:val="000000"/>
          <w:sz w:val="22"/>
        </w:rPr>
      </w:pPr>
      <w:r>
        <w:rPr>
          <w:rFonts w:ascii="Times New Roman" w:hAnsi="Times New Roman"/>
          <w:color w:val="000000"/>
          <w:sz w:val="22"/>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2.09 </w:t>
      </w:r>
      <w:r>
        <w:rPr>
          <w:rFonts w:ascii="Times New Roman" w:hAnsi="Times New Roman"/>
          <w:b w:val="false"/>
          <w:color w:val="000000"/>
          <w:sz w:val="22"/>
          <w:u w:val="single"/>
        </w:rPr>
        <w:t>Fees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 addition to certain fees described in </w:t>
      </w:r>
      <w:r>
        <w:rPr>
          <w:rFonts w:ascii="Times New Roman" w:hAnsi="Times New Roman"/>
          <w:color w:val="000000"/>
          <w:sz w:val="22"/>
          <w:u w:val="single"/>
        </w:rPr>
        <w:t>Sections 2.03(h)</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(i)</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Commitment Fee</w:t>
      </w:r>
      <w:r>
        <w:rPr>
          <w:rFonts w:ascii="Times New Roman" w:hAnsi="Times New Roman"/>
          <w:color w:val="000000"/>
          <w:sz w:val="22"/>
        </w:rPr>
        <w:t>. The Borrower shall pay to the Administrative Agent, for the account of each Lender with a Revolving Commitment, in accordance with its Applicable Revolving Percentage, a commitment fee (the “</w:t>
      </w:r>
      <w:r>
        <w:rPr>
          <w:rFonts w:ascii="Times New Roman" w:hAnsi="Times New Roman"/>
          <w:color w:val="000000"/>
          <w:sz w:val="22"/>
          <w:u w:val="single"/>
        </w:rPr>
        <w:t>Commitment Fee</w:t>
      </w:r>
      <w:r>
        <w:rPr>
          <w:rFonts w:ascii="Times New Roman" w:hAnsi="Times New Roman"/>
          <w:color w:val="000000"/>
          <w:sz w:val="20"/>
        </w:rPr>
        <w:t>”</w:t>
      </w:r>
      <w:r>
        <w:rPr>
          <w:rFonts w:ascii="Times New Roman" w:hAnsi="Times New Roman"/>
          <w:color w:val="000000"/>
          <w:sz w:val="22"/>
        </w:rPr>
        <w:t xml:space="preserve">) equal to the product of (i) the Applicable Rate </w:t>
      </w:r>
      <w:r>
        <w:rPr>
          <w:rFonts w:ascii="Times New Roman" w:hAnsi="Times New Roman"/>
          <w:color w:val="000000"/>
          <w:sz w:val="22"/>
          <w:u w:val="single"/>
        </w:rPr>
        <w:t>times</w:t>
      </w:r>
      <w:r>
        <w:rPr>
          <w:rFonts w:ascii="Times New Roman" w:hAnsi="Times New Roman"/>
          <w:color w:val="000000"/>
          <w:sz w:val="20"/>
        </w:rPr>
        <w:t xml:space="preserve"> </w:t>
      </w:r>
      <w:r>
        <w:rPr>
          <w:rFonts w:ascii="Times New Roman" w:hAnsi="Times New Roman"/>
          <w:color w:val="000000"/>
          <w:sz w:val="22"/>
        </w:rPr>
        <w:t xml:space="preserve">(ii) the actual daily amount by which the Aggregate Revolving Commitments exceed the sum of (A) the Outstanding Amount of Revolving Loans and (B) the Outstanding Amount of L/C Obligations, subject to adjustment as provided in </w:t>
      </w:r>
      <w:r>
        <w:rPr>
          <w:rFonts w:ascii="Times New Roman" w:hAnsi="Times New Roman"/>
          <w:color w:val="000000"/>
          <w:sz w:val="22"/>
          <w:u w:val="single"/>
        </w:rPr>
        <w:t>Section 2.15</w:t>
      </w:r>
      <w:r>
        <w:rPr>
          <w:rFonts w:ascii="Times New Roman" w:hAnsi="Times New Roman"/>
          <w:color w:val="000000"/>
          <w:sz w:val="22"/>
        </w:rPr>
        <w:t xml:space="preserve">. The Commitment Fee shall accrue at all times during the Availability Period, including at any time during which one or more of the conditions in </w:t>
      </w:r>
      <w:r>
        <w:rPr>
          <w:rFonts w:ascii="Times New Roman" w:hAnsi="Times New Roman"/>
          <w:color w:val="000000"/>
          <w:sz w:val="22"/>
          <w:u w:val="single"/>
        </w:rPr>
        <w:t>Article V</w:t>
      </w:r>
      <w:r>
        <w:rPr>
          <w:rFonts w:ascii="Times New Roman" w:hAnsi="Times New Roman"/>
          <w:color w:val="000000"/>
          <w:sz w:val="20"/>
        </w:rPr>
        <w:t xml:space="preserve"> </w:t>
      </w:r>
      <w:r>
        <w:rPr>
          <w:rFonts w:ascii="Times New Roman" w:hAnsi="Times New Roman"/>
          <w:color w:val="000000"/>
          <w:sz w:val="22"/>
        </w:rPr>
        <w:t>is not met, and shall be due and payable quarterly in arrears on the last Business Day of each January, April, July and October, commencing with the first such date to occur after the Effective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Other Fees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Borrower shall pay the Administrative Agent, for its own account, fees in the amounts and at the times specified in the Fee Letter. Such fees shall be fully earned when paid and shall not be refundable for any reason whatsoever.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The Borrower shall pay to the Lenders such fees as shall have been separately agreed upon in writing in the amounts and at the times so specified. Such fees shall be fully earned when paid and shall not be refundable for any reason whatsoever.</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2.10 </w:t>
      </w:r>
      <w:r>
        <w:rPr>
          <w:rFonts w:ascii="Times New Roman" w:hAnsi="Times New Roman"/>
          <w:b w:val="false"/>
          <w:color w:val="000000"/>
          <w:sz w:val="22"/>
          <w:u w:val="single"/>
        </w:rPr>
        <w:t>Computation of Interest and Fees; Retroactive Adjustments of Applicable Rate</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All computations of interest for Base Rate Loans (including Base Rate Loans determined by reference to the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Loan that is repaid on the same day on which it is made shall, subject to </w:t>
      </w:r>
      <w:r>
        <w:rPr>
          <w:rFonts w:ascii="Times New Roman" w:hAnsi="Times New Roman"/>
          <w:color w:val="000000"/>
          <w:sz w:val="22"/>
          <w:u w:val="single"/>
        </w:rPr>
        <w:t>Section 2.12(a)</w:t>
      </w:r>
      <w:r>
        <w:rPr>
          <w:rFonts w:ascii="Times New Roman" w:hAnsi="Times New Roman"/>
          <w:color w:val="000000"/>
          <w:sz w:val="22"/>
        </w:rPr>
        <w:t>, bear interest for one day. Each determination by the Administrative Agent of an interest rate or fee hereunder shall be conclusive and binding for all purposes, absent manifest error.</w:t>
      </w:r>
    </w:p>
    <w:p>
      <w:pPr>
        <w:pStyle w:val="TextBody"/>
        <w:bidi w:val="0"/>
        <w:spacing w:before="0" w:after="240"/>
        <w:jc w:val="both"/>
        <w:rPr>
          <w:rFonts w:ascii="Times New Roman" w:hAnsi="Times New Roman"/>
          <w:sz w:val="20"/>
        </w:rPr>
      </w:pPr>
      <w:r>
        <w:rPr>
          <w:rFonts w:ascii="Times New Roman" w:hAnsi="Times New Roman"/>
          <w:color w:val="000000"/>
          <w:sz w:val="22"/>
        </w:rPr>
        <w:t>(b) If, as a result of any restatement of or other adjustment to the financial statements of the Borrower or for any other reason, the Borrower or the Lenders determine that (i) the Consolidated Leverage Ratio as calculated by the Borrower as of any applicable date was inaccurate and (ii) a proper calculation of the Consolidated Leverage Ratio would have resulted in higher pricing for such period, the Borrower shall immediately and retroactively be obligated to pay to the Administrative Agent, for the account of the applicable Lenders or the L/C Issuers,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any L/C Issuer, as the case may be, under this Agreement. The Borrower’s obligations under this paragraph shall survive the Facility Termination Date.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2.11 </w:t>
      </w:r>
      <w:r>
        <w:rPr>
          <w:rFonts w:ascii="Times New Roman" w:hAnsi="Times New Roman"/>
          <w:b w:val="false"/>
          <w:color w:val="000000"/>
          <w:sz w:val="22"/>
          <w:u w:val="single"/>
        </w:rPr>
        <w:t>Evidence of Debt</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Credit Extensions made by each Lender shall be evidenced by one or more accounts or records maintained by such Lender and by the Administrative Agent in the ordinary course of business. The Administrative Agent shall maintain the Register in accordance with </w:t>
      </w:r>
      <w:r>
        <w:rPr>
          <w:rFonts w:ascii="Times New Roman" w:hAnsi="Times New Roman"/>
          <w:color w:val="000000"/>
          <w:sz w:val="22"/>
          <w:u w:val="single"/>
        </w:rPr>
        <w:t>Section 11.06(c)</w:t>
      </w:r>
      <w:r>
        <w:rPr>
          <w:rFonts w:ascii="Times New Roman" w:hAnsi="Times New Roman"/>
          <w:color w:val="000000"/>
          <w:sz w:val="22"/>
        </w:rPr>
        <w:t xml:space="preserve">.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 shall execute and deliver to such Lender (through the Administrative Agent) a promissory note, which shall evidence such Lender’s Loans in addition to such accounts or records. Each such promissory note shall be in the form of </w:t>
      </w:r>
      <w:r>
        <w:rPr>
          <w:rFonts w:ascii="Times New Roman" w:hAnsi="Times New Roman"/>
          <w:color w:val="000000"/>
          <w:sz w:val="22"/>
          <w:u w:val="single"/>
        </w:rPr>
        <w:t>Exhibit C</w:t>
      </w:r>
      <w:r>
        <w:rPr>
          <w:rFonts w:ascii="Times New Roman" w:hAnsi="Times New Roman"/>
          <w:color w:val="000000"/>
          <w:sz w:val="20"/>
        </w:rPr>
        <w:t xml:space="preserve"> </w:t>
      </w:r>
      <w:r>
        <w:rPr>
          <w:rFonts w:ascii="Times New Roman" w:hAnsi="Times New Roman"/>
          <w:color w:val="000000"/>
          <w:sz w:val="22"/>
        </w:rPr>
        <w:t>(a “</w:t>
      </w:r>
      <w:r>
        <w:rPr>
          <w:rFonts w:ascii="Times New Roman" w:hAnsi="Times New Roman"/>
          <w:color w:val="000000"/>
          <w:sz w:val="22"/>
          <w:u w:val="single"/>
        </w:rPr>
        <w:t>Note</w:t>
      </w:r>
      <w:r>
        <w:rPr>
          <w:rFonts w:ascii="Times New Roman" w:hAnsi="Times New Roman"/>
          <w:color w:val="000000"/>
          <w:sz w:val="20"/>
        </w:rPr>
        <w:t>”</w:t>
      </w:r>
      <w:r>
        <w:rPr>
          <w:rFonts w:ascii="Times New Roman" w:hAnsi="Times New Roman"/>
          <w:color w:val="000000"/>
          <w:sz w:val="22"/>
        </w:rPr>
        <w:t>). Each Lender may attach schedules to its Note and endorse thereon the date, Type (if applicable), amount and maturity of its Loans and payments with respect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In addition to the accounts and records referred to in </w:t>
      </w:r>
      <w:r>
        <w:rPr>
          <w:rFonts w:ascii="Times New Roman" w:hAnsi="Times New Roman"/>
          <w:color w:val="000000"/>
          <w:sz w:val="22"/>
          <w:u w:val="single"/>
        </w:rPr>
        <w:t>Section 2.11(a)</w:t>
      </w:r>
      <w:r>
        <w:rPr>
          <w:rFonts w:ascii="Times New Roman" w:hAnsi="Times New Roman"/>
          <w:color w:val="000000"/>
          <w:sz w:val="22"/>
        </w:rPr>
        <w:t>, each Lender and the Administrative Agent shall maintain in accordance with its usual practice accounts or records evidencing the purchases and sales by such Lender of participations in Letters of Credit.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2.12 </w:t>
      </w:r>
      <w:r>
        <w:rPr>
          <w:rFonts w:ascii="Times New Roman" w:hAnsi="Times New Roman"/>
          <w:b w:val="false"/>
          <w:color w:val="000000"/>
          <w:sz w:val="22"/>
          <w:u w:val="single"/>
        </w:rPr>
        <w:t>Payments Generally; Administrative Agent’s Clawback</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General</w:t>
      </w:r>
      <w:r>
        <w:rPr>
          <w:rFonts w:ascii="Times New Roman" w:hAnsi="Times New Roman"/>
          <w:color w:val="000000"/>
          <w:sz w:val="22"/>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(or, in the case of principal repayment installments on Term SOFR Loans, if the result of such extension would be to extend such principal repayment installment into another calendar month, such principal repayment installment shall be due on the immediately preceding Business Day), and such extension of time shall be reflected in computing interest or fees, as the case may be.</w:t>
      </w:r>
    </w:p>
    <w:p>
      <w:pPr>
        <w:pStyle w:val="TextBody"/>
        <w:bidi w:val="0"/>
        <w:jc w:val="center"/>
        <w:rPr>
          <w:rFonts w:ascii="Times New Roman" w:hAnsi="Times New Roman"/>
          <w:color w:val="000000"/>
          <w:sz w:val="22"/>
        </w:rPr>
      </w:pPr>
      <w:r>
        <w:rPr>
          <w:rFonts w:ascii="Times New Roman" w:hAnsi="Times New Roman"/>
          <w:color w:val="000000"/>
          <w:sz w:val="22"/>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 </w:t>
      </w:r>
      <w:r>
        <w:rPr>
          <w:rFonts w:ascii="Times New Roman" w:hAnsi="Times New Roman"/>
          <w:color w:val="000000"/>
          <w:sz w:val="22"/>
          <w:u w:val="single"/>
        </w:rPr>
        <w:t>Funding by Lenders; Presumption by Administrative Agent</w:t>
      </w:r>
      <w:r>
        <w:rPr>
          <w:rFonts w:ascii="Times New Roman" w:hAnsi="Times New Roman"/>
          <w:color w:val="000000"/>
          <w:sz w:val="22"/>
        </w:rPr>
        <w:t xml:space="preserve">. Unless the Administrative Agent shall have received notice from a Lender prior to the proposed date of any Borrowing of Term SOFR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hAnsi="Times New Roman"/>
          <w:color w:val="000000"/>
          <w:sz w:val="22"/>
          <w:u w:val="single"/>
        </w:rPr>
        <w:t>Section 2.02</w:t>
      </w:r>
      <w:r>
        <w:rPr>
          <w:rFonts w:ascii="Times New Roman" w:hAnsi="Times New Roman"/>
          <w:color w:val="000000"/>
          <w:sz w:val="20"/>
        </w:rPr>
        <w:t xml:space="preserve"> </w:t>
      </w:r>
      <w:r>
        <w:rPr>
          <w:rFonts w:ascii="Times New Roman" w:hAnsi="Times New Roman"/>
          <w:color w:val="000000"/>
          <w:sz w:val="22"/>
        </w:rPr>
        <w:t xml:space="preserve">(or, in the case of a Borrowing of Base Rate Loans, that such Lender has made such share available in accordance with and at the time required by </w:t>
      </w:r>
      <w:r>
        <w:rPr>
          <w:rFonts w:ascii="Times New Roman" w:hAnsi="Times New Roman"/>
          <w:color w:val="000000"/>
          <w:sz w:val="22"/>
          <w:u w:val="single"/>
        </w:rPr>
        <w:t>Section 2.02</w:t>
      </w:r>
      <w:r>
        <w:rPr>
          <w:rFonts w:ascii="Times New Roman" w:hAnsi="Times New Roman"/>
          <w:color w:val="000000"/>
          <w:sz w:val="22"/>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reasonably determined by the Administrative Agent in accordance with banking industry rules on interbank compensation,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t>
      </w:r>
      <w:r>
        <w:rPr>
          <w:rFonts w:ascii="Times New Roman" w:hAnsi="Times New Roman"/>
          <w:color w:val="000000"/>
          <w:sz w:val="22"/>
          <w:u w:val="single"/>
        </w:rPr>
        <w:t>Payments by Borrower; Presumptions by Administrative Agent</w:t>
      </w:r>
      <w:r>
        <w:rPr>
          <w:rFonts w:ascii="Times New Roman" w:hAnsi="Times New Roman"/>
          <w:color w:val="000000"/>
          <w:sz w:val="22"/>
        </w:rPr>
        <w:t>. Unless the Administrative Agent shall have received notice from the Borrower prior to the date on which any payment is due to the Administrative Agent for the account of the Lenders or the L/C Issuers hereunder that the Borrower will not make such payment, the Administrative Agent may assume that the Borrower has made such payment on such date in accordance herewith and may, in reliance upon such assumption, distribute to the Lenders or the L/C Issuers, as the case may be, the amount due. 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Times New Roman" w:hAnsi="Times New Roman"/>
          <w:color w:val="000000"/>
          <w:sz w:val="22"/>
          <w:u w:val="single"/>
        </w:rPr>
        <w:t>Rescindable Amount</w:t>
      </w:r>
      <w:r>
        <w:rPr>
          <w:rFonts w:ascii="Times New Roman" w:hAnsi="Times New Roman"/>
          <w:color w:val="000000"/>
          <w:sz w:val="20"/>
        </w:rPr>
        <w:t>”</w:t>
      </w:r>
      <w:r>
        <w:rPr>
          <w:rFonts w:ascii="Times New Roman" w:hAnsi="Times New Roman"/>
          <w:color w:val="000000"/>
          <w:sz w:val="22"/>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L/C Issuer, as the case may be, severally agrees to repay to the Administrative Agent forthwith on demand the Rescindable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notice of the Administrative Agent to any Lender or the Borrower with respect to any amount owing under this </w:t>
      </w:r>
      <w:r>
        <w:rPr>
          <w:rFonts w:ascii="Times New Roman" w:hAnsi="Times New Roman"/>
          <w:color w:val="000000"/>
          <w:sz w:val="22"/>
          <w:u w:val="single"/>
        </w:rPr>
        <w:t>Section 2.12(b)</w:t>
      </w:r>
      <w:r>
        <w:rPr>
          <w:rFonts w:ascii="Times New Roman" w:hAnsi="Times New Roman"/>
          <w:color w:val="000000"/>
          <w:sz w:val="20"/>
        </w:rPr>
        <w:t xml:space="preserve"> </w:t>
      </w:r>
      <w:r>
        <w:rPr>
          <w:rFonts w:ascii="Times New Roman" w:hAnsi="Times New Roman"/>
          <w:color w:val="000000"/>
          <w:sz w:val="22"/>
        </w:rPr>
        <w:t>shall be conclusive, absent manifest error.</w:t>
      </w:r>
    </w:p>
    <w:p>
      <w:pPr>
        <w:pStyle w:val="TextBody"/>
        <w:bidi w:val="0"/>
        <w:jc w:val="center"/>
        <w:rPr>
          <w:rFonts w:ascii="Times New Roman" w:hAnsi="Times New Roman"/>
          <w:color w:val="000000"/>
          <w:sz w:val="22"/>
        </w:rPr>
      </w:pPr>
      <w:r>
        <w:rPr>
          <w:rFonts w:ascii="Times New Roman" w:hAnsi="Times New Roman"/>
          <w:color w:val="000000"/>
          <w:sz w:val="22"/>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Failure to Satisfy Conditions Precedent</w:t>
      </w:r>
      <w:r>
        <w:rPr>
          <w:rFonts w:ascii="Times New Roman" w:hAnsi="Times New Roman"/>
          <w:color w:val="000000"/>
          <w:sz w:val="22"/>
        </w:rPr>
        <w:t xml:space="preserve">. If any Lender makes available to the Administrative Agent funds for any Loan to be made by such Lender as provided in the foregoing provisions of this </w:t>
      </w:r>
      <w:r>
        <w:rPr>
          <w:rFonts w:ascii="Times New Roman" w:hAnsi="Times New Roman"/>
          <w:color w:val="000000"/>
          <w:sz w:val="22"/>
          <w:u w:val="single"/>
        </w:rPr>
        <w:t>Article II</w:t>
      </w:r>
      <w:r>
        <w:rPr>
          <w:rFonts w:ascii="Times New Roman" w:hAnsi="Times New Roman"/>
          <w:color w:val="000000"/>
          <w:sz w:val="22"/>
        </w:rPr>
        <w:t xml:space="preserve">, and such funds are not made available to the Borrower by the Administrative Agent because the conditions to the applicable Credit Extension set forth in </w:t>
      </w:r>
      <w:r>
        <w:rPr>
          <w:rFonts w:ascii="Times New Roman" w:hAnsi="Times New Roman"/>
          <w:color w:val="000000"/>
          <w:sz w:val="22"/>
          <w:u w:val="single"/>
        </w:rPr>
        <w:t>Article V</w:t>
      </w:r>
      <w:r>
        <w:rPr>
          <w:rFonts w:ascii="Times New Roman" w:hAnsi="Times New Roman"/>
          <w:color w:val="000000"/>
          <w:sz w:val="20"/>
        </w:rPr>
        <w:t xml:space="preserve"> </w:t>
      </w:r>
      <w:r>
        <w:rPr>
          <w:rFonts w:ascii="Times New Roman" w:hAnsi="Times New Roman"/>
          <w:color w:val="000000"/>
          <w:sz w:val="22"/>
        </w:rPr>
        <w:t>are not satisfied or waived in accordance with the terms hereof, the Administrative Agent shall return such funds (in like funds as received from such Lender) to such Lender, without interest.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Obligations of Lenders Several</w:t>
      </w:r>
      <w:r>
        <w:rPr>
          <w:rFonts w:ascii="Times New Roman" w:hAnsi="Times New Roman"/>
          <w:color w:val="000000"/>
          <w:sz w:val="22"/>
        </w:rPr>
        <w:t xml:space="preserve">. The obligations of the Lenders hereunder to make Loans, to fund participations in Letters of Credit and to make payments pursuant to </w:t>
      </w:r>
      <w:r>
        <w:rPr>
          <w:rFonts w:ascii="Times New Roman" w:hAnsi="Times New Roman"/>
          <w:color w:val="000000"/>
          <w:sz w:val="22"/>
          <w:u w:val="single"/>
        </w:rPr>
        <w:t>Section 11.04(c)</w:t>
      </w:r>
      <w:r>
        <w:rPr>
          <w:rFonts w:ascii="Times New Roman" w:hAnsi="Times New Roman"/>
          <w:color w:val="000000"/>
          <w:sz w:val="20"/>
        </w:rPr>
        <w:t xml:space="preserve"> </w:t>
      </w:r>
      <w:r>
        <w:rPr>
          <w:rFonts w:ascii="Times New Roman" w:hAnsi="Times New Roman"/>
          <w:color w:val="000000"/>
          <w:sz w:val="22"/>
        </w:rPr>
        <w:t xml:space="preserve">are several and not joint. The failure of any Lender to make any Loan, to fund any such participation or to make any payment under </w:t>
      </w:r>
      <w:r>
        <w:rPr>
          <w:rFonts w:ascii="Times New Roman" w:hAnsi="Times New Roman"/>
          <w:color w:val="000000"/>
          <w:sz w:val="22"/>
          <w:u w:val="single"/>
        </w:rPr>
        <w:t>Section 11.04(c)</w:t>
      </w:r>
      <w:r>
        <w:rPr>
          <w:rFonts w:ascii="Times New Roman" w:hAnsi="Times New Roman"/>
          <w:color w:val="000000"/>
          <w:sz w:val="20"/>
        </w:rPr>
        <w:t xml:space="preserve"> </w:t>
      </w:r>
      <w:r>
        <w:rPr>
          <w:rFonts w:ascii="Times New Roman" w:hAnsi="Times New Roman"/>
          <w:color w:val="000000"/>
          <w:sz w:val="22"/>
        </w:rPr>
        <w:t xml:space="preserve">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hAnsi="Times New Roman"/>
          <w:color w:val="000000"/>
          <w:sz w:val="22"/>
          <w:u w:val="single"/>
        </w:rPr>
        <w:t>Section 11.04(c)</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Funding Source</w:t>
      </w:r>
      <w:r>
        <w:rPr>
          <w:rFonts w:ascii="Times New Roman" w:hAnsi="Times New Roman"/>
          <w:color w:val="000000"/>
          <w:sz w:val="22"/>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Insufficient Funds</w:t>
      </w:r>
      <w:r>
        <w:rPr>
          <w:rFonts w:ascii="Times New Roman" w:hAnsi="Times New Roman"/>
          <w:color w:val="000000"/>
          <w:sz w:val="22"/>
        </w:rPr>
        <w:t xml:space="preserve">. If at any time insufficient funds are received by and available to the Administrative Agent to pay fully all amounts of principal, L/C Borrowings, interest and fees then due hereunder, such funds shall be applied (i) </w:t>
      </w:r>
      <w:r>
        <w:rPr>
          <w:rFonts w:ascii="Times New Roman" w:hAnsi="Times New Roman"/>
          <w:color w:val="000000"/>
          <w:sz w:val="22"/>
          <w:u w:val="single"/>
        </w:rPr>
        <w:t>first</w:t>
      </w:r>
      <w:r>
        <w:rPr>
          <w:rFonts w:ascii="Times New Roman" w:hAnsi="Times New Roman"/>
          <w:color w:val="000000"/>
          <w:sz w:val="22"/>
        </w:rPr>
        <w:t xml:space="preserve">, toward payment of interest and fees then due hereunder, ratably among the parties entitled thereto in accordance with the amounts of interest and fees then due to such parties, and (ii) </w:t>
      </w:r>
      <w:r>
        <w:rPr>
          <w:rFonts w:ascii="Times New Roman" w:hAnsi="Times New Roman"/>
          <w:color w:val="000000"/>
          <w:sz w:val="22"/>
          <w:u w:val="single"/>
        </w:rPr>
        <w:t>second</w:t>
      </w:r>
      <w:r>
        <w:rPr>
          <w:rFonts w:ascii="Times New Roman" w:hAnsi="Times New Roman"/>
          <w:color w:val="000000"/>
          <w:sz w:val="22"/>
        </w:rPr>
        <w:t>, toward payment of principal and L/C Borrowings then due hereunder, ratably among the parties entitled thereto in accordance with the amounts of principal and L/C Borrowings then due to such parties.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2.13 </w:t>
      </w:r>
      <w:r>
        <w:rPr>
          <w:rFonts w:ascii="Times New Roman" w:hAnsi="Times New Roman"/>
          <w:b w:val="false"/>
          <w:color w:val="000000"/>
          <w:sz w:val="22"/>
          <w:u w:val="single"/>
        </w:rPr>
        <w:t>Sharing of Payments by Lenders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If any Lender shall, by exercising any right of setoff or counterclaim or otherwise, obtain payment in respect of any principal of or interest on any of the Loans made by it, or the participations in L/C Obligations, resulting in such Lender’s receiving payment of a proportion of the aggregate amount of such Loans or participations and accrued interest thereon greater than its </w:t>
      </w:r>
      <w:r>
        <w:rPr>
          <w:rFonts w:ascii="Times New Roman" w:hAnsi="Times New Roman"/>
          <w:color w:val="000000"/>
          <w:sz w:val="22"/>
          <w:u w:val="single"/>
        </w:rPr>
        <w:t>pro</w:t>
      </w:r>
      <w:r>
        <w:rPr>
          <w:rFonts w:ascii="Times New Roman" w:hAnsi="Times New Roman"/>
          <w:color w:val="000000"/>
          <w:sz w:val="20"/>
        </w:rPr>
        <w:t xml:space="preserve"> </w:t>
      </w:r>
      <w:r>
        <w:rPr>
          <w:rFonts w:ascii="Times New Roman" w:hAnsi="Times New Roman"/>
          <w:color w:val="000000"/>
          <w:sz w:val="22"/>
          <w:u w:val="single"/>
        </w:rPr>
        <w:t>rata</w:t>
      </w:r>
      <w:r>
        <w:rPr>
          <w:rFonts w:ascii="Times New Roman" w:hAnsi="Times New Roman"/>
          <w:color w:val="000000"/>
          <w:sz w:val="20"/>
        </w:rPr>
        <w:t xml:space="preserve"> </w:t>
      </w:r>
      <w:r>
        <w:rPr>
          <w:rFonts w:ascii="Times New Roman" w:hAnsi="Times New Roman"/>
          <w:color w:val="000000"/>
          <w:sz w:val="22"/>
        </w:rPr>
        <w:t xml:space="preserve">share thereof as provided herein, then the Lender receiving such greater proportion shall (a) notify the Administrative Agent of such fact, and (b) purchase (for cash at face value) participations in the Loans and subparticipations in L/C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the provisions of this Section shall not be construed to apply to (A) any 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or (C) any payment obtained by a Lender as consideration for the assignment of or sale of a participation in any of its Loans or subparticipations in L/C Obligations to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assignee or participant, other than an assignment to the Borrower or any Subsidiary (as to which the provisions of this Section shall apply).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2.14 </w:t>
      </w:r>
      <w:r>
        <w:rPr>
          <w:rFonts w:ascii="Times New Roman" w:hAnsi="Times New Roman"/>
          <w:b w:val="false"/>
          <w:color w:val="000000"/>
          <w:sz w:val="22"/>
          <w:u w:val="single"/>
        </w:rPr>
        <w:t>Cash Collateral</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Certain Credit Support Events</w:t>
      </w:r>
      <w:r>
        <w:rPr>
          <w:rFonts w:ascii="Times New Roman" w:hAnsi="Times New Roman"/>
          <w:color w:val="000000"/>
          <w:sz w:val="22"/>
        </w:rPr>
        <w:t xml:space="preserve">. If (i) an L/C Issuer has honored any full or partial drawing request under any Letter of Credit and such drawing has resulted in an L/C Borrowing, (ii) as of the Letter of Credit Expiration Date, any L/C Obligation for any reason remains outstanding, (iii) the Borrower shall be required to provide Cash Collateral pursuant to </w:t>
      </w:r>
      <w:r>
        <w:rPr>
          <w:rFonts w:ascii="Times New Roman" w:hAnsi="Times New Roman"/>
          <w:color w:val="000000"/>
          <w:sz w:val="22"/>
          <w:u w:val="single"/>
        </w:rPr>
        <w:t>Section 9.02(c)</w:t>
      </w:r>
      <w:r>
        <w:rPr>
          <w:rFonts w:ascii="Times New Roman" w:hAnsi="Times New Roman"/>
          <w:color w:val="000000"/>
          <w:sz w:val="20"/>
        </w:rPr>
        <w:t xml:space="preserve"> </w:t>
      </w:r>
      <w:r>
        <w:rPr>
          <w:rFonts w:ascii="Times New Roman" w:hAnsi="Times New Roman"/>
          <w:color w:val="000000"/>
          <w:sz w:val="22"/>
        </w:rPr>
        <w:t xml:space="preserve">or (iv) there shall exist a Defaulting Lender, the Borrower shall immediately (in the case of </w:t>
      </w:r>
      <w:r>
        <w:rPr>
          <w:rFonts w:ascii="Times New Roman" w:hAnsi="Times New Roman"/>
          <w:color w:val="000000"/>
          <w:sz w:val="22"/>
          <w:u w:val="single"/>
        </w:rPr>
        <w:t>clause (iii)</w:t>
      </w:r>
      <w:r>
        <w:rPr>
          <w:rFonts w:ascii="Times New Roman" w:hAnsi="Times New Roman"/>
          <w:color w:val="000000"/>
          <w:sz w:val="20"/>
        </w:rPr>
        <w:t xml:space="preserve"> </w:t>
      </w:r>
      <w:r>
        <w:rPr>
          <w:rFonts w:ascii="Times New Roman" w:hAnsi="Times New Roman"/>
          <w:color w:val="000000"/>
          <w:sz w:val="22"/>
        </w:rPr>
        <w:t xml:space="preserve">above) or within one Business Day (in all other cases) following any request by the Administrative Agent or such L/C Issuer provide Cash Collateral in an amount not less than the applicable Minimum Collateral Amount (determined in the case of Cash Collateral provided pursuant to </w:t>
      </w:r>
      <w:r>
        <w:rPr>
          <w:rFonts w:ascii="Times New Roman" w:hAnsi="Times New Roman"/>
          <w:color w:val="000000"/>
          <w:sz w:val="22"/>
          <w:u w:val="single"/>
        </w:rPr>
        <w:t>clause (iv)</w:t>
      </w:r>
      <w:r>
        <w:rPr>
          <w:rFonts w:ascii="Times New Roman" w:hAnsi="Times New Roman"/>
          <w:color w:val="000000"/>
          <w:sz w:val="20"/>
        </w:rPr>
        <w:t xml:space="preserve"> </w:t>
      </w:r>
      <w:r>
        <w:rPr>
          <w:rFonts w:ascii="Times New Roman" w:hAnsi="Times New Roman"/>
          <w:color w:val="000000"/>
          <w:sz w:val="22"/>
        </w:rPr>
        <w:t xml:space="preserve">above, after giving effect to </w:t>
      </w:r>
      <w:r>
        <w:rPr>
          <w:rFonts w:ascii="Times New Roman" w:hAnsi="Times New Roman"/>
          <w:color w:val="000000"/>
          <w:sz w:val="22"/>
          <w:u w:val="single"/>
        </w:rPr>
        <w:t>Section 2.15(b)</w:t>
      </w:r>
      <w:r>
        <w:rPr>
          <w:rFonts w:ascii="Times New Roman" w:hAnsi="Times New Roman"/>
          <w:color w:val="000000"/>
          <w:sz w:val="20"/>
        </w:rPr>
        <w:t xml:space="preserve"> </w:t>
      </w:r>
      <w:r>
        <w:rPr>
          <w:rFonts w:ascii="Times New Roman" w:hAnsi="Times New Roman"/>
          <w:color w:val="000000"/>
          <w:sz w:val="22"/>
        </w:rPr>
        <w:t>and any Cash Collateral provided by the Defaulting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Grant of Security Interest</w:t>
      </w:r>
      <w:r>
        <w:rPr>
          <w:rFonts w:ascii="Times New Roman" w:hAnsi="Times New Roman"/>
          <w:color w:val="000000"/>
          <w:sz w:val="22"/>
        </w:rPr>
        <w:t xml:space="preserve">. The Borrower,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hAnsi="Times New Roman"/>
          <w:color w:val="000000"/>
          <w:sz w:val="22"/>
          <w:u w:val="single"/>
        </w:rPr>
        <w:t>Section 2.14(c)</w:t>
      </w:r>
      <w:r>
        <w:rPr>
          <w:rFonts w:ascii="Times New Roman" w:hAnsi="Times New Roman"/>
          <w:color w:val="000000"/>
          <w:sz w:val="22"/>
        </w:rPr>
        <w:t xml:space="preserve">. If at any time the Administrative Agent determines that Cash Collateral is subject to any right or claim of any Person other than the Administrative Agent or an L/C Issuer as herein provided (other than Liens permitted under </w:t>
      </w:r>
      <w:r>
        <w:rPr>
          <w:rFonts w:ascii="Times New Roman" w:hAnsi="Times New Roman"/>
          <w:color w:val="000000"/>
          <w:sz w:val="22"/>
          <w:u w:val="single"/>
        </w:rPr>
        <w:t>Section 8.01(m)</w:t>
      </w:r>
      <w:r>
        <w:rPr>
          <w:rFonts w:ascii="Times New Roman" w:hAnsi="Times New Roman"/>
          <w:color w:val="000000"/>
          <w:sz w:val="22"/>
        </w:rPr>
        <w:t>),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Application</w:t>
      </w:r>
      <w:r>
        <w:rPr>
          <w:rFonts w:ascii="Times New Roman" w:hAnsi="Times New Roman"/>
          <w:color w:val="000000"/>
          <w:sz w:val="22"/>
        </w:rPr>
        <w:t xml:space="preserve">. Notwithstanding anything to the contrary contained in this Agreement, Cash Collateral provided under any of this </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Sections 2.03</w:t>
      </w:r>
      <w:r>
        <w:rPr>
          <w:rFonts w:ascii="Times New Roman" w:hAnsi="Times New Roman"/>
          <w:color w:val="000000"/>
          <w:sz w:val="22"/>
        </w:rPr>
        <w:t xml:space="preserve">, </w:t>
      </w:r>
      <w:r>
        <w:rPr>
          <w:rFonts w:ascii="Times New Roman" w:hAnsi="Times New Roman"/>
          <w:color w:val="000000"/>
          <w:sz w:val="22"/>
          <w:u w:val="single"/>
        </w:rPr>
        <w:t>2.05</w:t>
      </w:r>
      <w:r>
        <w:rPr>
          <w:rFonts w:ascii="Times New Roman" w:hAnsi="Times New Roman"/>
          <w:color w:val="000000"/>
          <w:sz w:val="22"/>
        </w:rPr>
        <w:t xml:space="preserve">, </w:t>
      </w:r>
      <w:r>
        <w:rPr>
          <w:rFonts w:ascii="Times New Roman" w:hAnsi="Times New Roman"/>
          <w:color w:val="000000"/>
          <w:sz w:val="22"/>
          <w:u w:val="single"/>
        </w:rPr>
        <w:t>2.15</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9.02</w:t>
      </w:r>
      <w:r>
        <w:rPr>
          <w:rFonts w:ascii="Times New Roman" w:hAnsi="Times New Roman"/>
          <w:color w:val="000000"/>
          <w:sz w:val="20"/>
        </w:rPr>
        <w:t xml:space="preserve"> </w:t>
      </w:r>
      <w:r>
        <w:rPr>
          <w:rFonts w:ascii="Times New Roman" w:hAnsi="Times New Roman"/>
          <w:color w:val="000000"/>
          <w:sz w:val="22"/>
        </w:rPr>
        <w:t>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Release</w:t>
      </w:r>
      <w:r>
        <w:rPr>
          <w:rFonts w:ascii="Times New Roman" w:hAnsi="Times New Roman"/>
          <w:color w:val="000000"/>
          <w:sz w:val="22"/>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hAnsi="Times New Roman"/>
          <w:color w:val="000000"/>
          <w:sz w:val="22"/>
          <w:u w:val="single"/>
        </w:rPr>
        <w:t>Section 11.06(b)(vi)</w:t>
      </w:r>
      <w:r>
        <w:rPr>
          <w:rFonts w:ascii="Times New Roman" w:hAnsi="Times New Roman"/>
          <w:color w:val="000000"/>
          <w:sz w:val="22"/>
        </w:rPr>
        <w:t>) or (ii) the determination by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Administrative Agent and the applicable L/C Issuer that there exists excess Cash Collateral;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 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and such L/C Issuer may agree that Cash Collateral shall not be released but instead held to support future anticipated Fronting Exposure or other obligations.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2.15 </w:t>
      </w:r>
      <w:r>
        <w:rPr>
          <w:rFonts w:ascii="Times New Roman" w:hAnsi="Times New Roman"/>
          <w:b w:val="false"/>
          <w:color w:val="000000"/>
          <w:sz w:val="22"/>
          <w:u w:val="single"/>
        </w:rPr>
        <w:t>Defaulting Lenders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Adjustments</w:t>
      </w:r>
      <w:r>
        <w:rPr>
          <w:rFonts w:ascii="Times New Roman" w:hAnsi="Times New Roman"/>
          <w:color w:val="000000"/>
          <w:sz w:val="22"/>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Waivers and Amendments</w:t>
      </w:r>
      <w:r>
        <w:rPr>
          <w:rFonts w:ascii="Times New Roman" w:hAnsi="Times New Roman"/>
          <w:color w:val="000000"/>
          <w:sz w:val="22"/>
        </w:rPr>
        <w:t xml:space="preserve">. Such Defaulting Lender’s right to approve or disapprove any amendment, waiver or consent with respect to this Agreement shall be restricted as set forth in the definition of “Required Lenders” and </w:t>
      </w:r>
      <w:r>
        <w:rPr>
          <w:rFonts w:ascii="Times New Roman" w:hAnsi="Times New Roman"/>
          <w:color w:val="000000"/>
          <w:sz w:val="22"/>
          <w:u w:val="single"/>
        </w:rPr>
        <w:t>Section 11.01</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t>
      </w:r>
      <w:r>
        <w:rPr>
          <w:rFonts w:ascii="Times New Roman" w:hAnsi="Times New Roman"/>
          <w:color w:val="000000"/>
          <w:sz w:val="22"/>
          <w:u w:val="single"/>
        </w:rPr>
        <w:t>Defaulting Lender Waterfall</w:t>
      </w:r>
      <w:r>
        <w:rPr>
          <w:rFonts w:ascii="Times New Roman" w:hAnsi="Times New Roman"/>
          <w:color w:val="000000"/>
          <w:sz w:val="22"/>
        </w:rPr>
        <w:t xml:space="preserve">. Any payment of principal, interest, fees or other amounts received by the Administrative Agent for the account of such Defaulting Lender (whether voluntary or mandatory, at maturity, pursuant to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 xml:space="preserve">or otherwise) or received by the Administrative Agent from a Defaulting Lender pursuant to </w:t>
      </w:r>
      <w:r>
        <w:rPr>
          <w:rFonts w:ascii="Times New Roman" w:hAnsi="Times New Roman"/>
          <w:color w:val="000000"/>
          <w:sz w:val="22"/>
          <w:u w:val="single"/>
        </w:rPr>
        <w:t>Section 11.08</w:t>
      </w:r>
      <w:r>
        <w:rPr>
          <w:rFonts w:ascii="Times New Roman" w:hAnsi="Times New Roman"/>
          <w:color w:val="000000"/>
          <w:sz w:val="20"/>
        </w:rPr>
        <w:t xml:space="preserve"> </w:t>
      </w:r>
      <w:r>
        <w:rPr>
          <w:rFonts w:ascii="Times New Roman" w:hAnsi="Times New Roman"/>
          <w:color w:val="000000"/>
          <w:sz w:val="22"/>
        </w:rPr>
        <w:t xml:space="preserve">shall be applied at such time or times as may be determined by the Administrative Agent as follows: </w:t>
      </w:r>
      <w:r>
        <w:rPr>
          <w:rFonts w:ascii="Times New Roman" w:hAnsi="Times New Roman"/>
          <w:color w:val="000000"/>
          <w:sz w:val="22"/>
          <w:u w:val="single"/>
        </w:rPr>
        <w:t>first</w:t>
      </w:r>
      <w:r>
        <w:rPr>
          <w:rFonts w:ascii="Times New Roman" w:hAnsi="Times New Roman"/>
          <w:color w:val="000000"/>
          <w:sz w:val="22"/>
        </w:rPr>
        <w:t xml:space="preserve">, to the payment of any amounts owing by such Defaulting Lender to the Administrative Agent hereunder; </w:t>
      </w:r>
      <w:r>
        <w:rPr>
          <w:rFonts w:ascii="Times New Roman" w:hAnsi="Times New Roman"/>
          <w:color w:val="000000"/>
          <w:sz w:val="22"/>
          <w:u w:val="single"/>
        </w:rPr>
        <w:t>second</w:t>
      </w:r>
      <w:r>
        <w:rPr>
          <w:rFonts w:ascii="Times New Roman" w:hAnsi="Times New Roman"/>
          <w:color w:val="000000"/>
          <w:sz w:val="22"/>
        </w:rPr>
        <w:t xml:space="preserve">, to the payment on a pro rata basis of any amounts owing by such Defaulting Lender to the L/C Issuers hereunder; </w:t>
      </w:r>
      <w:r>
        <w:rPr>
          <w:rFonts w:ascii="Times New Roman" w:hAnsi="Times New Roman"/>
          <w:color w:val="000000"/>
          <w:sz w:val="22"/>
          <w:u w:val="single"/>
        </w:rPr>
        <w:t>third</w:t>
      </w:r>
      <w:r>
        <w:rPr>
          <w:rFonts w:ascii="Times New Roman" w:hAnsi="Times New Roman"/>
          <w:color w:val="000000"/>
          <w:sz w:val="22"/>
        </w:rPr>
        <w:t xml:space="preserve">, to Cash Collateralize each L/C Issuer’s Fronting Exposure with respect to such Defaulting Lender in accordance with </w:t>
      </w:r>
      <w:r>
        <w:rPr>
          <w:rFonts w:ascii="Times New Roman" w:hAnsi="Times New Roman"/>
          <w:color w:val="000000"/>
          <w:sz w:val="22"/>
          <w:u w:val="single"/>
        </w:rPr>
        <w:t>Section 2.14</w:t>
      </w:r>
      <w:r>
        <w:rPr>
          <w:rFonts w:ascii="Times New Roman" w:hAnsi="Times New Roman"/>
          <w:color w:val="000000"/>
          <w:sz w:val="22"/>
        </w:rPr>
        <w:t xml:space="preserve">; </w:t>
      </w:r>
      <w:r>
        <w:rPr>
          <w:rFonts w:ascii="Times New Roman" w:hAnsi="Times New Roman"/>
          <w:color w:val="000000"/>
          <w:sz w:val="22"/>
          <w:u w:val="single"/>
        </w:rPr>
        <w:t>fourth</w:t>
      </w:r>
      <w:r>
        <w:rPr>
          <w:rFonts w:ascii="Times New Roman" w:hAnsi="Times New Roman"/>
          <w:color w:val="000000"/>
          <w:sz w:val="22"/>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Times New Roman" w:hAnsi="Times New Roman"/>
          <w:color w:val="000000"/>
          <w:sz w:val="22"/>
          <w:u w:val="single"/>
        </w:rPr>
        <w:t>fifth</w:t>
      </w:r>
      <w:r>
        <w:rPr>
          <w:rFonts w:ascii="Times New Roman" w:hAnsi="Times New Roman"/>
          <w:color w:val="000000"/>
          <w:sz w:val="22"/>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each L/C Issuer’s future Fronting Exposure with respect to such Defaulting Lender with respect to future Letters of Credit issued under this Agreement, in accordance with </w:t>
      </w:r>
      <w:r>
        <w:rPr>
          <w:rFonts w:ascii="Times New Roman" w:hAnsi="Times New Roman"/>
          <w:color w:val="000000"/>
          <w:sz w:val="22"/>
          <w:u w:val="single"/>
        </w:rPr>
        <w:t>Section 2.14</w:t>
      </w:r>
      <w:r>
        <w:rPr>
          <w:rFonts w:ascii="Times New Roman" w:hAnsi="Times New Roman"/>
          <w:color w:val="000000"/>
          <w:sz w:val="22"/>
        </w:rPr>
        <w:t xml:space="preserve">; </w:t>
      </w:r>
      <w:r>
        <w:rPr>
          <w:rFonts w:ascii="Times New Roman" w:hAnsi="Times New Roman"/>
          <w:color w:val="000000"/>
          <w:sz w:val="22"/>
          <w:u w:val="single"/>
        </w:rPr>
        <w:t>sixth</w:t>
      </w:r>
      <w:r>
        <w:rPr>
          <w:rFonts w:ascii="Times New Roman" w:hAnsi="Times New Roman"/>
          <w:color w:val="000000"/>
          <w:sz w:val="22"/>
        </w:rPr>
        <w:t xml:space="preserve">, to the payment of any amounts owing to the Lenders, the L/C Issuers as a result of any judgment of a court of competent jurisdiction obtained by any Lender, any L/C Issuer against such Defaulting Lender as a result of such Defaulting Lender’s breach of its obligations under this Agreement; </w:t>
      </w:r>
      <w:r>
        <w:rPr>
          <w:rFonts w:ascii="Times New Roman" w:hAnsi="Times New Roman"/>
          <w:color w:val="000000"/>
          <w:sz w:val="22"/>
          <w:u w:val="single"/>
        </w:rPr>
        <w:t>seventh</w:t>
      </w:r>
      <w:r>
        <w:rPr>
          <w:rFonts w:ascii="Times New Roman" w:hAnsi="Times New Roman"/>
          <w:color w:val="000000"/>
          <w:sz w:val="22"/>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color w:val="000000"/>
          <w:sz w:val="22"/>
          <w:u w:val="single"/>
        </w:rPr>
        <w:t>eighth</w:t>
      </w:r>
      <w:r>
        <w:rPr>
          <w:rFonts w:ascii="Times New Roman" w:hAnsi="Times New Roman"/>
          <w:color w:val="000000"/>
          <w:sz w:val="22"/>
        </w:rPr>
        <w:t xml:space="preserve">, to such Defaulting Lender or as otherwise as may be required under the Loan Documents in connection with any Lien conferred thereunder or directed by a court of competent jurisdiction;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hAnsi="Times New Roman"/>
          <w:color w:val="000000"/>
          <w:sz w:val="22"/>
          <w:u w:val="single"/>
        </w:rPr>
        <w:t>Section 5.02</w:t>
      </w:r>
      <w:r>
        <w:rPr>
          <w:rFonts w:ascii="Times New Roman" w:hAnsi="Times New Roman"/>
          <w:color w:val="000000"/>
          <w:sz w:val="20"/>
        </w:rPr>
        <w:t xml:space="preserve"> </w:t>
      </w:r>
      <w:r>
        <w:rPr>
          <w:rFonts w:ascii="Times New Roman" w:hAnsi="Times New Roman"/>
          <w:color w:val="000000"/>
          <w:sz w:val="22"/>
        </w:rPr>
        <w:t>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 L/C Obligations are held by the Lenders pro rata in accordance with the Commitments hereunder without giving effect to </w:t>
      </w:r>
      <w:r>
        <w:rPr>
          <w:rFonts w:ascii="Times New Roman" w:hAnsi="Times New Roman"/>
          <w:color w:val="000000"/>
          <w:sz w:val="22"/>
          <w:u w:val="single"/>
        </w:rPr>
        <w:t>Section 2.15(b)</w:t>
      </w:r>
      <w:r>
        <w:rPr>
          <w:rFonts w:ascii="Times New Roman" w:hAnsi="Times New Roman"/>
          <w:color w:val="000000"/>
          <w:sz w:val="22"/>
        </w:rPr>
        <w:t xml:space="preserve">. Any payments, prepayments or other amounts paid or payable to a Defaulting Lender that are applied (or held) to pay amounts owed by a Defaulting Lender or to post Cash Collateral pursuant to this </w:t>
      </w:r>
      <w:r>
        <w:rPr>
          <w:rFonts w:ascii="Times New Roman" w:hAnsi="Times New Roman"/>
          <w:color w:val="000000"/>
          <w:sz w:val="22"/>
          <w:u w:val="single"/>
        </w:rPr>
        <w:t>Section 2.15(a)(ii)</w:t>
      </w:r>
      <w:r>
        <w:rPr>
          <w:rFonts w:ascii="Times New Roman" w:hAnsi="Times New Roman"/>
          <w:color w:val="000000"/>
          <w:sz w:val="20"/>
        </w:rPr>
        <w:t xml:space="preserve"> </w:t>
      </w:r>
      <w:r>
        <w:rPr>
          <w:rFonts w:ascii="Times New Roman" w:hAnsi="Times New Roman"/>
          <w:color w:val="000000"/>
          <w:sz w:val="22"/>
        </w:rPr>
        <w:t>shall be deemed paid to and redirected by such Defaulting Lender, and each Lender irrevocably consents 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w:t>
      </w:r>
      <w:r>
        <w:rPr>
          <w:rFonts w:ascii="Times New Roman" w:hAnsi="Times New Roman"/>
          <w:color w:val="000000"/>
          <w:sz w:val="22"/>
          <w:u w:val="single"/>
        </w:rPr>
        <w:t>Certain Fees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No Defaulting Lender shall be entitled to receive any fee payable under </w:t>
      </w:r>
      <w:r>
        <w:rPr>
          <w:rFonts w:ascii="Times New Roman" w:hAnsi="Times New Roman"/>
          <w:color w:val="000000"/>
          <w:sz w:val="22"/>
          <w:u w:val="single"/>
        </w:rPr>
        <w:t>Section 2.09(a)</w:t>
      </w:r>
      <w:r>
        <w:rPr>
          <w:rFonts w:ascii="Times New Roman" w:hAnsi="Times New Roman"/>
          <w:color w:val="000000"/>
          <w:sz w:val="22"/>
        </w:rPr>
        <w:t xml:space="preserve">, </w:t>
      </w:r>
      <w:r>
        <w:rPr>
          <w:rFonts w:ascii="Times New Roman" w:hAnsi="Times New Roman"/>
          <w:color w:val="000000"/>
          <w:sz w:val="22"/>
          <w:u w:val="single"/>
        </w:rPr>
        <w:t>Section 2.09(b)</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2.09(c)(ii)</w:t>
      </w:r>
      <w:r>
        <w:rPr>
          <w:rFonts w:ascii="Times New Roman" w:hAnsi="Times New Roman"/>
          <w:color w:val="000000"/>
          <w:sz w:val="20"/>
        </w:rPr>
        <w:t xml:space="preserve"> </w:t>
      </w:r>
      <w:r>
        <w:rPr>
          <w:rFonts w:ascii="Times New Roman" w:hAnsi="Times New Roman"/>
          <w:color w:val="000000"/>
          <w:sz w:val="22"/>
        </w:rPr>
        <w:t>for any period during which that Lender is a Defaulting Lender (and the Borrower shall not be required to pay any such fee that otherwise would have been required to have been paid to that Defaulting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Each Defaulting Lender shall be entitled to receive Letter of Credit Fees for any period during which that Lender is a Defaulting Lender only to the extent allocable to its Applicable Revolving Percentage of the stated amount of Letters of Credit for which such Defaulting Lender has provided Cash Collateral pursuant to </w:t>
      </w:r>
      <w:r>
        <w:rPr>
          <w:rFonts w:ascii="Times New Roman" w:hAnsi="Times New Roman"/>
          <w:color w:val="000000"/>
          <w:sz w:val="22"/>
          <w:u w:val="single"/>
        </w:rPr>
        <w:t>Section 2.14</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With respect to any Letter of Credit Fee not required to be paid to any Defaulting Lender pursuant to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above, the Borrower shall (1) pay to each Non-Defaulting Lender that portion of any such fee otherwise payable to such Defaulting Lender with respect to such Defaulting Lender’s participation in L/C Obligations that has been reallocated to such Non-Defaulting Lender pursuant to </w:t>
      </w:r>
      <w:r>
        <w:rPr>
          <w:rFonts w:ascii="Times New Roman" w:hAnsi="Times New Roman"/>
          <w:color w:val="000000"/>
          <w:sz w:val="22"/>
          <w:u w:val="single"/>
        </w:rPr>
        <w:t>Section 2.15(b)</w:t>
      </w:r>
      <w:r>
        <w:rPr>
          <w:rFonts w:ascii="Times New Roman" w:hAnsi="Times New Roman"/>
          <w:color w:val="000000"/>
          <w:sz w:val="20"/>
        </w:rPr>
        <w:t xml:space="preserve"> </w:t>
      </w:r>
      <w:r>
        <w:rPr>
          <w:rFonts w:ascii="Times New Roman" w:hAnsi="Times New Roman"/>
          <w:color w:val="000000"/>
          <w:sz w:val="22"/>
        </w:rPr>
        <w:t>below, (2) pay to the L/C Issuers the amount of any such fee otherwise payable to such Defaulting Lender to the extent allocable to each L/C Issuer’s Fronting Exposure to such Defaulting Lender, and (3) not be required to pay the remaining amount of any such fee.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Reallocation of Applicable Revolving Percentages to Reduce Fronting Exposure</w:t>
      </w:r>
      <w:r>
        <w:rPr>
          <w:rFonts w:ascii="Times New Roman" w:hAnsi="Times New Roman"/>
          <w:color w:val="000000"/>
          <w:sz w:val="22"/>
        </w:rPr>
        <w:t xml:space="preserve">. All or any part of such Defaulting Lender’s participation in L/C Obligations shall be reallocated among the Non-Defaulting Lenders in accordance with their respective Applicable Revolving Percentages (calculated without regard to such Defaulting Lender’s Revolving Commitment) but only to the extent that such reallocation does not cause the aggregate Revolving Credit Exposure of any Non-Defaulting Lender to exceed such Non-Defaulting Lender’s Revolving Commitment. Subject to </w:t>
      </w:r>
      <w:r>
        <w:rPr>
          <w:rFonts w:ascii="Times New Roman" w:hAnsi="Times New Roman"/>
          <w:color w:val="000000"/>
          <w:sz w:val="22"/>
          <w:u w:val="single"/>
        </w:rPr>
        <w:t>Section 11.22</w:t>
      </w:r>
      <w:r>
        <w:rPr>
          <w:rFonts w:ascii="Times New Roman" w:hAnsi="Times New Roman"/>
          <w:color w:val="000000"/>
          <w:sz w:val="22"/>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Cash Collateral</w:t>
      </w:r>
      <w:r>
        <w:rPr>
          <w:rFonts w:ascii="Times New Roman" w:hAnsi="Times New Roman"/>
          <w:color w:val="000000"/>
          <w:sz w:val="22"/>
        </w:rPr>
        <w:t xml:space="preserve">. If the reallocation described in </w:t>
      </w:r>
      <w:r>
        <w:rPr>
          <w:rFonts w:ascii="Times New Roman" w:hAnsi="Times New Roman"/>
          <w:color w:val="000000"/>
          <w:sz w:val="22"/>
          <w:u w:val="single"/>
        </w:rPr>
        <w:t>Section 2.15(b)</w:t>
      </w:r>
      <w:r>
        <w:rPr>
          <w:rFonts w:ascii="Times New Roman" w:hAnsi="Times New Roman"/>
          <w:color w:val="000000"/>
          <w:sz w:val="20"/>
        </w:rPr>
        <w:t xml:space="preserve"> </w:t>
      </w:r>
      <w:r>
        <w:rPr>
          <w:rFonts w:ascii="Times New Roman" w:hAnsi="Times New Roman"/>
          <w:color w:val="000000"/>
          <w:sz w:val="22"/>
        </w:rPr>
        <w:t xml:space="preserve">above cannot, or can only partially, be effected, the Borrower shall, without prejudice to any right or remedy available to it hereunder or under applicable Law, Cash Collateralize the L/C Issuers’ Fronting Exposure in accordance with the procedures set forth in </w:t>
      </w:r>
      <w:r>
        <w:rPr>
          <w:rFonts w:ascii="Times New Roman" w:hAnsi="Times New Roman"/>
          <w:color w:val="000000"/>
          <w:sz w:val="22"/>
          <w:u w:val="single"/>
        </w:rPr>
        <w:t>Section 2.14</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Defaulting Lender Cure</w:t>
      </w:r>
      <w:r>
        <w:rPr>
          <w:rFonts w:ascii="Times New Roman" w:hAnsi="Times New Roman"/>
          <w:color w:val="000000"/>
          <w:sz w:val="22"/>
        </w:rPr>
        <w:t>. If the Borrower, the Administrative Agent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on a pro rata basis by the Lenders in accordance with their Applicable Revolving Percentages (without giving effect to </w:t>
      </w:r>
      <w:r>
        <w:rPr>
          <w:rFonts w:ascii="Times New Roman" w:hAnsi="Times New Roman"/>
          <w:color w:val="000000"/>
          <w:sz w:val="22"/>
          <w:u w:val="single"/>
        </w:rPr>
        <w:t>Section 2.15(b)</w:t>
      </w:r>
      <w:r>
        <w:rPr>
          <w:rFonts w:ascii="Times New Roman" w:hAnsi="Times New Roman"/>
          <w:color w:val="000000"/>
          <w:sz w:val="22"/>
        </w:rPr>
        <w:t xml:space="preserve">), whereupon such Lender will cease to be a Defaulting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 adjustments will be made retroactively with respect to fees accrued or payments made by or on behalf of the Borrower while that Lender was a Defaulting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2.16 </w:t>
      </w:r>
      <w:r>
        <w:rPr>
          <w:rFonts w:ascii="Times New Roman" w:hAnsi="Times New Roman"/>
          <w:b w:val="false"/>
          <w:color w:val="000000"/>
          <w:sz w:val="22"/>
          <w:u w:val="single"/>
        </w:rPr>
        <w:t>Increase to Commitments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Incremental Commitments</w:t>
      </w:r>
      <w:r>
        <w:rPr>
          <w:rFonts w:ascii="Times New Roman" w:hAnsi="Times New Roman"/>
          <w:color w:val="000000"/>
          <w:sz w:val="22"/>
        </w:rPr>
        <w:t>. The Borrower may from time to time after the Effective Date (but in any case not more than five times), by written notice to the Administrative Agent, request (i) one or more increases to the Aggregate Revolving Commitments (each, a “</w:t>
      </w:r>
      <w:r>
        <w:rPr>
          <w:rFonts w:ascii="Times New Roman" w:hAnsi="Times New Roman"/>
          <w:color w:val="000000"/>
          <w:sz w:val="22"/>
          <w:u w:val="single"/>
        </w:rPr>
        <w:t>Revolving Commitment Increase</w:t>
      </w:r>
      <w:r>
        <w:rPr>
          <w:rFonts w:ascii="Times New Roman" w:hAnsi="Times New Roman"/>
          <w:color w:val="000000"/>
          <w:sz w:val="20"/>
        </w:rPr>
        <w:t>”</w:t>
      </w:r>
      <w:r>
        <w:rPr>
          <w:rFonts w:ascii="Times New Roman" w:hAnsi="Times New Roman"/>
          <w:color w:val="000000"/>
          <w:sz w:val="22"/>
        </w:rPr>
        <w:t>) or (ii) one or more new Classes of Term Loans (any commitment with respect to any new Class of Term Loan, an “</w:t>
      </w:r>
      <w:r>
        <w:rPr>
          <w:rFonts w:ascii="Times New Roman" w:hAnsi="Times New Roman"/>
          <w:color w:val="000000"/>
          <w:sz w:val="22"/>
          <w:u w:val="single"/>
        </w:rPr>
        <w:t>Incremental Term Loan Commitment</w:t>
      </w:r>
      <w:r>
        <w:rPr>
          <w:rFonts w:ascii="Times New Roman" w:hAnsi="Times New Roman"/>
          <w:color w:val="000000"/>
          <w:sz w:val="20"/>
        </w:rPr>
        <w:t>”</w:t>
      </w:r>
      <w:r>
        <w:rPr>
          <w:rFonts w:ascii="Times New Roman" w:hAnsi="Times New Roman"/>
          <w:color w:val="000000"/>
          <w:sz w:val="22"/>
        </w:rPr>
        <w:t>; any Incremental Term Loan Commitment, or any commitment with respect to any Revolving Commitment Increase, an “</w:t>
      </w:r>
      <w:r>
        <w:rPr>
          <w:rFonts w:ascii="Times New Roman" w:hAnsi="Times New Roman"/>
          <w:color w:val="000000"/>
          <w:sz w:val="22"/>
          <w:u w:val="single"/>
        </w:rPr>
        <w:t>Incremental Commitment</w:t>
      </w:r>
      <w:r>
        <w:rPr>
          <w:rFonts w:ascii="Times New Roman" w:hAnsi="Times New Roman"/>
          <w:color w:val="000000"/>
          <w:sz w:val="20"/>
        </w:rPr>
        <w:t>”</w:t>
      </w:r>
      <w:r>
        <w:rPr>
          <w:rFonts w:ascii="Times New Roman" w:hAnsi="Times New Roman"/>
          <w:color w:val="000000"/>
          <w:sz w:val="22"/>
        </w:rPr>
        <w:t>), whereupon the Administrative Agent shall promptly deliver a copy or such written notice to each of the Lenders.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Incremental Term Loan Commitments</w:t>
      </w:r>
      <w:r>
        <w:rPr>
          <w:rFonts w:ascii="Times New Roman" w:hAnsi="Times New Roman"/>
          <w:color w:val="000000"/>
          <w:sz w:val="22"/>
        </w:rPr>
        <w:t>. Any Incremental Term Loan Commitments effected through the establishment of one or more new Term Loans shall be designated a separate Class of Incremental Term Loan Commitments and Term Loans for all purposes of this Agreement. Notwithstanding the foregoing, Incremental Term Loans may have identical terms to any of the then-outstanding Term Loans and be treated as the same Class as any of such Term Loans.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Request for Incremental Commitments</w:t>
      </w:r>
      <w:r>
        <w:rPr>
          <w:rFonts w:ascii="Times New Roman" w:hAnsi="Times New Roman"/>
          <w:color w:val="000000"/>
          <w:sz w:val="22"/>
        </w:rPr>
        <w:t xml:space="preserve">. Each request for Incremental Commitments from the Borrower pursuant to this </w:t>
      </w:r>
      <w:r>
        <w:rPr>
          <w:rFonts w:ascii="Times New Roman" w:hAnsi="Times New Roman"/>
          <w:color w:val="000000"/>
          <w:sz w:val="22"/>
          <w:u w:val="single"/>
        </w:rPr>
        <w:t>Section 2.16</w:t>
      </w:r>
      <w:r>
        <w:rPr>
          <w:rFonts w:ascii="Times New Roman" w:hAnsi="Times New Roman"/>
          <w:color w:val="000000"/>
          <w:sz w:val="20"/>
        </w:rPr>
        <w:t xml:space="preserve"> </w:t>
      </w:r>
      <w:r>
        <w:rPr>
          <w:rFonts w:ascii="Times New Roman" w:hAnsi="Times New Roman"/>
          <w:color w:val="000000"/>
          <w:sz w:val="22"/>
        </w:rPr>
        <w:t>shall set forth the requested amount and proposed terms of the relevant Incremental Commitments. Incremental Commitments may be provided by any existing Lender (but no existing Lender will have any obligation to provide any Incremental Commitment, and the Borrower will not have any obligation to approach any existing Lenders to provide any Incremental Commitment) or by any other bank or other financial institution that qualifies as an Eligible Assignee.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Effectiveness of Incremental Amendment</w:t>
      </w:r>
      <w:r>
        <w:rPr>
          <w:rFonts w:ascii="Times New Roman" w:hAnsi="Times New Roman"/>
          <w:color w:val="000000"/>
          <w:sz w:val="22"/>
        </w:rPr>
        <w:t>. The effectiveness of any Incremental Amendment and the Incremental Commitments thereunder shall be subject to the satisfaction on the date thereof (the “</w:t>
      </w:r>
      <w:r>
        <w:rPr>
          <w:rFonts w:ascii="Times New Roman" w:hAnsi="Times New Roman"/>
          <w:color w:val="000000"/>
          <w:sz w:val="22"/>
          <w:u w:val="single"/>
        </w:rPr>
        <w:t>Incremental Facility Closing Date</w:t>
      </w:r>
      <w:r>
        <w:rPr>
          <w:rFonts w:ascii="Times New Roman" w:hAnsi="Times New Roman"/>
          <w:color w:val="000000"/>
          <w:sz w:val="20"/>
        </w:rPr>
        <w:t>”</w:t>
      </w:r>
      <w:r>
        <w:rPr>
          <w:rFonts w:ascii="Times New Roman" w:hAnsi="Times New Roman"/>
          <w:color w:val="000000"/>
          <w:sz w:val="22"/>
        </w:rPr>
        <w:t>) of each of the following conditions: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no Default or Event of Default shall have occurred and be continuing or would exist after giving effect to such Incremental Commitments;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case of an Incremental Term Loan the proceeds of which are used to fund, in whole or in part, the purchase price of a Limited Condition Acquisition, the foregoing condition shall be (A) no Event of Default shall have occurred and be continuing on the date of execution of the definitive purchase agreement for such Limited Condition Acquisition and (B) no Event of Default under </w:t>
      </w:r>
      <w:r>
        <w:rPr>
          <w:rFonts w:ascii="Times New Roman" w:hAnsi="Times New Roman"/>
          <w:color w:val="000000"/>
          <w:sz w:val="22"/>
          <w:u w:val="single"/>
        </w:rPr>
        <w:t>Section 9.01(a)</w:t>
      </w:r>
      <w:r>
        <w:rPr>
          <w:rFonts w:ascii="Times New Roman" w:hAnsi="Times New Roman"/>
          <w:color w:val="000000"/>
          <w:sz w:val="22"/>
        </w:rPr>
        <w:t xml:space="preserve">, </w:t>
      </w:r>
      <w:r>
        <w:rPr>
          <w:rFonts w:ascii="Times New Roman" w:hAnsi="Times New Roman"/>
          <w:color w:val="000000"/>
          <w:sz w:val="22"/>
          <w:u w:val="single"/>
        </w:rPr>
        <w:t>(f)</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(g)</w:t>
      </w:r>
      <w:r>
        <w:rPr>
          <w:rFonts w:ascii="Times New Roman" w:hAnsi="Times New Roman"/>
          <w:color w:val="000000"/>
          <w:sz w:val="20"/>
        </w:rPr>
        <w:t xml:space="preserve"> </w:t>
      </w:r>
      <w:r>
        <w:rPr>
          <w:rFonts w:ascii="Times New Roman" w:hAnsi="Times New Roman"/>
          <w:color w:val="000000"/>
          <w:sz w:val="22"/>
        </w:rPr>
        <w:t>shall have occurred and be continuing or would exist after giving effect to such Limited Condition Acquisition and the funding of such Incremental Term Loan;</w:t>
      </w:r>
    </w:p>
    <w:p>
      <w:pPr>
        <w:pStyle w:val="TextBody"/>
        <w:bidi w:val="0"/>
        <w:jc w:val="center"/>
        <w:rPr>
          <w:rFonts w:ascii="Times New Roman" w:hAnsi="Times New Roman"/>
          <w:color w:val="000000"/>
          <w:sz w:val="22"/>
        </w:rPr>
      </w:pPr>
      <w:r>
        <w:rPr>
          <w:rFonts w:ascii="Times New Roman" w:hAnsi="Times New Roman"/>
          <w:color w:val="000000"/>
          <w:sz w:val="22"/>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the representations and warranties set forth in </w:t>
      </w:r>
      <w:r>
        <w:rPr>
          <w:rFonts w:ascii="Times New Roman" w:hAnsi="Times New Roman"/>
          <w:color w:val="000000"/>
          <w:sz w:val="22"/>
          <w:u w:val="single"/>
        </w:rPr>
        <w:t>Article VI</w:t>
      </w:r>
      <w:r>
        <w:rPr>
          <w:rFonts w:ascii="Times New Roman" w:hAnsi="Times New Roman"/>
          <w:color w:val="000000"/>
          <w:sz w:val="20"/>
        </w:rPr>
        <w:t xml:space="preserve"> </w:t>
      </w:r>
      <w:r>
        <w:rPr>
          <w:rFonts w:ascii="Times New Roman" w:hAnsi="Times New Roman"/>
          <w:color w:val="000000"/>
          <w:sz w:val="22"/>
        </w:rPr>
        <w:t xml:space="preserve">or in any other Loan Document shall be true and correct as and to the extent set forth in </w:t>
      </w:r>
      <w:r>
        <w:rPr>
          <w:rFonts w:ascii="Times New Roman" w:hAnsi="Times New Roman"/>
          <w:color w:val="000000"/>
          <w:sz w:val="22"/>
          <w:u w:val="single"/>
        </w:rPr>
        <w:t>Section 5.02</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the Administrative Agent shall have received a Pro Forma Compliance Certificate demonstrating that the Loan Parties would be in compliance with the financial covenants set forth in </w:t>
      </w:r>
      <w:r>
        <w:rPr>
          <w:rFonts w:ascii="Times New Roman" w:hAnsi="Times New Roman"/>
          <w:color w:val="000000"/>
          <w:sz w:val="22"/>
          <w:u w:val="single"/>
        </w:rPr>
        <w:t>Section 8.11</w:t>
      </w:r>
      <w:r>
        <w:rPr>
          <w:rFonts w:ascii="Times New Roman" w:hAnsi="Times New Roman"/>
          <w:color w:val="000000"/>
          <w:sz w:val="20"/>
        </w:rPr>
        <w:t xml:space="preserve"> </w:t>
      </w:r>
      <w:r>
        <w:rPr>
          <w:rFonts w:ascii="Times New Roman" w:hAnsi="Times New Roman"/>
          <w:color w:val="000000"/>
          <w:sz w:val="22"/>
        </w:rPr>
        <w:t xml:space="preserve">recomputed as of the last day of the period of four (4) fiscal quarters of the Borrower most recently ended for which financial statements have been delivered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7.01(b)</w:t>
      </w:r>
      <w:r>
        <w:rPr>
          <w:rFonts w:ascii="Times New Roman" w:hAnsi="Times New Roman"/>
          <w:color w:val="000000"/>
          <w:sz w:val="20"/>
        </w:rPr>
        <w:t xml:space="preserve"> </w:t>
      </w:r>
      <w:r>
        <w:rPr>
          <w:rFonts w:ascii="Times New Roman" w:hAnsi="Times New Roman"/>
          <w:color w:val="000000"/>
          <w:sz w:val="22"/>
        </w:rPr>
        <w:t xml:space="preserve">(or, prior to the first such delivery, the financial statements for the fiscal quarter ended September 30, 2025) after giving effect to any Incremental Commitments on a Pro Forma Basis (assuming all Loans available under such Incremental Commitments had been outstanding as of the last day of such period);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case of an Incremental Term Loan the proceeds of which are used to fund, in whole or in part, the purchase price of a Limited Condition Acquisition, receipt of such Pro Forma Compliance Certificate may be satisfied in accordance with </w:t>
      </w:r>
      <w:r>
        <w:rPr>
          <w:rFonts w:ascii="Times New Roman" w:hAnsi="Times New Roman"/>
          <w:color w:val="000000"/>
          <w:sz w:val="22"/>
          <w:u w:val="single"/>
        </w:rPr>
        <w:t>Section 1.03(e)</w:t>
      </w:r>
      <w:r>
        <w:rPr>
          <w:rFonts w:ascii="Times New Roman" w:hAnsi="Times New Roman"/>
          <w:color w:val="000000"/>
          <w:sz w:val="22"/>
        </w:rPr>
        <w:t>, at the option of the Borrower, on the applicable LCA Test Date for such Limited Condition Acquisition;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the aggregate Incremental Commitments for any Revolving Commitment Increase or any other Class of Incremental Term Loan shall be in an aggregate principal amount that is not less than $10,000,000 (or if less, the entire remaining amount available for such institution) and shall be in an increment of $1,000,000 (or such lesser amounts as agreed by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after giving effect to the establishment of such Incremental Commitments, the aggregate principal amount of all Incremental Commitments effected pursuant to this </w:t>
      </w:r>
      <w:r>
        <w:rPr>
          <w:rFonts w:ascii="Times New Roman" w:hAnsi="Times New Roman"/>
          <w:color w:val="000000"/>
          <w:sz w:val="22"/>
          <w:u w:val="single"/>
        </w:rPr>
        <w:t>Section 2.16</w:t>
      </w:r>
      <w:r>
        <w:rPr>
          <w:rFonts w:ascii="Times New Roman" w:hAnsi="Times New Roman"/>
          <w:color w:val="000000"/>
          <w:sz w:val="20"/>
        </w:rPr>
        <w:t xml:space="preserve"> </w:t>
      </w:r>
      <w:r>
        <w:rPr>
          <w:rFonts w:ascii="Times New Roman" w:hAnsi="Times New Roman"/>
          <w:color w:val="000000"/>
          <w:sz w:val="22"/>
        </w:rPr>
        <w:t xml:space="preserve">shall not exceed (x) during any Non-Investment Grade Period, the sum of (A) $250,000,000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(B) an unlimited amount so long as the Consolidated Secured Leverage Ratio (calculated on a Pro Forma Basis and assuming any such Incremental Commitments are fully drawn) does not exceed 2.25:1.0 and (y) during any Investment Grade Period, $250,000,000;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 receipt by the Administrative Agent of (A) such resolutions of the board of directors of the Loan Parties and opinions of counsel to the Loan Parties as it may reasonably request relating to the organizational authority for the establishment of such Incremental Commitments and the enforceability thereof and any other matters relevant thereto, and (B) during any Non-Investment Grade Period, such ratifications of the Collateral Documents as may be reasonably requested by the Administrative Agent, all in form and substance reasonably satisfactory to the Administrative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 such other conditions as the Borrower, each Lender providing any such Incremental Commitment and the Administrative Agent shall agree.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purposes of calculating the aggregate principal amount of all Incremental Commitments pursuant to </w:t>
      </w:r>
      <w:r>
        <w:rPr>
          <w:rFonts w:ascii="Times New Roman" w:hAnsi="Times New Roman"/>
          <w:color w:val="000000"/>
          <w:sz w:val="22"/>
          <w:u w:val="single"/>
        </w:rPr>
        <w:t>Section 2.16(d)(v)(x)</w:t>
      </w:r>
      <w:r>
        <w:rPr>
          <w:rFonts w:ascii="Times New Roman" w:hAnsi="Times New Roman"/>
          <w:color w:val="000000"/>
          <w:sz w:val="22"/>
        </w:rPr>
        <w:t xml:space="preserve">, the Borrower may elect to establish such Incremental Commitments in reliance on </w:t>
      </w:r>
      <w:r>
        <w:rPr>
          <w:rFonts w:ascii="Times New Roman" w:hAnsi="Times New Roman"/>
          <w:color w:val="000000"/>
          <w:sz w:val="22"/>
          <w:u w:val="single"/>
        </w:rPr>
        <w:t>Section 2.16(d)(v)(x)(A)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2.16(d)(v)(x)(B)</w:t>
      </w:r>
      <w:r>
        <w:rPr>
          <w:rFonts w:ascii="Times New Roman" w:hAnsi="Times New Roman"/>
          <w:color w:val="000000"/>
          <w:sz w:val="20"/>
        </w:rPr>
        <w:t xml:space="preserve"> </w:t>
      </w:r>
      <w:r>
        <w:rPr>
          <w:rFonts w:ascii="Times New Roman" w:hAnsi="Times New Roman"/>
          <w:color w:val="000000"/>
          <w:sz w:val="22"/>
        </w:rPr>
        <w:t xml:space="preserve">in any order or concurrently. If in connection with the establishment of any Incremental Commitments the Borrower is able to establish such Incremental Commitments in reliance on either of </w:t>
      </w:r>
      <w:r>
        <w:rPr>
          <w:rFonts w:ascii="Times New Roman" w:hAnsi="Times New Roman"/>
          <w:color w:val="000000"/>
          <w:sz w:val="22"/>
          <w:u w:val="single"/>
        </w:rPr>
        <w:t>Section 2.16(d)(v)(x)(A)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2.16(d)(v)(x)(B)</w:t>
      </w:r>
      <w:r>
        <w:rPr>
          <w:rFonts w:ascii="Times New Roman" w:hAnsi="Times New Roman"/>
          <w:color w:val="000000"/>
          <w:sz w:val="22"/>
        </w:rPr>
        <w:t xml:space="preserve">, and the Borrower does not notify the Administrative Agent as to which section such Incremental Commitments are being established or make an election as to which section such Incremental Commitments are being established, the Borrower will be deemed to have established such Incremental Commitments in reliance on </w:t>
      </w:r>
      <w:r>
        <w:rPr>
          <w:rFonts w:ascii="Times New Roman" w:hAnsi="Times New Roman"/>
          <w:color w:val="000000"/>
          <w:sz w:val="22"/>
          <w:u w:val="single"/>
        </w:rPr>
        <w:t>Section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2.16(d)(v)(x)(B)</w:t>
      </w:r>
      <w:r>
        <w:rPr>
          <w:rFonts w:ascii="Times New Roman" w:hAnsi="Times New Roman"/>
          <w:color w:val="000000"/>
          <w:sz w:val="22"/>
        </w:rPr>
        <w:t xml:space="preserve">. If the Borrower establishes Incremental Commitments in reliance on </w:t>
      </w:r>
      <w:r>
        <w:rPr>
          <w:rFonts w:ascii="Times New Roman" w:hAnsi="Times New Roman"/>
          <w:color w:val="000000"/>
          <w:sz w:val="22"/>
          <w:u w:val="single"/>
        </w:rPr>
        <w:t>Section 2.16(d)(v)(x)(A)</w:t>
      </w:r>
      <w:r>
        <w:rPr>
          <w:rFonts w:ascii="Times New Roman" w:hAnsi="Times New Roman"/>
          <w:color w:val="000000"/>
          <w:sz w:val="20"/>
        </w:rPr>
        <w:t xml:space="preserve"> </w:t>
      </w:r>
      <w:r>
        <w:rPr>
          <w:rFonts w:ascii="Times New Roman" w:hAnsi="Times New Roman"/>
          <w:color w:val="000000"/>
          <w:sz w:val="22"/>
        </w:rPr>
        <w:t xml:space="preserve">concurrently with the establishment of Incremental Commitments in reliance on </w:t>
      </w:r>
      <w:r>
        <w:rPr>
          <w:rFonts w:ascii="Times New Roman" w:hAnsi="Times New Roman"/>
          <w:color w:val="000000"/>
          <w:sz w:val="22"/>
          <w:u w:val="single"/>
        </w:rPr>
        <w:t>Section 2.16(d)(v)(x)(B)</w:t>
      </w:r>
      <w:r>
        <w:rPr>
          <w:rFonts w:ascii="Times New Roman" w:hAnsi="Times New Roman"/>
          <w:color w:val="000000"/>
          <w:sz w:val="22"/>
        </w:rPr>
        <w:t xml:space="preserve">, the amount of any such Incremental Commitments established in reliance on </w:t>
      </w:r>
      <w:r>
        <w:rPr>
          <w:rFonts w:ascii="Times New Roman" w:hAnsi="Times New Roman"/>
          <w:color w:val="000000"/>
          <w:sz w:val="22"/>
          <w:u w:val="single"/>
        </w:rPr>
        <w:t>Section 2.16(d)(v)(x)(A)</w:t>
      </w:r>
      <w:r>
        <w:rPr>
          <w:rFonts w:ascii="Times New Roman" w:hAnsi="Times New Roman"/>
          <w:color w:val="000000"/>
          <w:sz w:val="20"/>
        </w:rPr>
        <w:t xml:space="preserve"> </w:t>
      </w:r>
      <w:r>
        <w:rPr>
          <w:rFonts w:ascii="Times New Roman" w:hAnsi="Times New Roman"/>
          <w:color w:val="000000"/>
          <w:sz w:val="22"/>
        </w:rPr>
        <w:t xml:space="preserve">shall be disregarded for purposes of calculating the Consolidated Secured Leverage Ratio in connection with determining the permissibility of the amount of such Incremental Commitments that may be established at such time in reliance on </w:t>
      </w:r>
      <w:r>
        <w:rPr>
          <w:rFonts w:ascii="Times New Roman" w:hAnsi="Times New Roman"/>
          <w:color w:val="000000"/>
          <w:sz w:val="22"/>
          <w:u w:val="single"/>
        </w:rPr>
        <w:t>Section 2.16(d)(v)(x)(B)</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Required Terms</w:t>
      </w:r>
      <w:r>
        <w:rPr>
          <w:rFonts w:ascii="Times New Roman" w:hAnsi="Times New Roman"/>
          <w:color w:val="000000"/>
          <w:sz w:val="22"/>
        </w:rPr>
        <w:t>. The terms, provisions and documentation of the Incremental Commitments of any Class shall be as agreed among the Borrower, the Administrative Agent and the applicable Lenders providing such Incremental Commitments. In any event: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any Incremental Commitments with respect to a Revolving Commitment Increase shall be on terms and conditions identical to the Aggregate Revolving Commitments;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any Incremental Term Loan Commitments with respect to any new Class of Incremental Term Loan shall be on terms and conditions reasonably satisfactory to Administrative Agent and may include customary amortization and mandatory prepayments (it being understood that to the extent any financial maintenance covenant is added for the benefit of any new Class of Incremental Term Loan (and the Incremental Term Loan Commitments with respect thereto), no consent for such financial maintenance covenant shall be required from the Administrative Agent or any of the Lenders to the extent that such financial maintenance covenant is also added for the benefit of the existing credit facilities hereunder);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new Class of Incremental Term Loan shall (A)(1) rank </w:t>
      </w:r>
      <w:r>
        <w:rPr>
          <w:rFonts w:ascii="Times New Roman" w:hAnsi="Times New Roman"/>
          <w:color w:val="000000"/>
          <w:sz w:val="22"/>
          <w:u w:val="single"/>
        </w:rPr>
        <w:t>pari</w:t>
      </w:r>
      <w:r>
        <w:rPr>
          <w:rFonts w:ascii="Times New Roman" w:hAnsi="Times New Roman"/>
          <w:color w:val="000000"/>
          <w:sz w:val="20"/>
        </w:rPr>
        <w:t xml:space="preserve"> </w:t>
      </w:r>
      <w:r>
        <w:rPr>
          <w:rFonts w:ascii="Times New Roman" w:hAnsi="Times New Roman"/>
          <w:color w:val="000000"/>
          <w:sz w:val="22"/>
          <w:u w:val="single"/>
        </w:rPr>
        <w:t>passu</w:t>
      </w:r>
      <w:r>
        <w:rPr>
          <w:rFonts w:ascii="Times New Roman" w:hAnsi="Times New Roman"/>
          <w:color w:val="000000"/>
          <w:sz w:val="20"/>
        </w:rPr>
        <w:t xml:space="preserve"> </w:t>
      </w:r>
      <w:r>
        <w:rPr>
          <w:rFonts w:ascii="Times New Roman" w:hAnsi="Times New Roman"/>
          <w:color w:val="000000"/>
          <w:sz w:val="22"/>
        </w:rPr>
        <w:t xml:space="preserve">in right of payment and of security with the then existing Incremental Term Loans (if any) and (2) have no obligors other than the Loan Parties, (B) not mature earlier than the latest Maturity Date of the then existing Incremental Term Loans (if any) at the time of incurrence of such Incremental Term Loan, (C) other than customary amortization and mandatory prepayments, have a Weighted Average Life to Maturity not shorter than the then-remaining Weighted Average Life to Maturity of the Revolving Credit Facility and (D) subject to </w:t>
      </w:r>
      <w:r>
        <w:rPr>
          <w:rFonts w:ascii="Times New Roman" w:hAnsi="Times New Roman"/>
          <w:color w:val="000000"/>
          <w:sz w:val="22"/>
          <w:u w:val="single"/>
        </w:rPr>
        <w:t>clauses (B)</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of the proviso to this </w:t>
      </w:r>
      <w:r>
        <w:rPr>
          <w:rFonts w:ascii="Times New Roman" w:hAnsi="Times New Roman"/>
          <w:color w:val="000000"/>
          <w:sz w:val="22"/>
          <w:u w:val="single"/>
        </w:rPr>
        <w:t>Section 2.16(e)(ii)</w:t>
      </w:r>
      <w:r>
        <w:rPr>
          <w:rFonts w:ascii="Times New Roman" w:hAnsi="Times New Roman"/>
          <w:color w:val="000000"/>
          <w:sz w:val="20"/>
        </w:rPr>
        <w:t xml:space="preserve"> </w:t>
      </w:r>
      <w:r>
        <w:rPr>
          <w:rFonts w:ascii="Times New Roman" w:hAnsi="Times New Roman"/>
          <w:color w:val="000000"/>
          <w:sz w:val="22"/>
        </w:rPr>
        <w:t>set forth above, have an Applicable Rate, fees, customary amortization and customary mandatory prepayments determined by the Borrower and the applicable Lenders providing such Incremental Term Loan.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Incremental Amendment</w:t>
      </w:r>
      <w:r>
        <w:rPr>
          <w:rFonts w:ascii="Times New Roman" w:hAnsi="Times New Roman"/>
          <w:color w:val="000000"/>
          <w:sz w:val="22"/>
        </w:rPr>
        <w:t>. Each Class of Incremental Commitments shall become Commitments under this Agreement pursuant to an amendment (each, an “</w:t>
      </w:r>
      <w:r>
        <w:rPr>
          <w:rFonts w:ascii="Times New Roman" w:hAnsi="Times New Roman"/>
          <w:color w:val="000000"/>
          <w:sz w:val="22"/>
          <w:u w:val="single"/>
        </w:rPr>
        <w:t>Incremental Amendment</w:t>
      </w:r>
      <w:r>
        <w:rPr>
          <w:rFonts w:ascii="Times New Roman" w:hAnsi="Times New Roman"/>
          <w:color w:val="000000"/>
          <w:sz w:val="20"/>
        </w:rPr>
        <w:t>”</w:t>
      </w:r>
      <w:r>
        <w:rPr>
          <w:rFonts w:ascii="Times New Roman" w:hAnsi="Times New Roman"/>
          <w:color w:val="000000"/>
          <w:sz w:val="22"/>
        </w:rPr>
        <w:t xml:space="preserve">) to this Agreement and, as appropriate, the other Loan Documents, executed by the Borrower, the Lenders providing such Incremental Commitments and the Administrative Agent. Each Incremental Amendment may, without the consent of any other Lender, effect such amendments to this Agreement and the other Loan Documents as may be necessary or appropriate, in the reasonable opinion of the Administrative Agent and the Borrower, to effect the provisions of this </w:t>
      </w:r>
      <w:r>
        <w:rPr>
          <w:rFonts w:ascii="Times New Roman" w:hAnsi="Times New Roman"/>
          <w:color w:val="000000"/>
          <w:sz w:val="22"/>
          <w:u w:val="single"/>
        </w:rPr>
        <w:t>Section 2.16</w:t>
      </w:r>
      <w:r>
        <w:rPr>
          <w:rFonts w:ascii="Times New Roman" w:hAnsi="Times New Roman"/>
          <w:color w:val="000000"/>
          <w:sz w:val="20"/>
        </w:rPr>
        <w:t xml:space="preserve"> </w:t>
      </w:r>
      <w:r>
        <w:rPr>
          <w:rFonts w:ascii="Times New Roman" w:hAnsi="Times New Roman"/>
          <w:color w:val="000000"/>
          <w:sz w:val="22"/>
        </w:rPr>
        <w:t>with respect to the establishment of any Incremental Commitments.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Generally</w:t>
      </w:r>
      <w:r>
        <w:rPr>
          <w:rFonts w:ascii="Times New Roman" w:hAnsi="Times New Roman"/>
          <w:color w:val="000000"/>
          <w:sz w:val="22"/>
        </w:rPr>
        <w:t xml:space="preserve">. This </w:t>
      </w:r>
      <w:r>
        <w:rPr>
          <w:rFonts w:ascii="Times New Roman" w:hAnsi="Times New Roman"/>
          <w:color w:val="000000"/>
          <w:sz w:val="22"/>
          <w:u w:val="single"/>
        </w:rPr>
        <w:t>Section 2.16</w:t>
      </w:r>
      <w:r>
        <w:rPr>
          <w:rFonts w:ascii="Times New Roman" w:hAnsi="Times New Roman"/>
          <w:color w:val="000000"/>
          <w:sz w:val="20"/>
        </w:rPr>
        <w:t xml:space="preserve"> </w:t>
      </w:r>
      <w:r>
        <w:rPr>
          <w:rFonts w:ascii="Times New Roman" w:hAnsi="Times New Roman"/>
          <w:color w:val="000000"/>
          <w:sz w:val="22"/>
        </w:rPr>
        <w:t xml:space="preserve">shall supersede any provisions in </w:t>
      </w:r>
      <w:r>
        <w:rPr>
          <w:rFonts w:ascii="Times New Roman" w:hAnsi="Times New Roman"/>
          <w:color w:val="000000"/>
          <w:sz w:val="22"/>
          <w:u w:val="single"/>
        </w:rPr>
        <w:t>Section 2.13</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11.01</w:t>
      </w:r>
      <w:r>
        <w:rPr>
          <w:rFonts w:ascii="Times New Roman" w:hAnsi="Times New Roman"/>
          <w:color w:val="000000"/>
          <w:sz w:val="20"/>
        </w:rPr>
        <w:t xml:space="preserve"> </w:t>
      </w:r>
      <w:r>
        <w:rPr>
          <w:rFonts w:ascii="Times New Roman" w:hAnsi="Times New Roman"/>
          <w:color w:val="000000"/>
          <w:sz w:val="22"/>
        </w:rPr>
        <w:t>to the contrary.</w:t>
      </w:r>
    </w:p>
    <w:p>
      <w:pPr>
        <w:pStyle w:val="Heading1"/>
        <w:bidi w:val="0"/>
        <w:spacing w:before="0" w:after="240"/>
        <w:jc w:val="center"/>
        <w:rPr>
          <w:rFonts w:ascii="Times New Roman" w:hAnsi="Times New Roman"/>
          <w:b w:val="false"/>
          <w:caps/>
          <w:color w:val="000000"/>
          <w:sz w:val="22"/>
        </w:rPr>
      </w:pPr>
      <w:r>
        <w:rPr>
          <w:rFonts w:ascii="Times New Roman" w:hAnsi="Times New Roman"/>
          <w:b w:val="false"/>
          <w:caps/>
          <w:color w:val="000000"/>
          <w:sz w:val="22"/>
        </w:rPr>
        <w:t>Article III.</w:t>
        <w:br/>
        <w:br/>
        <w:t>TAXES, YIELD PROTECTION AND ILLEGALITY</w:t>
      </w:r>
    </w:p>
    <w:p>
      <w:pPr>
        <w:pStyle w:val="TextBody"/>
        <w:bidi w:val="0"/>
        <w:jc w:val="center"/>
        <w:rPr>
          <w:rFonts w:ascii="Times New Roman" w:hAnsi="Times New Roman"/>
          <w:color w:val="000000"/>
          <w:sz w:val="22"/>
        </w:rPr>
      </w:pPr>
      <w:r>
        <w:rPr>
          <w:rFonts w:ascii="Times New Roman" w:hAnsi="Times New Roman"/>
          <w:color w:val="000000"/>
          <w:sz w:val="22"/>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3.01 </w:t>
      </w:r>
      <w:r>
        <w:rPr>
          <w:rFonts w:ascii="Times New Roman" w:hAnsi="Times New Roman"/>
          <w:b w:val="false"/>
          <w:color w:val="000000"/>
          <w:sz w:val="22"/>
          <w:u w:val="single"/>
        </w:rPr>
        <w:t>Taxes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Payments Free of Taxes; Obligation to Withhold; Payments on Account of Taxes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Times New Roman" w:hAnsi="Times New Roman"/>
          <w:color w:val="000000"/>
          <w:sz w:val="22"/>
          <w:u w:val="single"/>
        </w:rPr>
        <w:t>Section 3.01(e)</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If any Loan Party or the Administrative Agent shall be required by the Internal Revenue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 w:hAnsi="Times New Roman"/>
          <w:color w:val="000000"/>
          <w:sz w:val="22"/>
          <w:u w:val="single"/>
        </w:rPr>
        <w:t>Section 3.01(e)</w:t>
      </w:r>
      <w:r>
        <w:rPr>
          <w:rFonts w:ascii="Times New Roman" w:hAnsi="Times New Roman"/>
          <w:color w:val="000000"/>
          <w:sz w:val="22"/>
        </w:rPr>
        <w:t xml:space="preserve">, (B) the Administrative Agent shall timely pay the full amount withheld or deducted to the relevant Governmental Authority in accordance with the Internal Revenue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hAnsi="Times New Roman"/>
          <w:color w:val="000000"/>
          <w:sz w:val="22"/>
          <w:u w:val="single"/>
        </w:rPr>
        <w:t>Section 3.01</w:t>
      </w:r>
      <w:r>
        <w:rPr>
          <w:rFonts w:ascii="Times New Roman" w:hAnsi="Times New Roman"/>
          <w:color w:val="000000"/>
          <w:sz w:val="22"/>
        </w:rPr>
        <w:t>) the applicable Recipient receives an amount equal to the sum it would have received had no such withholding or deduction been made.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If any Loan Party or the Administrative Agent shall be required by any applicable Laws other than the Internal Revenue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Times New Roman" w:hAnsi="Times New Roman"/>
          <w:color w:val="000000"/>
          <w:sz w:val="22"/>
          <w:u w:val="single"/>
        </w:rPr>
        <w:t>Section 3.01(e)</w:t>
      </w:r>
      <w:r>
        <w:rPr>
          <w:rFonts w:ascii="Times New Roman" w:hAnsi="Times New Roman"/>
          <w:color w:val="000000"/>
          <w:sz w:val="22"/>
        </w:rPr>
        <w:t xml:space="preserve">,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hAnsi="Times New Roman"/>
          <w:color w:val="000000"/>
          <w:sz w:val="22"/>
          <w:u w:val="single"/>
        </w:rPr>
        <w:t>Section 3.01</w:t>
      </w:r>
      <w:r>
        <w:rPr>
          <w:rFonts w:ascii="Times New Roman" w:hAnsi="Times New Roman"/>
          <w:color w:val="000000"/>
          <w:sz w:val="22"/>
        </w:rPr>
        <w:t>) the applicable Recipient receives an amount equal to the sum it would have received had no such withholding or deduction been made.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Payment of Other Taxes by the Loan Parties</w:t>
      </w:r>
      <w:r>
        <w:rPr>
          <w:rFonts w:ascii="Times New Roman" w:hAnsi="Times New Roman"/>
          <w:color w:val="000000"/>
          <w:sz w:val="22"/>
        </w:rPr>
        <w:t xml:space="preserve">. Without limiting the provisions of </w:t>
      </w:r>
      <w:r>
        <w:rPr>
          <w:rFonts w:ascii="Times New Roman" w:hAnsi="Times New Roman"/>
          <w:color w:val="000000"/>
          <w:sz w:val="22"/>
          <w:u w:val="single"/>
        </w:rPr>
        <w:t>Section 3.01(a)</w:t>
      </w:r>
      <w:r>
        <w:rPr>
          <w:rFonts w:ascii="Times New Roman" w:hAnsi="Times New Roman"/>
          <w:color w:val="000000"/>
          <w:sz w:val="22"/>
        </w:rPr>
        <w:t>, the Loan Parties shall timely pay to the relevant Governmental Authority in accordance with applicable Law, or at the option of the Administrative Agent timely reimburse it for the payment of, any Other Taxes.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Tax Indemnifications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 Each of the Loan Parties shall, and does hereby, jointly and severally indemnify each Recipient, and shall make payment in respect thereof within ten days after demand therefor, for the full amount of any Indemnified Taxes (including Indemnified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Taxes imposed or asserted on or attributable to amounts payable under this </w:t>
      </w:r>
      <w:r>
        <w:rPr>
          <w:rFonts w:ascii="Times New Roman" w:hAnsi="Times New Roman"/>
          <w:color w:val="000000"/>
          <w:sz w:val="22"/>
          <w:u w:val="single"/>
        </w:rPr>
        <w:t>Section 3.01</w:t>
      </w:r>
      <w:r>
        <w:rPr>
          <w:rFonts w:ascii="Times New Roman" w:hAnsi="Times New Roman"/>
          <w:color w:val="000000"/>
          <w:sz w:val="22"/>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an L/C Issuer (with a copy to the Administrative Agent), or by the Administrative Agent on its own behalf or on behalf of a Lender or an L/C Issuer, shall be conclusive absent manifest error. Each of the Loan Parties shall, and does hereby, jointly and severally indemnify the Administrative Agent, and shall make payment in respect thereof within ten days after demand therefor, for any amount which a Lender or an L/C Issuer for any reason fails to pay indefeasibly to the Administrative Agent as required pursuant to </w:t>
      </w:r>
      <w:r>
        <w:rPr>
          <w:rFonts w:ascii="Times New Roman" w:hAnsi="Times New Roman"/>
          <w:color w:val="000000"/>
          <w:sz w:val="22"/>
          <w:u w:val="single"/>
        </w:rPr>
        <w:t>Section 3.01(c)(ii)</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Each Lender and each L/C Issuer shall, and does hereby, severally indemnify, and shall make payment in respect thereof within ten days after demand therefor, (A) the Administrative Agent against any Indemnified Taxes attributable to such Lender or such L/C Issuer (but only to the extent that any Loan Party has not already indemnified the Administrative Agent for such Indemnified Taxes and without limiting the obligation of the Loan Parties to do so), (B) the Administrative Agent and the Loan Parties, as applicable, against any Taxes attributable to such Lender’s failure to comply with the provisions of </w:t>
      </w:r>
      <w:r>
        <w:rPr>
          <w:rFonts w:ascii="Times New Roman" w:hAnsi="Times New Roman"/>
          <w:color w:val="000000"/>
          <w:sz w:val="22"/>
          <w:u w:val="single"/>
        </w:rPr>
        <w:t>Section 11.06(d)</w:t>
      </w:r>
      <w:r>
        <w:rPr>
          <w:rFonts w:ascii="Times New Roman" w:hAnsi="Times New Roman"/>
          <w:color w:val="000000"/>
          <w:sz w:val="20"/>
        </w:rPr>
        <w:t xml:space="preserve"> </w:t>
      </w:r>
      <w:r>
        <w:rPr>
          <w:rFonts w:ascii="Times New Roman" w:hAnsi="Times New Roman"/>
          <w:color w:val="000000"/>
          <w:sz w:val="22"/>
        </w:rPr>
        <w:t xml:space="preserve">relating to the maintenance of a Participant Register and (C) the Administrative Agent and the Loan Parties, as applicable, against any Excluded Taxes attributable to such Lender or such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each L/C Issuer hereby authorizes the Administrative Agent to set off and apply any and all amounts at any time owing to such Lender or such L/C Issuer, as the case may be, under this Agreement or any other Loan Document against any amount due to the Administrative Agent under this </w:t>
      </w:r>
      <w:r>
        <w:rPr>
          <w:rFonts w:ascii="Times New Roman" w:hAnsi="Times New Roman"/>
          <w:color w:val="000000"/>
          <w:sz w:val="22"/>
          <w:u w:val="single"/>
        </w:rPr>
        <w:t>Section 3.01(c)(ii)</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Evidence of Payments</w:t>
      </w:r>
      <w:r>
        <w:rPr>
          <w:rFonts w:ascii="Times New Roman" w:hAnsi="Times New Roman"/>
          <w:color w:val="000000"/>
          <w:sz w:val="22"/>
        </w:rPr>
        <w:t xml:space="preserve">. Upon request by any Loan Party or the Administrative Agent, as the case may be, after any payment of Taxes by such Loan Party or by the Administrative Agent to a Governmental Authority as provided in this </w:t>
      </w:r>
      <w:r>
        <w:rPr>
          <w:rFonts w:ascii="Times New Roman" w:hAnsi="Times New Roman"/>
          <w:color w:val="000000"/>
          <w:sz w:val="22"/>
          <w:u w:val="single"/>
        </w:rPr>
        <w:t>Section 3.01</w:t>
      </w:r>
      <w:r>
        <w:rPr>
          <w:rFonts w:ascii="Times New Roman" w:hAnsi="Times New Roman"/>
          <w:color w:val="000000"/>
          <w:sz w:val="22"/>
        </w:rPr>
        <w:t>, such Loan Party shall deliver to the Administrative Agent or the Administrative Agent shall deliver to such Loan Party, as the case may be, the original or a certified copy of a receipt issued by such Governmental Authority evidencing such payment, a copy of any return required by Laws to report such payment or other evidence of such payment reasonably satisfactory to such Loan Party or the Administrative Agent, as the case may be.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Status of Lenders; Tax Documentation</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color w:val="000000"/>
          <w:sz w:val="22"/>
          <w:u w:val="single"/>
        </w:rPr>
        <w:t>Sections 3.01(e)(ii)(A)</w:t>
      </w:r>
      <w:r>
        <w:rPr>
          <w:rFonts w:ascii="Times New Roman" w:hAnsi="Times New Roman"/>
          <w:color w:val="000000"/>
          <w:sz w:val="22"/>
        </w:rPr>
        <w:t xml:space="preserve">, </w:t>
      </w:r>
      <w:r>
        <w:rPr>
          <w:rFonts w:ascii="Times New Roman" w:hAnsi="Times New Roman"/>
          <w:color w:val="000000"/>
          <w:sz w:val="22"/>
          <w:u w:val="single"/>
        </w:rPr>
        <w:t>3.01(e)(ii)(B)</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3.01(e)(ii)(D)</w:t>
      </w:r>
      <w:r>
        <w:rPr>
          <w:rFonts w:ascii="Times New Roman" w:hAnsi="Times New Roman"/>
          <w:color w:val="000000"/>
          <w:sz w:val="22"/>
        </w:rPr>
        <w:t>)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Without limiting the generality of the foregoing, in the event that the Borrower is a U.S. Person: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 in the case of a Foreign Lender claiming the benefits of an income tax treaty to which the United States is a party (x) with respect to payments of interest under any Loan Document, executed originals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 executed originals of IRS Form W-8ECI;</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(3) in the case of a Foreign Lender claiming the benefits of the exemption for portfolio interest under Section 881(c) of the Internal Revenue Code, (x) a certificate substantially in the form of </w:t>
      </w:r>
      <w:r>
        <w:rPr>
          <w:rFonts w:ascii="Times New Roman" w:hAnsi="Times New Roman"/>
          <w:color w:val="000000"/>
          <w:sz w:val="22"/>
          <w:u w:val="single"/>
        </w:rPr>
        <w:t>Exhibit G-1</w:t>
      </w:r>
      <w:r>
        <w:rPr>
          <w:rFonts w:ascii="Times New Roman" w:hAnsi="Times New Roman"/>
          <w:color w:val="000000"/>
          <w:sz w:val="20"/>
        </w:rPr>
        <w:t xml:space="preserve"> </w:t>
      </w:r>
      <w:r>
        <w:rPr>
          <w:rFonts w:ascii="Times New Roman" w:hAnsi="Times New Roman"/>
          <w:color w:val="000000"/>
          <w:sz w:val="22"/>
        </w:rPr>
        <w:t>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Times New Roman" w:hAnsi="Times New Roman"/>
          <w:color w:val="000000"/>
          <w:sz w:val="22"/>
          <w:u w:val="single"/>
        </w:rPr>
        <w:t>U.S. Tax Compliance Certificate</w:t>
      </w:r>
      <w:r>
        <w:rPr>
          <w:rFonts w:ascii="Times New Roman" w:hAnsi="Times New Roman"/>
          <w:color w:val="000000"/>
          <w:sz w:val="20"/>
        </w:rPr>
        <w:t>”</w:t>
      </w:r>
      <w:r>
        <w:rPr>
          <w:rFonts w:ascii="Times New Roman" w:hAnsi="Times New Roman"/>
          <w:color w:val="000000"/>
          <w:sz w:val="22"/>
        </w:rPr>
        <w:t>) and (y) executed originals of IRS Form W-8BEN or IRS Form W-8BENE; or</w:t>
      </w:r>
    </w:p>
    <w:p>
      <w:pPr>
        <w:pStyle w:val="TextBody"/>
        <w:bidi w:val="0"/>
        <w:jc w:val="center"/>
        <w:rPr>
          <w:rFonts w:ascii="Times New Roman" w:hAnsi="Times New Roman"/>
          <w:color w:val="000000"/>
          <w:sz w:val="22"/>
        </w:rPr>
      </w:pPr>
      <w:r>
        <w:rPr>
          <w:rFonts w:ascii="Times New Roman" w:hAnsi="Times New Roman"/>
          <w:color w:val="000000"/>
          <w:sz w:val="22"/>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 to the extent a Foreign Lender is not the beneficial owner, executed originals of IRS Form W-8IMY, accompanied by IRS Form W-8ECI, IRS Form W-8BEN or IRS Form W-8BENE, a U.S. Tax Compliance Certificate substantially in the form of </w:t>
      </w:r>
      <w:r>
        <w:rPr>
          <w:rFonts w:ascii="Times New Roman" w:hAnsi="Times New Roman"/>
          <w:color w:val="000000"/>
          <w:sz w:val="22"/>
          <w:u w:val="single"/>
        </w:rPr>
        <w:t>Exhibit G-2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Exhibit G-3</w:t>
      </w:r>
      <w:r>
        <w:rPr>
          <w:rFonts w:ascii="Times New Roman" w:hAnsi="Times New Roman"/>
          <w:color w:val="000000"/>
          <w:sz w:val="22"/>
        </w:rPr>
        <w:t xml:space="preserve">, IRS Form W-9, and/or other certification documents from each beneficial owner, as applicable;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color w:val="000000"/>
          <w:sz w:val="22"/>
          <w:u w:val="single"/>
        </w:rPr>
        <w:t>Exhibit G-4</w:t>
      </w:r>
      <w:r>
        <w:rPr>
          <w:rFonts w:ascii="Times New Roman" w:hAnsi="Times New Roman"/>
          <w:color w:val="000000"/>
          <w:sz w:val="20"/>
        </w:rPr>
        <w:t xml:space="preserve"> </w:t>
      </w:r>
      <w:r>
        <w:rPr>
          <w:rFonts w:ascii="Times New Roman" w:hAnsi="Times New Roman"/>
          <w:color w:val="000000"/>
          <w:sz w:val="22"/>
        </w:rPr>
        <w:t>on behalf of each such direct and indirect partner;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hAnsi="Times New Roman"/>
          <w:color w:val="000000"/>
          <w:sz w:val="22"/>
          <w:u w:val="single"/>
        </w:rPr>
        <w:t>clause (D)</w:t>
      </w:r>
      <w:r>
        <w:rPr>
          <w:rFonts w:ascii="Times New Roman" w:hAnsi="Times New Roman"/>
          <w:color w:val="000000"/>
          <w:sz w:val="22"/>
        </w:rPr>
        <w:t>, “FATCA” shall include any amendments made to FATCA after the Effective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Each Lender agrees that if any form or certification it previously delivered pursuant to this </w:t>
      </w:r>
      <w:r>
        <w:rPr>
          <w:rFonts w:ascii="Times New Roman" w:hAnsi="Times New Roman"/>
          <w:color w:val="000000"/>
          <w:sz w:val="22"/>
          <w:u w:val="single"/>
        </w:rPr>
        <w:t>Section 3.01</w:t>
      </w:r>
      <w:r>
        <w:rPr>
          <w:rFonts w:ascii="Times New Roman" w:hAnsi="Times New Roman"/>
          <w:color w:val="000000"/>
          <w:sz w:val="20"/>
        </w:rPr>
        <w:t xml:space="preserve"> </w:t>
      </w:r>
      <w:r>
        <w:rPr>
          <w:rFonts w:ascii="Times New Roman" w:hAnsi="Times New Roman"/>
          <w:color w:val="000000"/>
          <w:sz w:val="22"/>
        </w:rPr>
        <w:t>expires or becomes obsolete or inaccurate in any respect, it shall update such form or certification or promptly notify the Borrower and the Administrative Agent in writing of its legal inability to do so.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Treatment of Certain Refunds</w:t>
      </w:r>
      <w:r>
        <w:rPr>
          <w:rFonts w:ascii="Times New Roman" w:hAnsi="Times New Roman"/>
          <w:color w:val="000000"/>
          <w:sz w:val="22"/>
        </w:rPr>
        <w:t xml:space="preserve">. Unless required by applicable Laws, at no time shall the Administrative Agent have any obligation to file for or otherwise pursue on behalf of a Lender or an L/C Issuer, or have any obligation to pay to any Lender or any L/C Issuer, any refund of Taxes withheld or deducted from funds paid for the account of such Lender or such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 w:hAnsi="Times New Roman"/>
          <w:color w:val="000000"/>
          <w:sz w:val="22"/>
          <w:u w:val="single"/>
        </w:rPr>
        <w:t>Section 3.01</w:t>
      </w:r>
      <w:r>
        <w:rPr>
          <w:rFonts w:ascii="Times New Roman" w:hAnsi="Times New Roman"/>
          <w:color w:val="000000"/>
          <w:sz w:val="22"/>
        </w:rPr>
        <w:t>, it shall pay to such Loan Party an amount equal to such refund (but only to the extent of indemnity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payments made, or additional amounts paid, by a Loan Party under this </w:t>
      </w:r>
      <w:r>
        <w:rPr>
          <w:rFonts w:ascii="Times New Roman" w:hAnsi="Times New Roman"/>
          <w:color w:val="000000"/>
          <w:sz w:val="22"/>
          <w:u w:val="single"/>
        </w:rPr>
        <w:t>Section 3.01</w:t>
      </w:r>
      <w:r>
        <w:rPr>
          <w:rFonts w:ascii="Times New Roman" w:hAnsi="Times New Roman"/>
          <w:color w:val="000000"/>
          <w:sz w:val="20"/>
        </w:rPr>
        <w:t xml:space="preserve"> </w:t>
      </w:r>
      <w:r>
        <w:rPr>
          <w:rFonts w:ascii="Times New Roman" w:hAnsi="Times New Roman"/>
          <w:color w:val="000000"/>
          <w:sz w:val="22"/>
        </w:rPr>
        <w:t xml:space="preserve">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such Loan Party, upon the request of the Recipient, agrees to repay the amount paid over to such Loan Party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any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Survival</w:t>
      </w:r>
      <w:r>
        <w:rPr>
          <w:rFonts w:ascii="Times New Roman" w:hAnsi="Times New Roman"/>
          <w:color w:val="000000"/>
          <w:sz w:val="22"/>
        </w:rPr>
        <w:t xml:space="preserve">. Each party’s obligations under this </w:t>
      </w:r>
      <w:r>
        <w:rPr>
          <w:rFonts w:ascii="Times New Roman" w:hAnsi="Times New Roman"/>
          <w:color w:val="000000"/>
          <w:sz w:val="22"/>
          <w:u w:val="single"/>
        </w:rPr>
        <w:t>Section 3.01</w:t>
      </w:r>
      <w:r>
        <w:rPr>
          <w:rFonts w:ascii="Times New Roman" w:hAnsi="Times New Roman"/>
          <w:color w:val="000000"/>
          <w:sz w:val="20"/>
        </w:rPr>
        <w:t xml:space="preserve"> </w:t>
      </w:r>
      <w:r>
        <w:rPr>
          <w:rFonts w:ascii="Times New Roman" w:hAnsi="Times New Roman"/>
          <w:color w:val="000000"/>
          <w:sz w:val="22"/>
        </w:rPr>
        <w:t>shall survive the resignation or replacement of the Administrative Agent or any assignment of rights by, or the replacement of, a Lender or an L/C Issuer, the termination of the Aggregate Revolving Commitments and the Facility Termination Date.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3.02 </w:t>
      </w:r>
      <w:r>
        <w:rPr>
          <w:rFonts w:ascii="Times New Roman" w:hAnsi="Times New Roman"/>
          <w:b w:val="false"/>
          <w:color w:val="000000"/>
          <w:sz w:val="22"/>
          <w:u w:val="single"/>
        </w:rPr>
        <w:t>Illegality</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If any Lender determines that any Law has made it unlawful, or that any Governmental Authority has asserted that it is unlawful, for any Lender or its applicable Lending Office to perform any of its obligations hereunder or to make, maintain or fund or charge interest with respect to any Credit Extension, or to determine or charge interest rates based upon the Term SOFR, or any Governmental Authority has imposed material restrictions on the authority of such Lender to purchase or sell, or to take deposits of, Dollars in the applicable interbank market, then, on notice thereof by such Lender to the Borrower through the Administrative Agent, (a) any obligation of such Lender to issue, make, maintain, fund or charge interest with respect to any Credit Extension or continue Term SOFR Loans or to convert Base Rate Loans to Term SOFR 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Loans to such day, or immediately, if such Lender may not lawfully continue to maintain such Term SOFR Loans and (ii) if such notice asserts the illegality of such Lender determining or charging interest rates based upon the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the Term SOFR. Upon any such prepayment or conversion, the Borrower shall also pay accrued interest on the amount so prepaid or converted, together with any additional amounts required pursuant to </w:t>
      </w:r>
      <w:r>
        <w:rPr>
          <w:rFonts w:ascii="Times New Roman" w:hAnsi="Times New Roman"/>
          <w:color w:val="000000"/>
          <w:sz w:val="22"/>
          <w:u w:val="single"/>
        </w:rPr>
        <w:t>Section 3.05</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Each Lender at its option may make any Credit Extension to the Borrower by causing any domestic or foreign branch or Affiliate of such Lender to make such Credit Extension;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 exercise of such option shall not affect the obligation of the Borrower to repay such Credit Extension in accordance with the terms of this Agreement.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3.03 </w:t>
      </w:r>
      <w:r>
        <w:rPr>
          <w:rFonts w:ascii="Times New Roman" w:hAnsi="Times New Roman"/>
          <w:b w:val="false"/>
          <w:color w:val="000000"/>
          <w:sz w:val="22"/>
          <w:u w:val="single"/>
        </w:rPr>
        <w:t>Inability to Determine Rates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If in connection with any request for a Term SOFR Loan or a conversion of Base Rate Loans to Term SOFR Loans or a continuation of any of such Loans, as applicable, (i) the Administrative Agent determines (which determination shall be conclusive absent manifest error) that (A) no Successor Rate has been determined in accordance with </w:t>
      </w:r>
      <w:r>
        <w:rPr>
          <w:rFonts w:ascii="Times New Roman" w:hAnsi="Times New Roman"/>
          <w:color w:val="000000"/>
          <w:sz w:val="22"/>
          <w:u w:val="single"/>
        </w:rPr>
        <w:t>Section 3.03(b)</w:t>
      </w:r>
      <w:r>
        <w:rPr>
          <w:rFonts w:ascii="Times New Roman" w:hAnsi="Times New Roman"/>
          <w:color w:val="000000"/>
          <w:sz w:val="22"/>
        </w:rPr>
        <w:t xml:space="preserve">, and the circumstances under clause (i) of </w:t>
      </w:r>
      <w:r>
        <w:rPr>
          <w:rFonts w:ascii="Times New Roman" w:hAnsi="Times New Roman"/>
          <w:color w:val="000000"/>
          <w:sz w:val="22"/>
          <w:u w:val="single"/>
        </w:rPr>
        <w:t>Section 3.03(b)</w:t>
      </w:r>
      <w:r>
        <w:rPr>
          <w:rFonts w:ascii="Times New Roman" w:hAnsi="Times New Roman"/>
          <w:color w:val="000000"/>
          <w:sz w:val="20"/>
        </w:rPr>
        <w:t xml:space="preserve"> </w:t>
      </w:r>
      <w:r>
        <w:rPr>
          <w:rFonts w:ascii="Times New Roman" w:hAnsi="Times New Roman"/>
          <w:color w:val="000000"/>
          <w:sz w:val="22"/>
        </w:rPr>
        <w:t>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that for any reason that Term SOFR for any requested Interest Period with respect to a proposed Loan does not adequately and fairly reflect the cost to such Lenders of funding such Loan, the Administrative Agent will promptly so notify the Borrower and each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Thereafter, (x) the obligation of the Lenders to make or maintain Term SOFR Loans, or to convert Base Rate Loans to Term SOFR Loans,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 w:hAnsi="Times New Roman"/>
          <w:color w:val="000000"/>
          <w:sz w:val="22"/>
          <w:u w:val="single"/>
        </w:rPr>
        <w:t>Section 3.03(a)</w:t>
      </w:r>
      <w:r>
        <w:rPr>
          <w:rFonts w:ascii="Times New Roman" w:hAnsi="Times New Roman"/>
          <w:color w:val="000000"/>
          <w:sz w:val="22"/>
        </w:rPr>
        <w:t>, until the Administrative Agent upon instruction of the Required Lenders) revokes such notice.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receipt of such notice, (i) the Borrower may revoke any pending request for a Borrowing of, or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immediately at the end of their respective applicable Interest Period.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Replacement of Term SOFR or Successor Rate</w:t>
      </w:r>
      <w:r>
        <w:rPr>
          <w:rFonts w:ascii="Times New Roman" w:hAnsi="Times New Roman"/>
          <w:color w:val="000000"/>
          <w:sz w:val="22"/>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pStyle w:val="TextBody"/>
        <w:bidi w:val="0"/>
        <w:spacing w:before="0" w:after="240"/>
        <w:jc w:val="both"/>
        <w:rPr>
          <w:rFonts w:ascii="Times New Roman" w:hAnsi="Times New Roman"/>
          <w:sz w:val="20"/>
        </w:rPr>
      </w:pPr>
      <w:r>
        <w:rPr>
          <w:rFonts w:ascii="Times New Roman" w:hAnsi="Times New Roman"/>
          <w:color w:val="000000"/>
          <w:sz w:val="22"/>
        </w:rPr>
        <w:t>(ii)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shall or will no longer be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hAnsi="Times New Roman"/>
          <w:color w:val="000000"/>
          <w:sz w:val="22"/>
          <w:u w:val="single"/>
        </w:rPr>
        <w:t>Scheduled Unavailability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then, reasonably promptly after such determination by the Administrative Agent or receipt by the Administrative Agent of such notice, as applicable, (any such date, the “</w:t>
      </w:r>
      <w:r>
        <w:rPr>
          <w:rFonts w:ascii="Times New Roman" w:hAnsi="Times New Roman"/>
          <w:color w:val="000000"/>
          <w:sz w:val="22"/>
          <w:u w:val="single"/>
        </w:rPr>
        <w:t>Term SOFR Replacement Date</w:t>
      </w:r>
      <w:r>
        <w:rPr>
          <w:rFonts w:ascii="Times New Roman" w:hAnsi="Times New Roman"/>
          <w:color w:val="000000"/>
          <w:sz w:val="20"/>
        </w:rPr>
        <w:t>”</w:t>
      </w:r>
      <w:r>
        <w:rPr>
          <w:rFonts w:ascii="Times New Roman" w:hAnsi="Times New Roman"/>
          <w:color w:val="000000"/>
          <w:sz w:val="22"/>
        </w:rPr>
        <w:t>),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plus 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Times New Roman" w:hAnsi="Times New Roman"/>
          <w:color w:val="000000"/>
          <w:sz w:val="22"/>
          <w:u w:val="single"/>
        </w:rPr>
        <w:t>Successor Rate</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If the Successor Rate is Daily Simple SOFR, plus the SOFR Adjustment, all interest payments will be payable on a monthly basis.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hAnsi="Times New Roman"/>
          <w:color w:val="000000"/>
          <w:sz w:val="22"/>
          <w:u w:val="single"/>
        </w:rPr>
        <w:t>Section 3.03(b)(i)</w:t>
      </w:r>
      <w:r>
        <w:rPr>
          <w:rFonts w:ascii="Times New Roman" w:hAnsi="Times New Roman"/>
          <w:color w:val="000000"/>
          <w:sz w:val="20"/>
        </w:rPr>
        <w:t xml:space="preserve"> </w:t>
      </w:r>
      <w:r>
        <w:rPr>
          <w:rFonts w:ascii="Times New Roman" w:hAnsi="Times New Roman"/>
          <w:color w:val="000000"/>
          <w:sz w:val="22"/>
        </w:rPr>
        <w:t xml:space="preserve">or (ii) 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Times New Roman" w:hAnsi="Times New Roman"/>
          <w:color w:val="000000"/>
          <w:sz w:val="22"/>
          <w:u w:val="single"/>
        </w:rPr>
        <w:t>Section 3.03</w:t>
      </w:r>
      <w:r>
        <w:rPr>
          <w:rFonts w:ascii="Times New Roman" w:hAnsi="Times New Roman"/>
          <w:color w:val="000000"/>
          <w:sz w:val="20"/>
        </w:rPr>
        <w:t xml:space="preserve"> </w:t>
      </w:r>
      <w:r>
        <w:rPr>
          <w:rFonts w:ascii="Times New Roman" w:hAnsi="Times New Roman"/>
          <w:color w:val="000000"/>
          <w:sz w:val="22"/>
        </w:rPr>
        <w:t>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“Successor Rate”.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will promptly (in one or more notices) notify the Borrower and each Lender of the implementation of any Successor Rate.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Successor Rate shall be applied in a manner consistent with market practice; provided that to the extent such market practice is not administratively feasible for the Administrative Agent, such Successor Rate shall be applied in a manner as otherwise reasonably determined by the Administrative Agent.</w:t>
      </w:r>
    </w:p>
    <w:p>
      <w:pPr>
        <w:pStyle w:val="TextBody"/>
        <w:bidi w:val="0"/>
        <w:jc w:val="center"/>
        <w:rPr>
          <w:rFonts w:ascii="Times New Roman" w:hAnsi="Times New Roman"/>
          <w:color w:val="000000"/>
          <w:sz w:val="22"/>
        </w:rPr>
      </w:pPr>
      <w:r>
        <w:rPr>
          <w:rFonts w:ascii="Times New Roman" w:hAnsi="Times New Roman"/>
          <w:color w:val="000000"/>
          <w:sz w:val="22"/>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else herein, if at any time any Successor Rate as so determined would otherwise be less than zero, the Successor Rate will be deemed to be zero for the purposes of this Agreement and the other Loan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provided 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purposes of this </w:t>
      </w:r>
      <w:r>
        <w:rPr>
          <w:rFonts w:ascii="Times New Roman" w:hAnsi="Times New Roman"/>
          <w:color w:val="000000"/>
          <w:sz w:val="22"/>
          <w:u w:val="single"/>
        </w:rPr>
        <w:t>Section 3.03</w:t>
      </w:r>
      <w:r>
        <w:rPr>
          <w:rFonts w:ascii="Times New Roman" w:hAnsi="Times New Roman"/>
          <w:color w:val="000000"/>
          <w:sz w:val="22"/>
        </w:rPr>
        <w:t>, those Lenders that either have not made, or do not have an obligation under this Agreement to make, the relevant Loans in Dollars shall be excluded from any determination of Required Lenders.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3.04 </w:t>
      </w:r>
      <w:r>
        <w:rPr>
          <w:rFonts w:ascii="Times New Roman" w:hAnsi="Times New Roman"/>
          <w:b w:val="false"/>
          <w:color w:val="000000"/>
          <w:sz w:val="22"/>
          <w:u w:val="single"/>
        </w:rPr>
        <w:t>Increased Costs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Increased Costs Generally</w:t>
      </w:r>
      <w:r>
        <w:rPr>
          <w:rFonts w:ascii="Times New Roman" w:hAnsi="Times New Roman"/>
          <w:color w:val="000000"/>
          <w:sz w:val="22"/>
        </w:rPr>
        <w:t>. If any Change in Law shall: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Times New Roman" w:hAnsi="Times New Roman"/>
          <w:color w:val="000000"/>
          <w:sz w:val="22"/>
          <w:u w:val="single"/>
        </w:rPr>
        <w:t>Section 3.04(e)</w:t>
      </w:r>
      <w:r>
        <w:rPr>
          <w:rFonts w:ascii="Times New Roman" w:hAnsi="Times New Roman"/>
          <w:color w:val="000000"/>
          <w:sz w:val="22"/>
        </w:rPr>
        <w:t>) or any L/C Issuer;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subject any Recipient to any Taxes (other than (A) Indemnified Taxes, (B) Taxes described in </w:t>
      </w:r>
      <w:r>
        <w:rPr>
          <w:rFonts w:ascii="Times New Roman" w:hAnsi="Times New Roman"/>
          <w:color w:val="000000"/>
          <w:sz w:val="22"/>
          <w:u w:val="single"/>
        </w:rPr>
        <w:t>clauses (b)</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(d)</w:t>
      </w:r>
      <w:r>
        <w:rPr>
          <w:rFonts w:ascii="Times New Roman" w:hAnsi="Times New Roman"/>
          <w:color w:val="000000"/>
          <w:sz w:val="20"/>
        </w:rPr>
        <w:t xml:space="preserve"> </w:t>
      </w:r>
      <w:r>
        <w:rPr>
          <w:rFonts w:ascii="Times New Roman" w:hAnsi="Times New Roman"/>
          <w:color w:val="000000"/>
          <w:sz w:val="22"/>
        </w:rPr>
        <w:t>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impose on any Lender or any L/C Issuer or the applicable interbank market any other condition, cost or expense affecting this Agreement or Term SOFR Loans made by such Lender or any Letter of Credit or participation therein;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the result of any of the foregoing shall be to increase the cost to such Lender of making, converting to, continuing or maintaining any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Borrower will pay to such Lender or such L/C Issuer, as the case may be, such additional amount or amounts as will compensate such Lender or such L/C Issuer, as the case may be, for such additional costs incurred or reduction suffered.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Capital Requirements</w:t>
      </w:r>
      <w:r>
        <w:rPr>
          <w:rFonts w:ascii="Times New Roman" w:hAnsi="Times New Roman"/>
          <w:color w:val="000000"/>
          <w:sz w:val="22"/>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held by, such Lender, or the Letters of Credit issued by such L/C</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or liquidity), then from time to time the Borrower will pay to such Lender or such L/C Issuer, as the case may be, such additional amount or amounts as will compensate such Lender or such L/C Issuer or such Lender’s or such L/C Issuer’s holding company for any such reduction suffered.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Certificates for Reimbursement</w:t>
      </w:r>
      <w:r>
        <w:rPr>
          <w:rFonts w:ascii="Times New Roman" w:hAnsi="Times New Roman"/>
          <w:color w:val="000000"/>
          <w:sz w:val="22"/>
        </w:rPr>
        <w:t xml:space="preserve">. A certificate of a Lender or an L/C Issuer setting forth the amount or amounts necessary to compensate such Lender or such L/C Issuer or its holding company, as the case may be, as specified in </w:t>
      </w:r>
      <w:r>
        <w:rPr>
          <w:rFonts w:ascii="Times New Roman" w:hAnsi="Times New Roman"/>
          <w:color w:val="000000"/>
          <w:sz w:val="22"/>
          <w:u w:val="single"/>
        </w:rPr>
        <w:t>Section 3.04(a)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and delivered to the Borrower shall be conclusive absent manifest error. The Borrower shall pay such Lender or such L/C Issuer, as the case may be, the amount shown as due on any such certificate within ten days after receipt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Delay in Requests</w:t>
      </w:r>
      <w:r>
        <w:rPr>
          <w:rFonts w:ascii="Times New Roman" w:hAnsi="Times New Roman"/>
          <w:color w:val="000000"/>
          <w:sz w:val="22"/>
        </w:rPr>
        <w:t xml:space="preserve">. Failure or delay on the part of any Lender or any L/C Issuer to demand compensation pursuant to the foregoing provisions of this Section shall not constitute a waiver of such Lender’s or such L/C Issuer’s right to demand such compensation;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Borrower shall not be required to compensate a Lender or an L/C Issuer pursuant to the foregoing provisions of this Section for any increased costs incurred or reductions suffered more than six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3.05 </w:t>
      </w:r>
      <w:r>
        <w:rPr>
          <w:rFonts w:ascii="Times New Roman" w:hAnsi="Times New Roman"/>
          <w:b w:val="false"/>
          <w:color w:val="000000"/>
          <w:sz w:val="22"/>
          <w:u w:val="single"/>
        </w:rPr>
        <w:t>Compensation for Losses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demand of any Lender (with a copy to the Administrative Agent) from time to time, the Borrower shall promptly compensate such Lender for and hold such Lender harmless from any loss, cost or expense incurred by it as a result 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any continuation, conversion, payment or prepayment of any Term SOFR Loan on a day other than the last day of the Interest Period for such Loan (whether voluntary, mandatory, automatic, by reason of acceleration, or otherwise);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failure by the Borrower (for a reason other than the failure of such Lender to make a Loan) to prepay, borrow, continue or convert any Term SOFR Loan on the date or in the amount notified by the Borrower;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any assignment of a Term SOFR Loan on a day other than the last day of the Interest Period therefor as a result of a request by the Borrower pursuant to </w:t>
      </w:r>
      <w:r>
        <w:rPr>
          <w:rFonts w:ascii="Times New Roman" w:hAnsi="Times New Roman"/>
          <w:color w:val="000000"/>
          <w:sz w:val="22"/>
          <w:u w:val="single"/>
        </w:rPr>
        <w:t>Section 11.13</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including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3.06 </w:t>
      </w:r>
      <w:r>
        <w:rPr>
          <w:rFonts w:ascii="Times New Roman" w:hAnsi="Times New Roman"/>
          <w:b w:val="false"/>
          <w:color w:val="000000"/>
          <w:sz w:val="22"/>
          <w:u w:val="single"/>
        </w:rPr>
        <w:t>Mitigation of Obligations; Replacement of Lenders</w:t>
      </w:r>
      <w:r>
        <w:rPr>
          <w:rFonts w:ascii="Times New Roman" w:hAnsi="Times New Roman"/>
          <w:b w:val="false"/>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Designation of a Different Lending Office</w:t>
      </w:r>
      <w:r>
        <w:rPr>
          <w:rFonts w:ascii="Times New Roman" w:hAnsi="Times New Roman"/>
          <w:color w:val="000000"/>
          <w:sz w:val="22"/>
        </w:rPr>
        <w:t xml:space="preserve">. If any Lender requests compensation under </w:t>
      </w:r>
      <w:r>
        <w:rPr>
          <w:rFonts w:ascii="Times New Roman" w:hAnsi="Times New Roman"/>
          <w:color w:val="000000"/>
          <w:sz w:val="22"/>
          <w:u w:val="single"/>
        </w:rPr>
        <w:t>Section 3.04</w:t>
      </w:r>
      <w:r>
        <w:rPr>
          <w:rFonts w:ascii="Times New Roman" w:hAnsi="Times New Roman"/>
          <w:color w:val="000000"/>
          <w:sz w:val="22"/>
        </w:rPr>
        <w:t xml:space="preserve">, or requires the Borrower to pay any Indemnified Taxes or additional amounts to any Lender, any L/C Issuer, or any Governmental Authority for the account of any Lender or any L/C Issuer pursuant to </w:t>
      </w:r>
      <w:r>
        <w:rPr>
          <w:rFonts w:ascii="Times New Roman" w:hAnsi="Times New Roman"/>
          <w:color w:val="000000"/>
          <w:sz w:val="22"/>
          <w:u w:val="single"/>
        </w:rPr>
        <w:t>Section 3.01</w:t>
      </w:r>
      <w:r>
        <w:rPr>
          <w:rFonts w:ascii="Times New Roman" w:hAnsi="Times New Roman"/>
          <w:color w:val="000000"/>
          <w:sz w:val="22"/>
        </w:rPr>
        <w:t xml:space="preserve">, or if any Lender gives a notice pursuant to </w:t>
      </w:r>
      <w:r>
        <w:rPr>
          <w:rFonts w:ascii="Times New Roman" w:hAnsi="Times New Roman"/>
          <w:color w:val="000000"/>
          <w:sz w:val="22"/>
          <w:u w:val="single"/>
        </w:rPr>
        <w:t>Section 3.02</w:t>
      </w:r>
      <w:r>
        <w:rPr>
          <w:rFonts w:ascii="Times New Roman" w:hAnsi="Times New Roman"/>
          <w:color w:val="000000"/>
          <w:sz w:val="22"/>
        </w:rPr>
        <w:t xml:space="preserve">, then at the request of the Borrower such Lender or such L/C Issuer, as applicable, shall use reasonable efforts to designate a different Lending Office for funding or booking its Loans hereunder or to assign its rights and obligations hereunder to another of its offices, branches or affiliates, if, in the judgment of such Lender or such L/C Issuer, as applicable, such designation or assignment (i) would eliminate or reduce amounts payable pursuant to </w:t>
      </w:r>
      <w:r>
        <w:rPr>
          <w:rFonts w:ascii="Times New Roman" w:hAnsi="Times New Roman"/>
          <w:color w:val="000000"/>
          <w:sz w:val="22"/>
          <w:u w:val="single"/>
        </w:rPr>
        <w:t>Section 3.01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3.04</w:t>
      </w:r>
      <w:r>
        <w:rPr>
          <w:rFonts w:ascii="Times New Roman" w:hAnsi="Times New Roman"/>
          <w:color w:val="000000"/>
          <w:sz w:val="22"/>
        </w:rPr>
        <w:t xml:space="preserve">, as the case may be, in the future, or eliminate the need for the notice pursuant to </w:t>
      </w:r>
      <w:r>
        <w:rPr>
          <w:rFonts w:ascii="Times New Roman" w:hAnsi="Times New Roman"/>
          <w:color w:val="000000"/>
          <w:sz w:val="22"/>
          <w:u w:val="single"/>
        </w:rPr>
        <w:t>Section 3.02</w:t>
      </w:r>
      <w:r>
        <w:rPr>
          <w:rFonts w:ascii="Times New Roman" w:hAnsi="Times New Roman"/>
          <w:color w:val="000000"/>
          <w:sz w:val="22"/>
        </w:rPr>
        <w:t>, as applicable, and (ii) in each case, would not subject such Lender or such L/C Issuer, as the case may be, to any unreimbursed cost or expense and would not otherwise be disadvantageous to such Lender or such L/C Issuer, as the case may be. The Borrower hereby agrees to pay all reasonable costs and expenses incurred by any Lender or any L/C Issuer in connection with any such designation or assignment.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Replacement of Lenders</w:t>
      </w:r>
      <w:r>
        <w:rPr>
          <w:rFonts w:ascii="Times New Roman" w:hAnsi="Times New Roman"/>
          <w:color w:val="000000"/>
          <w:sz w:val="22"/>
        </w:rPr>
        <w:t xml:space="preserve">. If any Lender requests compensation under </w:t>
      </w:r>
      <w:r>
        <w:rPr>
          <w:rFonts w:ascii="Times New Roman" w:hAnsi="Times New Roman"/>
          <w:color w:val="000000"/>
          <w:sz w:val="22"/>
          <w:u w:val="single"/>
        </w:rPr>
        <w:t>Section 3.04</w:t>
      </w:r>
      <w:r>
        <w:rPr>
          <w:rFonts w:ascii="Times New Roman" w:hAnsi="Times New Roman"/>
          <w:color w:val="000000"/>
          <w:sz w:val="22"/>
        </w:rPr>
        <w:t xml:space="preserve">, or if the Borrower is required to pay any Indemnified Taxes or additional amounts to any Lender or any Governmental Authority for the account of any Lender pursuant to </w:t>
      </w:r>
      <w:r>
        <w:rPr>
          <w:rFonts w:ascii="Times New Roman" w:hAnsi="Times New Roman"/>
          <w:color w:val="000000"/>
          <w:sz w:val="22"/>
          <w:u w:val="single"/>
        </w:rPr>
        <w:t>Section 3.01</w:t>
      </w:r>
      <w:r>
        <w:rPr>
          <w:rFonts w:ascii="Times New Roman" w:hAnsi="Times New Roman"/>
          <w:color w:val="000000"/>
          <w:sz w:val="20"/>
        </w:rPr>
        <w:t xml:space="preserve"> </w:t>
      </w:r>
      <w:r>
        <w:rPr>
          <w:rFonts w:ascii="Times New Roman" w:hAnsi="Times New Roman"/>
          <w:color w:val="000000"/>
          <w:sz w:val="22"/>
        </w:rPr>
        <w:t xml:space="preserve">and, in each case, such Lender has declined or is unable to designate a different lending office in accordance with </w:t>
      </w:r>
      <w:r>
        <w:rPr>
          <w:rFonts w:ascii="Times New Roman" w:hAnsi="Times New Roman"/>
          <w:color w:val="000000"/>
          <w:sz w:val="22"/>
          <w:u w:val="single"/>
        </w:rPr>
        <w:t>Section 3.06(a)</w:t>
      </w:r>
      <w:r>
        <w:rPr>
          <w:rFonts w:ascii="Times New Roman" w:hAnsi="Times New Roman"/>
          <w:color w:val="000000"/>
          <w:sz w:val="22"/>
        </w:rPr>
        <w:t xml:space="preserve">, the Borrower may replace such Lender in accordance with </w:t>
      </w:r>
      <w:r>
        <w:rPr>
          <w:rFonts w:ascii="Times New Roman" w:hAnsi="Times New Roman"/>
          <w:color w:val="000000"/>
          <w:sz w:val="22"/>
          <w:u w:val="single"/>
        </w:rPr>
        <w:t>Section 11.13</w:t>
      </w:r>
      <w:r>
        <w:rPr>
          <w:rFonts w:ascii="Times New Roman" w:hAnsi="Times New Roman"/>
          <w:color w:val="000000"/>
          <w:sz w:val="22"/>
        </w:rPr>
        <w: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3.07 </w:t>
      </w:r>
      <w:r>
        <w:rPr>
          <w:rFonts w:ascii="Times New Roman" w:hAnsi="Times New Roman"/>
          <w:b w:val="false"/>
          <w:color w:val="000000"/>
          <w:sz w:val="22"/>
          <w:u w:val="single"/>
        </w:rPr>
        <w:t>Survival</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All of the Loan Parties’ obligations under this </w:t>
      </w:r>
      <w:r>
        <w:rPr>
          <w:rFonts w:ascii="Times New Roman" w:hAnsi="Times New Roman"/>
          <w:color w:val="000000"/>
          <w:sz w:val="22"/>
          <w:u w:val="single"/>
        </w:rPr>
        <w:t>Article III</w:t>
      </w:r>
      <w:r>
        <w:rPr>
          <w:rFonts w:ascii="Times New Roman" w:hAnsi="Times New Roman"/>
          <w:color w:val="000000"/>
          <w:sz w:val="20"/>
        </w:rPr>
        <w:t xml:space="preserve"> </w:t>
      </w:r>
      <w:r>
        <w:rPr>
          <w:rFonts w:ascii="Times New Roman" w:hAnsi="Times New Roman"/>
          <w:color w:val="000000"/>
          <w:sz w:val="22"/>
        </w:rPr>
        <w:t>shall survive the termination of the Aggregate Revolving Commitments, the resignation of the Administrative Agent, the termination of the Loan Documents and the Facility Termination Date.</w:t>
      </w:r>
    </w:p>
    <w:p>
      <w:pPr>
        <w:pStyle w:val="Heading1"/>
        <w:bidi w:val="0"/>
        <w:spacing w:before="0" w:after="240"/>
        <w:jc w:val="center"/>
        <w:rPr>
          <w:rFonts w:ascii="Times New Roman" w:hAnsi="Times New Roman"/>
          <w:b w:val="false"/>
          <w:caps/>
          <w:color w:val="000000"/>
          <w:sz w:val="22"/>
        </w:rPr>
      </w:pPr>
      <w:r>
        <w:rPr>
          <w:rFonts w:ascii="Times New Roman" w:hAnsi="Times New Roman"/>
          <w:b w:val="false"/>
          <w:caps/>
          <w:color w:val="000000"/>
          <w:sz w:val="22"/>
        </w:rPr>
        <w:t>Article IV.</w:t>
        <w:br/>
        <w:br/>
        <w:t>GUARANTY</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4.01 </w:t>
      </w:r>
      <w:r>
        <w:rPr>
          <w:rFonts w:ascii="Times New Roman" w:hAnsi="Times New Roman"/>
          <w:b w:val="false"/>
          <w:color w:val="000000"/>
          <w:sz w:val="22"/>
          <w:u w:val="single"/>
        </w:rPr>
        <w:t>The Guaranty</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On and after the Effective Date, each of the Guarantors (a) hereby jointly and severally guarantees to the Administrative Agent, the L/C Issuers, the Lenders and each other holder of Obligations as hereinafter provided, as primary obligor and not as surety, the prompt payment of the Obligations in full when due (whether at stated maturity, as a mandatory prepayment, by acceleration, as a mandatory cash collateralization or otherwise) strictly in accordance with the terms thereof and (b) agrees that if any of the Obligations are not paid in full when due (whether at stated maturity, as a mandatory prepayment, by acceleration, as a mandatory cash collateralization or otherwise), the Guarantors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 provision to the contrary contained herein or in any other of the Loan Documents or the other documents relating to the Obligations, the obligations of each Guarantor under this Agreement and the other Loan Documents shall not exceed an aggregate amount equal to the largest amount that would not render such obligations subject to avoidance under applicable Debtor Relief Laws.</w:t>
      </w:r>
    </w:p>
    <w:p>
      <w:pPr>
        <w:pStyle w:val="TextBody"/>
        <w:bidi w:val="0"/>
        <w:jc w:val="center"/>
        <w:rPr>
          <w:rFonts w:ascii="Times New Roman" w:hAnsi="Times New Roman"/>
          <w:color w:val="000000"/>
          <w:sz w:val="22"/>
        </w:rPr>
      </w:pPr>
      <w:r>
        <w:rPr>
          <w:rFonts w:ascii="Times New Roman" w:hAnsi="Times New Roman"/>
          <w:color w:val="000000"/>
          <w:sz w:val="22"/>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4.02 </w:t>
      </w:r>
      <w:r>
        <w:rPr>
          <w:rFonts w:ascii="Times New Roman" w:hAnsi="Times New Roman"/>
          <w:b w:val="false"/>
          <w:color w:val="000000"/>
          <w:sz w:val="22"/>
          <w:u w:val="single"/>
        </w:rPr>
        <w:t>Obligations Unconditional</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obligations of the Guarantors under </w:t>
      </w:r>
      <w:r>
        <w:rPr>
          <w:rFonts w:ascii="Times New Roman" w:hAnsi="Times New Roman"/>
          <w:color w:val="000000"/>
          <w:sz w:val="22"/>
          <w:u w:val="single"/>
        </w:rPr>
        <w:t>Section 4.01</w:t>
      </w:r>
      <w:r>
        <w:rPr>
          <w:rFonts w:ascii="Times New Roman" w:hAnsi="Times New Roman"/>
          <w:color w:val="000000"/>
          <w:sz w:val="20"/>
        </w:rPr>
        <w:t xml:space="preserve"> </w:t>
      </w:r>
      <w:r>
        <w:rPr>
          <w:rFonts w:ascii="Times New Roman" w:hAnsi="Times New Roman"/>
          <w:color w:val="000000"/>
          <w:sz w:val="22"/>
        </w:rPr>
        <w:t xml:space="preserve">are joint and several, irrevocable, absolute and unconditional, irrespective of the value, genuineness, validity, regularity or enforceability of any of the Loan Documents or other documents relating to the Obligations,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it being the intent of this </w:t>
      </w:r>
      <w:r>
        <w:rPr>
          <w:rFonts w:ascii="Times New Roman" w:hAnsi="Times New Roman"/>
          <w:color w:val="000000"/>
          <w:sz w:val="22"/>
          <w:u w:val="single"/>
        </w:rPr>
        <w:t>Section 4.02</w:t>
      </w:r>
      <w:r>
        <w:rPr>
          <w:rFonts w:ascii="Times New Roman" w:hAnsi="Times New Roman"/>
          <w:color w:val="000000"/>
          <w:sz w:val="20"/>
        </w:rPr>
        <w:t xml:space="preserve"> </w:t>
      </w:r>
      <w:r>
        <w:rPr>
          <w:rFonts w:ascii="Times New Roman" w:hAnsi="Times New Roman"/>
          <w:color w:val="000000"/>
          <w:sz w:val="22"/>
        </w:rPr>
        <w:t xml:space="preserve">that the obligations of the Guarantors hereunder shall be absolute and unconditional under any and all circumstances. Each Guarantor agrees that such Guarantor shall have no right of subrogation, indemnity, reimbursement or contribution against the Borrower or any other Guarantor for amounts paid under this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until such time as the Obligations have been paid in full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at any time or from time to time, without notice to any Guarantor, the time for any performance of or compliance with any of the Obligations shall be extended, or such performance or compliance shall be waived;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of the acts mentioned in any of the provisions of any of the Loan Documents or any other document relating to the Obligations shall be done or omitted;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maturity of any of the Obligations shall be accelerated, or any of the Obligations shall be modified, supplemented or amended in any respect, or any right under any of the Loan Documents or any other document relating to the Obligations shall be waived or any other guarantee of any of the Obligations or any security therefor shall be released, impaired or exchanged in whole or in part or otherwise dealt with;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any Lien granted to, or in favor of, the Administrative Agent or any other holder of the Obligations as security for any of the Obligations shall fail to attach or be perfected;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any of the Obligations shall be determined to be void or voidable (including for the benefit of any creditor of any Guarantor) or shall be subordinated to the claims of any Person (including any creditor of any Guarantor).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respect to its obligations hereunder, each Guarantor hereby expressly waives, to the fullest extent permitted by Law, diligence, presentment, demand of payment, protest and all notices whatsoever and any requirement that the Administrative Agent or any other holder of the Obligations exhaust any right, power or remedy or proceed against any Person under any of the Loan Documents or any other document relating to the Obligations or against any other Person under any other guarantee of, or security for, any of the Obligations.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4.03 </w:t>
      </w:r>
      <w:r>
        <w:rPr>
          <w:rFonts w:ascii="Times New Roman" w:hAnsi="Times New Roman"/>
          <w:b w:val="false"/>
          <w:color w:val="000000"/>
          <w:sz w:val="22"/>
          <w:u w:val="single"/>
        </w:rPr>
        <w:t>Reinstatement</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obligations of each Guarantor under this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shall be automatically reinstated if and to the extent that for any reason any payment by or on behalf of any Person in respect of the Obligations is rescinded or must be otherwise restored by any holder of any of the Obligations, whether as a result of any Debtor Relief Law or otherwise, and each Guarantor agrees that it will indemnify the Administrative Agent and each other holder of the Obligations on demand for all reasonable and documented costs and expenses (including the reasonable and documented fees, charges and disbursements of counsel) incurred by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Administrative Agent or such holder of the Obligations in connection with such rescission or restoration, including any such costs and expenses incurred in defending against any claim alleging that such payment constituted a preference, fraudulent transfer or similar payment under any Debtor Relief Law.</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4.04 </w:t>
      </w:r>
      <w:r>
        <w:rPr>
          <w:rFonts w:ascii="Times New Roman" w:hAnsi="Times New Roman"/>
          <w:b w:val="false"/>
          <w:color w:val="000000"/>
          <w:sz w:val="22"/>
          <w:u w:val="single"/>
        </w:rPr>
        <w:t>Certain Additional Waivers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Each Guarantor agrees that such Guarantor shall have no right of recourse to security for the Obligations, except through the exercise of rights of subrogation pursuant to </w:t>
      </w:r>
      <w:r>
        <w:rPr>
          <w:rFonts w:ascii="Times New Roman" w:hAnsi="Times New Roman"/>
          <w:color w:val="000000"/>
          <w:sz w:val="22"/>
          <w:u w:val="single"/>
        </w:rPr>
        <w:t>Section 4.02</w:t>
      </w:r>
      <w:r>
        <w:rPr>
          <w:rFonts w:ascii="Times New Roman" w:hAnsi="Times New Roman"/>
          <w:color w:val="000000"/>
          <w:sz w:val="20"/>
        </w:rPr>
        <w:t xml:space="preserve"> </w:t>
      </w:r>
      <w:r>
        <w:rPr>
          <w:rFonts w:ascii="Times New Roman" w:hAnsi="Times New Roman"/>
          <w:color w:val="000000"/>
          <w:sz w:val="22"/>
        </w:rPr>
        <w:t xml:space="preserve">and through the exercise of rights of contribution pursuant to </w:t>
      </w:r>
      <w:r>
        <w:rPr>
          <w:rFonts w:ascii="Times New Roman" w:hAnsi="Times New Roman"/>
          <w:color w:val="000000"/>
          <w:sz w:val="22"/>
          <w:u w:val="single"/>
        </w:rPr>
        <w:t>Section 4.06</w:t>
      </w:r>
      <w:r>
        <w:rPr>
          <w:rFonts w:ascii="Times New Roman" w:hAnsi="Times New Roman"/>
          <w:color w:val="000000"/>
          <w:sz w:val="22"/>
        </w:rPr>
        <w: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4.05 </w:t>
      </w:r>
      <w:r>
        <w:rPr>
          <w:rFonts w:ascii="Times New Roman" w:hAnsi="Times New Roman"/>
          <w:b w:val="false"/>
          <w:color w:val="000000"/>
          <w:sz w:val="22"/>
          <w:u w:val="single"/>
        </w:rPr>
        <w:t>Remedies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Guarantors agree that, to the fullest extent permitted by Law, as between the Guarantors, on the one hand, and the Administrative Agent and the other holders of the Obligations, on the other hand, the Obligations may be declared to be forthwith due and payable as specified in </w:t>
      </w:r>
      <w:r>
        <w:rPr>
          <w:rFonts w:ascii="Times New Roman" w:hAnsi="Times New Roman"/>
          <w:color w:val="000000"/>
          <w:sz w:val="22"/>
          <w:u w:val="single"/>
        </w:rPr>
        <w:t>Section 9.02</w:t>
      </w:r>
      <w:r>
        <w:rPr>
          <w:rFonts w:ascii="Times New Roman" w:hAnsi="Times New Roman"/>
          <w:color w:val="000000"/>
          <w:sz w:val="20"/>
        </w:rPr>
        <w:t xml:space="preserve"> </w:t>
      </w:r>
      <w:r>
        <w:rPr>
          <w:rFonts w:ascii="Times New Roman" w:hAnsi="Times New Roman"/>
          <w:color w:val="000000"/>
          <w:sz w:val="22"/>
        </w:rPr>
        <w:t xml:space="preserve">(and shall be deemed to have become automatically due and payable in the circumstances specified in </w:t>
      </w:r>
      <w:r>
        <w:rPr>
          <w:rFonts w:ascii="Times New Roman" w:hAnsi="Times New Roman"/>
          <w:color w:val="000000"/>
          <w:sz w:val="22"/>
          <w:u w:val="single"/>
        </w:rPr>
        <w:t>Section 9.02</w:t>
      </w:r>
      <w:r>
        <w:rPr>
          <w:rFonts w:ascii="Times New Roman" w:hAnsi="Times New Roman"/>
          <w:color w:val="000000"/>
          <w:sz w:val="22"/>
        </w:rPr>
        <w:t xml:space="preserve">) for purposes of </w:t>
      </w:r>
      <w:r>
        <w:rPr>
          <w:rFonts w:ascii="Times New Roman" w:hAnsi="Times New Roman"/>
          <w:color w:val="000000"/>
          <w:sz w:val="22"/>
          <w:u w:val="single"/>
        </w:rPr>
        <w:t>Section 4.01</w:t>
      </w:r>
      <w:r>
        <w:rPr>
          <w:rFonts w:ascii="Times New Roman" w:hAnsi="Times New Roman"/>
          <w:color w:val="000000"/>
          <w:sz w:val="20"/>
        </w:rPr>
        <w:t xml:space="preserve"> </w:t>
      </w:r>
      <w:r>
        <w:rPr>
          <w:rFonts w:ascii="Times New Roman" w:hAnsi="Times New Roman"/>
          <w:color w:val="000000"/>
          <w:sz w:val="22"/>
        </w:rPr>
        <w:t xml:space="preserve">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w:t>
      </w:r>
      <w:r>
        <w:rPr>
          <w:rFonts w:ascii="Times New Roman" w:hAnsi="Times New Roman"/>
          <w:color w:val="000000"/>
          <w:sz w:val="22"/>
          <w:u w:val="single"/>
        </w:rPr>
        <w:t>Section 4.01</w:t>
      </w:r>
      <w:r>
        <w:rPr>
          <w:rFonts w:ascii="Times New Roman" w:hAnsi="Times New Roman"/>
          <w:color w:val="000000"/>
          <w:sz w:val="22"/>
        </w:rPr>
        <w:t>. The Guarantors acknowledge and agree that their obligations hereunder are secured in accordance with the terms of the Collateral Documents and that the holders of the Obligations may exercise their remedies thereunder in accordance with the terms thereof.</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4.06 </w:t>
      </w:r>
      <w:r>
        <w:rPr>
          <w:rFonts w:ascii="Times New Roman" w:hAnsi="Times New Roman"/>
          <w:b w:val="false"/>
          <w:color w:val="000000"/>
          <w:sz w:val="22"/>
          <w:u w:val="single"/>
        </w:rPr>
        <w:t>Rights of Contribution</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the Obligations have been paid in full and the Commitments have terminated.</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4.07 </w:t>
      </w:r>
      <w:r>
        <w:rPr>
          <w:rFonts w:ascii="Times New Roman" w:hAnsi="Times New Roman"/>
          <w:b w:val="false"/>
          <w:color w:val="000000"/>
          <w:sz w:val="22"/>
          <w:u w:val="single"/>
        </w:rPr>
        <w:t>Guarantee of Payment; Continuing Guarantee</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guarantee in this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is a guaranty of payment and not of collection, is a continuing guarantee, and shall apply to the Obligations whenever arising.</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4.08 </w:t>
      </w:r>
      <w:r>
        <w:rPr>
          <w:rFonts w:ascii="Times New Roman" w:hAnsi="Times New Roman"/>
          <w:b w:val="false"/>
          <w:color w:val="000000"/>
          <w:sz w:val="22"/>
          <w:u w:val="single"/>
        </w:rPr>
        <w:t>Keepwell</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Each Loan Party that is a Qualified ECP Guarantor at the time the Guaranty in this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by any Loan Party that is not then an “eligible contract participant” under the Commodity Exchange Act (a “</w:t>
      </w:r>
      <w:r>
        <w:rPr>
          <w:rFonts w:ascii="Times New Roman" w:hAnsi="Times New Roman"/>
          <w:color w:val="000000"/>
          <w:sz w:val="22"/>
          <w:u w:val="single"/>
        </w:rPr>
        <w:t>Specified Loan Party</w:t>
      </w:r>
      <w:r>
        <w:rPr>
          <w:rFonts w:ascii="Times New Roman" w:hAnsi="Times New Roman"/>
          <w:color w:val="000000"/>
          <w:sz w:val="20"/>
        </w:rPr>
        <w:t>”</w:t>
      </w:r>
      <w:r>
        <w:rPr>
          <w:rFonts w:ascii="Times New Roman" w:hAnsi="Times New Roman"/>
          <w:color w:val="000000"/>
          <w:sz w:val="22"/>
        </w:rPr>
        <w:t xml:space="preserve">) or the grant of a security interest under the Loan Documents by any such Specified Loan Party, in either case,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this Guaranty and the other Loan Documents in respect of such Swap Obligation (but, in each case, only up to the maximum amount of such liability that can be hereby incurred without rendering such Qualified ECP Guarantor’s obligations and undertakings under this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 xml:space="preserve">voidable under applicable Debtor Relief Laws, and not for any greater amount). The obligations and undertakings of each Qualified ECP Guarantor under this </w:t>
      </w:r>
      <w:r>
        <w:rPr>
          <w:rFonts w:ascii="Times New Roman" w:hAnsi="Times New Roman"/>
          <w:color w:val="000000"/>
          <w:sz w:val="22"/>
          <w:u w:val="single"/>
        </w:rPr>
        <w:t>Section 4.08</w:t>
      </w:r>
      <w:r>
        <w:rPr>
          <w:rFonts w:ascii="Times New Roman" w:hAnsi="Times New Roman"/>
          <w:color w:val="000000"/>
          <w:sz w:val="20"/>
        </w:rPr>
        <w:t xml:space="preserve"> </w:t>
      </w:r>
      <w:r>
        <w:rPr>
          <w:rFonts w:ascii="Times New Roman" w:hAnsi="Times New Roman"/>
          <w:color w:val="000000"/>
          <w:sz w:val="22"/>
        </w:rPr>
        <w:t>shall remain in full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force and effect until the Obligations (other than contingent indemnification obligations as to which no claim has been asserted) have been indefeasibly paid and performed in full. Each Loan Party intends this </w:t>
      </w:r>
      <w:r>
        <w:rPr>
          <w:rFonts w:ascii="Times New Roman" w:hAnsi="Times New Roman"/>
          <w:color w:val="000000"/>
          <w:sz w:val="22"/>
          <w:u w:val="single"/>
        </w:rPr>
        <w:t>Section 4.08</w:t>
      </w:r>
      <w:r>
        <w:rPr>
          <w:rFonts w:ascii="Times New Roman" w:hAnsi="Times New Roman"/>
          <w:color w:val="000000"/>
          <w:sz w:val="20"/>
        </w:rPr>
        <w:t xml:space="preserve"> </w:t>
      </w:r>
      <w:r>
        <w:rPr>
          <w:rFonts w:ascii="Times New Roman" w:hAnsi="Times New Roman"/>
          <w:color w:val="000000"/>
          <w:sz w:val="22"/>
        </w:rPr>
        <w:t xml:space="preserve">to constitute, and this </w:t>
      </w:r>
      <w:r>
        <w:rPr>
          <w:rFonts w:ascii="Times New Roman" w:hAnsi="Times New Roman"/>
          <w:color w:val="000000"/>
          <w:sz w:val="22"/>
          <w:u w:val="single"/>
        </w:rPr>
        <w:t>Section 4.08</w:t>
      </w:r>
      <w:r>
        <w:rPr>
          <w:rFonts w:ascii="Times New Roman" w:hAnsi="Times New Roman"/>
          <w:color w:val="000000"/>
          <w:sz w:val="20"/>
        </w:rPr>
        <w:t xml:space="preserve"> </w:t>
      </w:r>
      <w:r>
        <w:rPr>
          <w:rFonts w:ascii="Times New Roman" w:hAnsi="Times New Roman"/>
          <w:color w:val="000000"/>
          <w:sz w:val="22"/>
        </w:rPr>
        <w:t>shall be deemed to constitute, a “keepwell, support, or other agreement” for the benefit of each Specified Loan Party for all purposes of the Commodity Exchange Act.</w:t>
      </w:r>
    </w:p>
    <w:p>
      <w:pPr>
        <w:pStyle w:val="Heading1"/>
        <w:bidi w:val="0"/>
        <w:spacing w:before="0" w:after="240"/>
        <w:jc w:val="center"/>
        <w:rPr>
          <w:rFonts w:ascii="Times New Roman" w:hAnsi="Times New Roman"/>
          <w:b w:val="false"/>
          <w:caps/>
          <w:color w:val="000000"/>
          <w:sz w:val="22"/>
        </w:rPr>
      </w:pPr>
      <w:r>
        <w:rPr>
          <w:rFonts w:ascii="Times New Roman" w:hAnsi="Times New Roman"/>
          <w:b w:val="false"/>
          <w:caps/>
          <w:color w:val="000000"/>
          <w:sz w:val="22"/>
        </w:rPr>
        <w:t>Article V.</w:t>
        <w:br/>
        <w:br/>
        <w:t>CONDITIONS PRECEDENT TO CREDIT EXTENSIONS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5.01 </w:t>
      </w:r>
      <w:r>
        <w:rPr>
          <w:rFonts w:ascii="Times New Roman" w:hAnsi="Times New Roman"/>
          <w:b w:val="false"/>
          <w:color w:val="000000"/>
          <w:sz w:val="22"/>
          <w:u w:val="single"/>
        </w:rPr>
        <w:t>Conditions to Effectiveness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Agreement shall be effective upon satisfaction of the following conditions precedent: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Loan Documents</w:t>
      </w:r>
      <w:r>
        <w:rPr>
          <w:rFonts w:ascii="Times New Roman" w:hAnsi="Times New Roman"/>
          <w:color w:val="000000"/>
          <w:sz w:val="22"/>
        </w:rPr>
        <w:t>. Receipt by the Administrative Agent of executed counterparts of this Agreement and each other Loan Document to be executed and delivered on the Effective Date, each properly executed by a Responsible Officer of the signing Loan Party and, in the case of this Agreement, by each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Opinions of Counsel</w:t>
      </w:r>
      <w:r>
        <w:rPr>
          <w:rFonts w:ascii="Times New Roman" w:hAnsi="Times New Roman"/>
          <w:color w:val="000000"/>
          <w:sz w:val="22"/>
        </w:rPr>
        <w:t>. Receipt by the Administrative Agent of favorable opinions of legal counsel to the Loan Parties, addressed to the Administrative Agent and each Lender, dated as of the Effective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Organization Documents, Resolutions, Etc.</w:t>
      </w:r>
      <w:r>
        <w:rPr>
          <w:rFonts w:ascii="Times New Roman" w:hAnsi="Times New Roman"/>
          <w:color w:val="000000"/>
          <w:sz w:val="20"/>
        </w:rPr>
        <w:t xml:space="preserve"> </w:t>
      </w:r>
      <w:r>
        <w:rPr>
          <w:rFonts w:ascii="Times New Roman" w:hAnsi="Times New Roman"/>
          <w:color w:val="000000"/>
          <w:sz w:val="22"/>
        </w:rPr>
        <w:t>Receipt by the Administrative Agent of the following: (i) copies of the Organization Documents of each Loan Party certified to be true and complete as of a recent date by the appropriate Governmental Authority of the state or other jurisdiction of its organization, where applicable, and certified by a secretary or assistant secretary of such Loan Party to be true and correct as of the Effective Date; (ii) such certificates of resolutions or other action, incumbency certificates (including specimen signatures)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and (iii) such documents and certifications as the Administrative Agent may require to evidence that each Loan Party is duly organized or formed, and is validly existing, in good standing and qualified to engage in business in its state of organization.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Collateral</w:t>
      </w:r>
      <w:r>
        <w:rPr>
          <w:rFonts w:ascii="Times New Roman" w:hAnsi="Times New Roman"/>
          <w:color w:val="000000"/>
          <w:sz w:val="22"/>
        </w:rPr>
        <w:t>. Receipt by the Administrative Agent of the following: (i)(A) searches of Uniform Commercial Code filings in the jurisdiction of organization of each Loan Party and each other jurisdiction deemed appropriate by the Administrative Agent and (B) tax lien and judgment searches; (ii) Uniform Commercial Code financing statements for each appropriate jurisdiction as is necessary, in the Administrative Agent’s discretion, to perfect the Administrative Agent’s security interest in the Collateral, to the extent required by the Security Agreement; (iii) all certificates evidencing any certificated Equity Interests pledged to the Administrative Agent pursuant to the Security Agreement, together with duly executed in blank, undated stock powers attached thereto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with respect to the delivery of certificates evidencing Equity Interests of any Foreign Subsidiary that are required to be delivered pursuant to this </w:t>
      </w:r>
      <w:r>
        <w:rPr>
          <w:rFonts w:ascii="Times New Roman" w:hAnsi="Times New Roman"/>
          <w:color w:val="000000"/>
          <w:sz w:val="22"/>
          <w:u w:val="single"/>
        </w:rPr>
        <w:t>clause (iii)</w:t>
      </w:r>
      <w:r>
        <w:rPr>
          <w:rFonts w:ascii="Times New Roman" w:hAnsi="Times New Roman"/>
          <w:color w:val="000000"/>
          <w:sz w:val="22"/>
        </w:rPr>
        <w:t>, if any such certificates are not available to be delivered as of the Effective Date after the Borrower’s use of commercially reasonable efforts to do so, delivery of such certificates shall not be a condition precedent to the occurrence of the Effective Date, but instead such certificates shall be required to be delivered to the Administrative Agent no later than thirty (30) days following the Effective Date (or such later date as is agreed by the Administrative Agent in its sole discretion)); (iv) to the extent required to be delivered pursuant to the Security Agreement, all instruments, documents and chattel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paper in the possession of any Loan Party, together with allonges or assignments as may be necessary to perfect the Administrative Agent’s security interest therein; (v) searches of ownership of, and Liens on, United States registrations of and applications for registration of IP Rights of each Loan Party in the appropriate governmental offices; and (vi) duly executed notices of grant of security interest in the form required by the Security Agreement as are necessary, in the Administrative Agent’s discretion, to perfect the Administrative Agent’s security interest in the United States IP Rights of the Loan Parties.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Insurance</w:t>
      </w:r>
      <w:r>
        <w:rPr>
          <w:rFonts w:ascii="Times New Roman" w:hAnsi="Times New Roman"/>
          <w:color w:val="000000"/>
          <w:sz w:val="22"/>
        </w:rPr>
        <w:t>. Receipt by the Administrative Agent of (i) certificates of insurance of the Loan Parties evidencing liability and casualty insurance meeting the requirements set forth in the Loan Documents and (ii) endorsements to insurance policies of the Loan Parties naming the Administrative Agent and its successors and assigns as additional insured (in the case of liability insurance) or lender’s loss payee (in the case of property insurance) on behalf of the holders of the Obligations and providing notice of cancellation or alteration to the Administrative Agent with respect to any such insurance coverage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with respect to the delivery of insurance endorsements required pursuant to the foregoing </w:t>
      </w:r>
      <w:r>
        <w:rPr>
          <w:rFonts w:ascii="Times New Roman" w:hAnsi="Times New Roman"/>
          <w:color w:val="000000"/>
          <w:sz w:val="22"/>
          <w:u w:val="single"/>
        </w:rPr>
        <w:t>clause (ii)</w:t>
      </w:r>
      <w:r>
        <w:rPr>
          <w:rFonts w:ascii="Times New Roman" w:hAnsi="Times New Roman"/>
          <w:color w:val="000000"/>
          <w:sz w:val="22"/>
        </w:rPr>
        <w:t>, if any such endorsements are not available as of the Effective Date, delivery of such endorsements shall not be a condition precedent to the occurrence of the Effective Date, but instead shall be required to be delivered to the Administrative Agent within thirty (30) days (or such longer period of time as is agreed by the Administrative Agent in its sole discretion) after the Effective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Representations and Warranties; No Default</w:t>
      </w:r>
      <w:r>
        <w:rPr>
          <w:rFonts w:ascii="Times New Roman" w:hAnsi="Times New Roman"/>
          <w:color w:val="000000"/>
          <w:sz w:val="22"/>
        </w:rPr>
        <w:t xml:space="preserve">. After giving effect to the Transactions to occur on or prior to the Effective Date, (i) the representations and warranties of each Loan Party contained in </w:t>
      </w:r>
      <w:r>
        <w:rPr>
          <w:rFonts w:ascii="Times New Roman" w:hAnsi="Times New Roman"/>
          <w:color w:val="000000"/>
          <w:sz w:val="22"/>
          <w:u w:val="single"/>
        </w:rPr>
        <w:t>Article VI</w:t>
      </w:r>
      <w:r>
        <w:rPr>
          <w:rFonts w:ascii="Times New Roman" w:hAnsi="Times New Roman"/>
          <w:color w:val="000000"/>
          <w:sz w:val="20"/>
        </w:rPr>
        <w:t xml:space="preserve"> </w:t>
      </w:r>
      <w:r>
        <w:rPr>
          <w:rFonts w:ascii="Times New Roman" w:hAnsi="Times New Roman"/>
          <w:color w:val="000000"/>
          <w:sz w:val="22"/>
        </w:rPr>
        <w:t>or any other Loan Document, or which are contained in any document furnished at any time under or in connection herewith or therewith, shall be true and correct in all material respects (or in all respects if any such representation and warranty is already qualified by materiality) on and as of the Effective Date, except to the extent that such representations and warranties specifically refer to an earlier date, in which case they shall be true and correct in all material respects (or in all respects if any such representation and warranty is already qualified by materiality) as of such earlier date, and (ii) no Default shall exist.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Officer’s Certificate</w:t>
      </w:r>
      <w:r>
        <w:rPr>
          <w:rFonts w:ascii="Times New Roman" w:hAnsi="Times New Roman"/>
          <w:color w:val="000000"/>
          <w:sz w:val="22"/>
        </w:rPr>
        <w:t xml:space="preserve">. Receipt by the Administrative Agent of a certificate signed by a Responsible Officer of the Borrower as of the Effective Date certifying that the conditions specified in </w:t>
      </w:r>
      <w:r>
        <w:rPr>
          <w:rFonts w:ascii="Times New Roman" w:hAnsi="Times New Roman"/>
          <w:color w:val="000000"/>
          <w:sz w:val="22"/>
          <w:u w:val="single"/>
        </w:rPr>
        <w:t>Section 5.01(f)</w:t>
      </w:r>
      <w:r>
        <w:rPr>
          <w:rFonts w:ascii="Times New Roman" w:hAnsi="Times New Roman"/>
          <w:color w:val="000000"/>
          <w:sz w:val="20"/>
        </w:rPr>
        <w:t xml:space="preserve"> </w:t>
      </w:r>
      <w:r>
        <w:rPr>
          <w:rFonts w:ascii="Times New Roman" w:hAnsi="Times New Roman"/>
          <w:color w:val="000000"/>
          <w:sz w:val="22"/>
        </w:rPr>
        <w:t>have been satisfied as of the Effective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Solvency Certificate</w:t>
      </w:r>
      <w:r>
        <w:rPr>
          <w:rFonts w:ascii="Times New Roman" w:hAnsi="Times New Roman"/>
          <w:color w:val="000000"/>
          <w:sz w:val="22"/>
        </w:rPr>
        <w:t>. Receipt by the Administrative Agent of a certificate from the chief financial officer of the Borrower certifying that the Borrower and its Subsidiaries, on a consolidated basis after giving effect to the Transactions, are Solvent.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Fees</w:t>
      </w:r>
      <w:r>
        <w:rPr>
          <w:rFonts w:ascii="Times New Roman" w:hAnsi="Times New Roman"/>
          <w:color w:val="000000"/>
          <w:sz w:val="22"/>
        </w:rPr>
        <w:t>. Receipt by the Administrative Agent of any applicable fees required to be paid to the Administrative Agent on or before the Effective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Expenses</w:t>
      </w:r>
      <w:r>
        <w:rPr>
          <w:rFonts w:ascii="Times New Roman" w:hAnsi="Times New Roman"/>
          <w:color w:val="000000"/>
          <w:sz w:val="22"/>
        </w:rPr>
        <w:t xml:space="preserve">. The Borrower shall have paid all fees, charges and disbursements of the Administrative Agent and the Arrangers required to be reimbursed on or before the Effective Date (including all fees, charges and disbursements of counsel to the Administrative Agent that are required to have been reimbursed or paid (directly to such counsel if requested by the Administrative Agent)) to the extent invoiced prior to or on the Effective Date,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such additional amounts of such fees, charges and disbursements as shall constitute its reasonable estimate of such fees, charges and disbursements incurred or to be incurred by it through the closing proceedings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such estimate shall not thereafter preclude a final settling of accounts between the Borrower and the Administrative Agent), in each case, to the extent such fees, charges 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disbursements have been invoiced and are required to have been reimbursed or paid in accordance with the Engagement Letter (as such term is defined in the Fee Letter).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w:t>
      </w:r>
      <w:r>
        <w:rPr>
          <w:rFonts w:ascii="Times New Roman" w:hAnsi="Times New Roman"/>
          <w:color w:val="000000"/>
          <w:sz w:val="22"/>
          <w:u w:val="single"/>
        </w:rPr>
        <w:t>KYC; Beneficial Ownership</w:t>
      </w:r>
      <w:r>
        <w:rPr>
          <w:rFonts w:ascii="Times New Roman" w:hAnsi="Times New Roman"/>
          <w:color w:val="000000"/>
          <w:sz w:val="22"/>
        </w:rPr>
        <w:t>. Receipt by the Administrative Agent and each Lender, to the extent requested by the Administrative Agent or such Lender, of all documentation and other information required by regulatory authorities under applicable “know your customer” and anti-money laundering rules and regulations, including the USA PATRIOT Act. To the extent the Borrower qualifies as a “legal entity customer” under the Beneficial Ownership Regulation, receipt by the Administrative Agent and each Lender, to the extent requested by the Administrative Agent or such Lender, of a Beneficial Ownership Certification with respect to the Borrower.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Without limiting the generality of the provisions of the last paragraph of </w:t>
      </w:r>
      <w:r>
        <w:rPr>
          <w:rFonts w:ascii="Times New Roman" w:hAnsi="Times New Roman"/>
          <w:color w:val="000000"/>
          <w:sz w:val="22"/>
          <w:u w:val="single"/>
        </w:rPr>
        <w:t>Section 10.03</w:t>
      </w:r>
      <w:r>
        <w:rPr>
          <w:rFonts w:ascii="Times New Roman" w:hAnsi="Times New Roman"/>
          <w:color w:val="000000"/>
          <w:sz w:val="22"/>
        </w:rPr>
        <w:t xml:space="preserve">, for purposes of determining compliance with the conditions specified in this </w:t>
      </w:r>
      <w:r>
        <w:rPr>
          <w:rFonts w:ascii="Times New Roman" w:hAnsi="Times New Roman"/>
          <w:color w:val="000000"/>
          <w:sz w:val="22"/>
          <w:u w:val="single"/>
        </w:rPr>
        <w:t>Section 5.01</w:t>
      </w:r>
      <w:r>
        <w:rPr>
          <w:rFonts w:ascii="Times New Roman" w:hAnsi="Times New Roman"/>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Effective Date specifying its objection thereto.</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5.02 </w:t>
      </w:r>
      <w:r>
        <w:rPr>
          <w:rFonts w:ascii="Times New Roman" w:hAnsi="Times New Roman"/>
          <w:b w:val="false"/>
          <w:color w:val="000000"/>
          <w:sz w:val="22"/>
          <w:u w:val="single"/>
        </w:rPr>
        <w:t>Conditions to all Credit Extensions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obligation of each Lender and each L/C Issuer to honor any Request for Credit Extension (other than a Loan Notice requesting only a conversion of Loans to the other Type or a continuation of Term SOFR Loans) is subject to the following conditions precedent: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representations and warranties of each Loan Party contained in </w:t>
      </w:r>
      <w:r>
        <w:rPr>
          <w:rFonts w:ascii="Times New Roman" w:hAnsi="Times New Roman"/>
          <w:color w:val="000000"/>
          <w:sz w:val="22"/>
          <w:u w:val="single"/>
        </w:rPr>
        <w:t>Article VI</w:t>
      </w:r>
      <w:r>
        <w:rPr>
          <w:rFonts w:ascii="Times New Roman" w:hAnsi="Times New Roman"/>
          <w:color w:val="000000"/>
          <w:sz w:val="20"/>
        </w:rPr>
        <w:t xml:space="preserve"> </w:t>
      </w:r>
      <w:r>
        <w:rPr>
          <w:rFonts w:ascii="Times New Roman" w:hAnsi="Times New Roman"/>
          <w:color w:val="000000"/>
          <w:sz w:val="22"/>
        </w:rPr>
        <w:t xml:space="preserve">or any other Loan Document, or which are contained in any document furnished at any time under or in connection herewith or therewith, shall be true and correct in all material respects (or in all respects if any such representation and warranty is already qualified by materiality) on and as of the date of such Credit Extension, except to the extent that such representations and warranties specifically refer to an earlier date, in which case they shall be true and correct in all material respects (or in all respects if any such representation and warranty is already qualified by materiality) as of such earlier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the case of an Incremental Term Loan the proceeds of which are used to fund, in whole or in part, the purchase price of a Limited Condition Acquisition, the representations and warranties required to be accurate in all material respects (or in all respects if any such representation and warranty is already qualified by materiality) at the time of the closing of such Limited Condition Acquisition and funding of the applicable Incremental Term Loan will be limited to the Specified Representations, and those representations and warranties contained in the applicable acquisition agreement as are material to the interest of the applicable Lenders providing such Incremental Term Loan, but only to the extent that the Borrower or any of its Subsidiaries has the right (taking into account any applicable cure provisions) to terminate its obligations under such acquisition agreement, or to decline to consummate such Limited Condition Acquisition pursuant to such acquisition agreement, as a result of a breach of such representations in such acquisition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No Default or Event of Default shall exist or would result from such proposed Credit Extension or from the application of the proceeds thereof;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case of an Incremental Term Loan the proceeds of which are used to fund, in whole or in part, the purchase price of a Limited Condition Acquisition, the foregoing condition shall be (i) no Event of Default shall have occurred and be continuing on the date of execution of the definitive purchase agreement for such Limited Condition Acquisition and (ii) no Event of Default under </w:t>
      </w:r>
      <w:r>
        <w:rPr>
          <w:rFonts w:ascii="Times New Roman" w:hAnsi="Times New Roman"/>
          <w:color w:val="000000"/>
          <w:sz w:val="22"/>
          <w:u w:val="single"/>
        </w:rPr>
        <w:t>Section 9.01(a)</w:t>
      </w:r>
      <w:r>
        <w:rPr>
          <w:rFonts w:ascii="Times New Roman" w:hAnsi="Times New Roman"/>
          <w:color w:val="000000"/>
          <w:sz w:val="22"/>
        </w:rPr>
        <w:t xml:space="preserve">, </w:t>
      </w:r>
      <w:r>
        <w:rPr>
          <w:rFonts w:ascii="Times New Roman" w:hAnsi="Times New Roman"/>
          <w:color w:val="000000"/>
          <w:sz w:val="22"/>
          <w:u w:val="single"/>
        </w:rPr>
        <w:t>(f)</w:t>
      </w:r>
      <w:r>
        <w:rPr>
          <w:rFonts w:ascii="Times New Roman" w:hAnsi="Times New Roman"/>
          <w:color w:val="000000"/>
          <w:sz w:val="20"/>
        </w:rPr>
        <w:t xml:space="preserve"> </w:t>
      </w:r>
      <w:r>
        <w:rPr>
          <w:rFonts w:ascii="Times New Roman" w:hAnsi="Times New Roman"/>
          <w:color w:val="000000"/>
          <w:sz w:val="22"/>
        </w:rPr>
        <w:t>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(g)</w:t>
      </w:r>
      <w:r>
        <w:rPr>
          <w:rFonts w:ascii="Times New Roman" w:hAnsi="Times New Roman"/>
          <w:color w:val="000000"/>
          <w:sz w:val="20"/>
        </w:rPr>
        <w:t xml:space="preserve"> </w:t>
      </w:r>
      <w:r>
        <w:rPr>
          <w:rFonts w:ascii="Times New Roman" w:hAnsi="Times New Roman"/>
          <w:color w:val="000000"/>
          <w:sz w:val="22"/>
        </w:rPr>
        <w:t>shall have occurred and be continuing or would exist after giving effect to such Limited Condition Acquisition and the funding of such Incremental Term Loan.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Administrative Agent and, if applicable, the applicable L/C Issuer, shall have received a Request for Credit Extension in accordance with the requirements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In the case of a Credit Extension to be denominated in an Alternative Currency, such currency remains an Eligible Currency.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Each Request for Credit Extension (other than a Loan Notice requesting only a conversion of Loans to the other Type or a continuation of Term SOFR Loans) submitted by the Borrower shall be deemed to be a representation and warranty that the conditions specified in </w:t>
      </w:r>
      <w:r>
        <w:rPr>
          <w:rFonts w:ascii="Times New Roman" w:hAnsi="Times New Roman"/>
          <w:color w:val="000000"/>
          <w:sz w:val="22"/>
          <w:u w:val="single"/>
        </w:rPr>
        <w:t>Sections 5.02(a)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have been satisfied on and as of the date of the applicable Credit Extension.</w:t>
      </w:r>
    </w:p>
    <w:p>
      <w:pPr>
        <w:pStyle w:val="Heading1"/>
        <w:bidi w:val="0"/>
        <w:spacing w:before="0" w:after="240"/>
        <w:jc w:val="center"/>
        <w:rPr>
          <w:rFonts w:ascii="Times New Roman" w:hAnsi="Times New Roman"/>
          <w:b w:val="false"/>
          <w:caps/>
          <w:color w:val="000000"/>
          <w:sz w:val="22"/>
        </w:rPr>
      </w:pPr>
      <w:r>
        <w:rPr>
          <w:rFonts w:ascii="Times New Roman" w:hAnsi="Times New Roman"/>
          <w:b w:val="false"/>
          <w:caps/>
          <w:color w:val="000000"/>
          <w:sz w:val="22"/>
        </w:rPr>
        <w:t>Article VI.</w:t>
        <w:br/>
        <w:br/>
        <w:t>REPRESENTATIONS AND WARRANTIES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Loan Parties represent and warrant to the Administrative Agent and the Lenders that: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6.01 </w:t>
      </w:r>
      <w:r>
        <w:rPr>
          <w:rFonts w:ascii="Times New Roman" w:hAnsi="Times New Roman"/>
          <w:b w:val="false"/>
          <w:color w:val="000000"/>
          <w:sz w:val="22"/>
          <w:u w:val="single"/>
        </w:rPr>
        <w:t>Existence, Qualification and Power</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Borrower and each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 w:hAnsi="Times New Roman"/>
          <w:color w:val="000000"/>
          <w:sz w:val="22"/>
          <w:u w:val="single"/>
        </w:rPr>
        <w:t>clause (b)(i)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(c)</w:t>
      </w:r>
      <w:r>
        <w:rPr>
          <w:rFonts w:ascii="Times New Roman" w:hAnsi="Times New Roman"/>
          <w:color w:val="000000"/>
          <w:sz w:val="22"/>
        </w:rPr>
        <w:t>, or clause (a) with respect to a Subsidiary that is an Immaterial Domestic Subsidiary or an Immaterial Foreign Subsidiary, to the extent that failure to do so would not reasonably be expected to have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6.02 </w:t>
      </w:r>
      <w:r>
        <w:rPr>
          <w:rFonts w:ascii="Times New Roman" w:hAnsi="Times New Roman"/>
          <w:b w:val="false"/>
          <w:color w:val="000000"/>
          <w:sz w:val="22"/>
          <w:u w:val="single"/>
        </w:rPr>
        <w:t>Authorization; No Contravention</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execution, delivery and performance by each Loan Party of each Loan Document to which such Person is party have been duly authorized by all necessary corporate or other organizational action on the part of such Loan Party, and do not (a) contravene the terms of any of such Person’s Organization Documents, (b) conflict with or result in any breach or contravention of, or the creation of any Lien under, or require any payment to be made under (other than pursuant to the Loan Documents) (i) any material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in any material respect any Law applicable to such Person.</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6.03 </w:t>
      </w:r>
      <w:r>
        <w:rPr>
          <w:rFonts w:ascii="Times New Roman" w:hAnsi="Times New Roman"/>
          <w:b w:val="false"/>
          <w:color w:val="000000"/>
          <w:sz w:val="22"/>
          <w:u w:val="single"/>
        </w:rPr>
        <w:t>Governmental Authorization; Other Consents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other than (a) those that have already been obtained and are in full force and effect, (b) during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Non-Investment Grade Period, filings to perfect the Liens created by the Collateral Documents and (c) after the Effective Date, such permits, licenses, authorizations, approvals and entitlements that are required for the lawful conduct of the Loan Parties’ business, each of which shall be obtained on or before the date on which it is required to be obtained where the failure to do so could reasonably be expected to have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6.04 </w:t>
      </w:r>
      <w:r>
        <w:rPr>
          <w:rFonts w:ascii="Times New Roman" w:hAnsi="Times New Roman"/>
          <w:b w:val="false"/>
          <w:color w:val="000000"/>
          <w:sz w:val="22"/>
          <w:u w:val="single"/>
        </w:rPr>
        <w:t>Binding Effect</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Loan Document has been duly executed and delivered by each Loan Party that is party thereto. Each Loan Document constitutes a legal, valid and binding obligation of each Loan Party party thereto, enforceable against such Loan Party that is party thereto in accordance with its terms (except for limitations on enforceability under Debtor Relief Laws and limitations on the availability of the remedy of specific performance imposed by the application of general equitable principles).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6.05 </w:t>
      </w:r>
      <w:r>
        <w:rPr>
          <w:rFonts w:ascii="Times New Roman" w:hAnsi="Times New Roman"/>
          <w:b w:val="false"/>
          <w:color w:val="000000"/>
          <w:sz w:val="22"/>
          <w:u w:val="single"/>
        </w:rPr>
        <w:t>Financial Statements; No Material Adverse Effect</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Historical Financial Statements have been prepared in accordance with GAAP and present fairly (on the basis disclosed in the footnotes to such financial statements), in all material respects, the combined financial condition and results of operations of the Borrower and its Subsidiaries as of the dates thereof and for the periods covered thereby, subject (in the case of interim financial statements) to year-end audit adjustments and the absence of footnotes in the case of quarterly financial statements.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The financial statements delivered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have been prepared in accordance with GAAP (except as may otherwise be permitted under </w:t>
      </w:r>
      <w:r>
        <w:rPr>
          <w:rFonts w:ascii="Times New Roman" w:hAnsi="Times New Roman"/>
          <w:color w:val="000000"/>
          <w:sz w:val="22"/>
          <w:u w:val="single"/>
        </w:rPr>
        <w:t>Sections 7.01(a)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2"/>
        </w:rPr>
        <w:t xml:space="preserve">) and present fairly (on the basis disclosed in the footnotes to such financial statements), in all material respects, the consolidated financial condition, results of operations and cash flows of the Borrower and its Subsidiaries as of the dates thereof and for the periods covered thereby, subject, in the case of interim financial statements, to year-end audit adjustments and the absence of footnotes in the case of financial statements delivered pursuant to </w:t>
      </w:r>
      <w:r>
        <w:rPr>
          <w:rFonts w:ascii="Times New Roman" w:hAnsi="Times New Roman"/>
          <w:color w:val="000000"/>
          <w:sz w:val="22"/>
          <w:u w:val="single"/>
        </w:rPr>
        <w:t>Section 7.01(b)</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Since September 30, 2025, there has been no event or circumstance that has had or would reasonably be expected to have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6.06 </w:t>
      </w:r>
      <w:r>
        <w:rPr>
          <w:rFonts w:ascii="Times New Roman" w:hAnsi="Times New Roman"/>
          <w:b w:val="false"/>
          <w:color w:val="000000"/>
          <w:sz w:val="22"/>
          <w:u w:val="single"/>
        </w:rPr>
        <w:t>Litigation</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are no material actions, suits, proceedings, claims or disputes pending or, to the knowledge of the Responsible Officers of the Loan Parties, threatened in writing, at law, in equity, in arbitration or before any Governmental Authority, by or against the Borrower or any Subsidiary or against any of their properties or revenues that (a) purport to affect or pertain to this Agreement or any other Loan Document or any of the transactions contemplated hereby or (b) would reasonably be expected to have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6.07 </w:t>
      </w:r>
      <w:r>
        <w:rPr>
          <w:rFonts w:ascii="Times New Roman" w:hAnsi="Times New Roman"/>
          <w:b w:val="false"/>
          <w:color w:val="000000"/>
          <w:sz w:val="22"/>
          <w:u w:val="single"/>
        </w:rPr>
        <w:t>No Default</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Neither the Borrower nor any Subsidiary is in default under or with respect to any Contractual Obligation that would reasonably be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No Default has occurred and is continuing.</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6.08 </w:t>
      </w:r>
      <w:r>
        <w:rPr>
          <w:rFonts w:ascii="Times New Roman" w:hAnsi="Times New Roman"/>
          <w:b w:val="false"/>
          <w:color w:val="000000"/>
          <w:sz w:val="22"/>
          <w:u w:val="single"/>
        </w:rPr>
        <w:t>Ownership of Property; Liens</w:t>
      </w:r>
      <w:r>
        <w:rPr>
          <w:rFonts w:ascii="Times New Roman" w:hAnsi="Times New Roman"/>
          <w:b w:val="false"/>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of the Borrower and its Subsidiaries has good record and marketable title in fee simple to, or valid leasehold interests in, all real property necessary or used in the ordinary conduct of its business, except for such defects in title as would not reasonably be expected to have a Material Adverse Effect. The property of the Borrower and its Subsidiaries is not subject to any Liens other than Permitted Liens.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6.09 </w:t>
      </w:r>
      <w:r>
        <w:rPr>
          <w:rFonts w:ascii="Times New Roman" w:hAnsi="Times New Roman"/>
          <w:b w:val="false"/>
          <w:color w:val="000000"/>
          <w:sz w:val="22"/>
          <w:u w:val="single"/>
        </w:rPr>
        <w:t>Environmental Compliance</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would not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(a) Each of the facilities and real properties owned, leased or operated by the Borrower or any Subsidiary (the “</w:t>
      </w:r>
      <w:r>
        <w:rPr>
          <w:rFonts w:ascii="Times New Roman" w:hAnsi="Times New Roman"/>
          <w:color w:val="000000"/>
          <w:sz w:val="22"/>
          <w:u w:val="single"/>
        </w:rPr>
        <w:t>Facilities</w:t>
      </w:r>
      <w:r>
        <w:rPr>
          <w:rFonts w:ascii="Times New Roman" w:hAnsi="Times New Roman"/>
          <w:color w:val="000000"/>
          <w:sz w:val="20"/>
        </w:rPr>
        <w:t>”</w:t>
      </w:r>
      <w:r>
        <w:rPr>
          <w:rFonts w:ascii="Times New Roman" w:hAnsi="Times New Roman"/>
          <w:color w:val="000000"/>
          <w:sz w:val="22"/>
        </w:rPr>
        <w:t>) and all operations at the Facilities are in compliance with all applicable Environmental Laws, and there is no violation of any Environmental Law with respect to the Facilities or the businesses operated by the Borrower and its Subsidiaries at any time (the “</w:t>
      </w:r>
      <w:r>
        <w:rPr>
          <w:rFonts w:ascii="Times New Roman" w:hAnsi="Times New Roman"/>
          <w:color w:val="000000"/>
          <w:sz w:val="22"/>
          <w:u w:val="single"/>
        </w:rPr>
        <w:t>Businesses</w:t>
      </w:r>
      <w:r>
        <w:rPr>
          <w:rFonts w:ascii="Times New Roman" w:hAnsi="Times New Roman"/>
          <w:color w:val="000000"/>
          <w:sz w:val="20"/>
        </w:rPr>
        <w:t>”</w:t>
      </w:r>
      <w:r>
        <w:rPr>
          <w:rFonts w:ascii="Times New Roman" w:hAnsi="Times New Roman"/>
          <w:color w:val="000000"/>
          <w:sz w:val="22"/>
        </w:rPr>
        <w:t>), and there are no conditions relating to the Facilities or the Businesses that would reasonably be expected to give rise to liability under any applicable Environmental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None of the Facilities contains, or has previously contained, any Hazardous Materials at, on or under the Facilities in amounts or concentrations that constitute or constituted a violation of, or would reasonably be expected to give rise to liability under, Environmental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Neither the Borrower nor any Subsidiary has received any written or verbal notice of, or inquiry from any Governmental Authority regarding, any violation, alleged violation, non-compliance, liability or potential liability regarding environmental matters or compliance with Environmental Laws with regard to any of the Facilities or the Businesses, nor does any Responsible Officer of any Loan Party have knowledge or reason to believe that any such notice will be received or is being threatened in writing.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Hazardous Materials have not been transported or disposed of from the Facilities, or generated, treated, stored or disposed of at, on or under any of the Facilities or any other location, in each case by or on behalf of the Borrower or any Subsidiary in violation of, or in a manner that would be reasonably likely to give rise to liability under, any applicable Environmental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No judicial proceeding or governmental or administrative action is pending or, to the knowledge of the Responsible Officers of the Loan Parties, threatened in writing, under any Environmental Law to which the Borrower or any Subsidiary is or will be named as a party, nor are there any consent decrees or other decrees, consent orders, administrative orders or other orders, or other administrative or judicial requirements outstanding under any Environmental Law with respect to the Borrower, any Subsidiary, the Facilities or the Businesses.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There has been no release or threat of release of Hazardous Materials at or from the Facilities, or arising from or related to the operations (including disposal of Hazardous Materials) of the Borrower or any Subsidiary in connection with the Facilities or otherwise in connection with the Businesses, in violation of or in amounts or in a manner that could give rise to liability under Environmental Laws.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6.10 </w:t>
      </w:r>
      <w:r>
        <w:rPr>
          <w:rFonts w:ascii="Times New Roman" w:hAnsi="Times New Roman"/>
          <w:b w:val="false"/>
          <w:color w:val="000000"/>
          <w:sz w:val="22"/>
          <w:u w:val="single"/>
        </w:rPr>
        <w:t>Insurance</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properties of the Borrower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Subsidiary operates.</w:t>
      </w:r>
    </w:p>
    <w:p>
      <w:pPr>
        <w:pStyle w:val="TextBody"/>
        <w:bidi w:val="0"/>
        <w:jc w:val="center"/>
        <w:rPr>
          <w:rFonts w:ascii="Times New Roman" w:hAnsi="Times New Roman"/>
          <w:color w:val="000000"/>
          <w:sz w:val="22"/>
        </w:rPr>
      </w:pPr>
      <w:r>
        <w:rPr>
          <w:rFonts w:ascii="Times New Roman" w:hAnsi="Times New Roman"/>
          <w:color w:val="000000"/>
          <w:sz w:val="22"/>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6.11 </w:t>
      </w:r>
      <w:r>
        <w:rPr>
          <w:rFonts w:ascii="Times New Roman" w:hAnsi="Times New Roman"/>
          <w:b w:val="false"/>
          <w:color w:val="000000"/>
          <w:sz w:val="22"/>
          <w:u w:val="single"/>
        </w:rPr>
        <w:t>Taxes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 and its Subsidiaries have filed all United States federal and state income tax returns and all other material tax returns and reports required to be filed, and have paid all United States federal and state income taxes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the Borrower or any Subsidiary that would, if made, have a Material Adverse Effect. Neither the Borrower nor any Subsidiary is party to any tax sharing agreement with any entity that is not a direct or indirect Subsidiary of the Borrower.</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6.12 </w:t>
      </w:r>
      <w:r>
        <w:rPr>
          <w:rFonts w:ascii="Times New Roman" w:hAnsi="Times New Roman"/>
          <w:b w:val="false"/>
          <w:color w:val="000000"/>
          <w:sz w:val="22"/>
          <w:u w:val="single"/>
        </w:rPr>
        <w:t>ERISA Compliance</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Each Plan is in compliance with the applicable provisions of ERISA, the Internal Revenue Code and other federal or state Laws except where any failure to comply would not reasonably be expected to result in a Material Adverse Effect. Each Plan that is intended to be a qualified plan under Section 401(a) of the Internal Revenue Code has either received a favorable determination letter or can rely on a favorable opinion letter from the IRS to the effect that the form of such Plan is qualified under Section 401(a) of the Internal Revenue Code and the trust related thereto has been determined by the IRS to be exempt from federal income tax under Section 501(a) of the Internal Revenue Code, or an application for such a letter is currently being processed by the IRS. To the knowledge of the Responsible Officers of the Loan Parties, nothing has occurred that would reasonably be expected to prevent or cause the loss of such tax-qualified status.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There are no pending or, to the knowledge of the Responsible Officers of the Loan Parties, threatened claims, actions or lawsuits, or action by any Governmental Authority, with respect to any Plan that would reasonably be expected to have a Material Adverse Effect. There has been no prohibited transaction in violation of Section 406 or 407 of ERISA or Section 4975 of the Internal Revenue Code or violation of the fiduciary responsibility rules set forth in Section 404 and 405 of ERISA with respect to any Plan that has resulted or would reasonably be expected to result in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(i) No ERISA Event has occurred, and no Loan Party nor any ERISA Affiliate is aware of any fact, event or circumstance that would reasonably be expected to constitute or result in an ERISA Event with respect to any Pension Plan or Multiemployer Plan; (ii) as of the most recent valuation date for any Pension Plan, the funding target attainment percentage (as defined in Section 430(d)(2) of the Internal Revenue Code) is 60% or higher and no Loan Party nor any ERISA Affiliate knows of any facts or circumstances that would reasonably be expected to cause the funding target attainment percentage for any such plan to drop below 60% as of the most recent valuation date; (iii) no Loan Party nor any ERISA Affiliate has incurred any liability to the PBGC other than for the payment of premiums, and there are no premium payments which have become due that are unpaid; and (iv) no Pension Plan has been terminated by the plan administrator thereof or by the PBGC, and no event or circumstance has occurred or exists that would reasonably be expected to cause the PBGC to institute proceedings under Title IV of ERISA to terminate any Pension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As of the Effective Date, neither the Borrower nor any Guarantor is (i) a plan subject to Title I of the ERISA, (ii) a plan or account subject to Section 4975 of the Internal Revenue Code, (iii) an entity deemed to hold “plan assets” of any such plans or accounts for purposes of ERISA or the Internal Revenue Code or (iv) a “governmental plan” within the meaning of ERISA.</w:t>
      </w:r>
    </w:p>
    <w:p>
      <w:pPr>
        <w:pStyle w:val="TextBody"/>
        <w:bidi w:val="0"/>
        <w:jc w:val="center"/>
        <w:rPr>
          <w:rFonts w:ascii="Times New Roman" w:hAnsi="Times New Roman"/>
          <w:color w:val="000000"/>
          <w:sz w:val="22"/>
        </w:rPr>
      </w:pPr>
      <w:r>
        <w:rPr>
          <w:rFonts w:ascii="Times New Roman" w:hAnsi="Times New Roman"/>
          <w:color w:val="000000"/>
          <w:sz w:val="22"/>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6.13 </w:t>
      </w:r>
      <w:r>
        <w:rPr>
          <w:rFonts w:ascii="Times New Roman" w:hAnsi="Times New Roman"/>
          <w:b w:val="false"/>
          <w:color w:val="000000"/>
          <w:sz w:val="22"/>
          <w:u w:val="single"/>
        </w:rPr>
        <w:t>Subsidiaries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Set forth on </w:t>
      </w:r>
      <w:r>
        <w:rPr>
          <w:rFonts w:ascii="Times New Roman" w:hAnsi="Times New Roman"/>
          <w:color w:val="000000"/>
          <w:sz w:val="22"/>
          <w:u w:val="single"/>
        </w:rPr>
        <w:t>Schedule 6.13</w:t>
      </w:r>
      <w:r>
        <w:rPr>
          <w:rFonts w:ascii="Times New Roman" w:hAnsi="Times New Roman"/>
          <w:color w:val="000000"/>
          <w:sz w:val="20"/>
        </w:rPr>
        <w:t xml:space="preserve"> </w:t>
      </w:r>
      <w:r>
        <w:rPr>
          <w:rFonts w:ascii="Times New Roman" w:hAnsi="Times New Roman"/>
          <w:color w:val="000000"/>
          <w:sz w:val="22"/>
        </w:rPr>
        <w:t>hereto is a complete and accurate list as of the Effective Date of each Subsidiary, together with (a) jurisdiction of organization, (b) number of shares of each class of Equity Interests outstanding, (c) percentage of outstanding shares of each class owned (directly or indirectly) by the Borrower or any Subsidiary and (d) a notation as to which Subsidiaries are Immaterial Domestic Subsidiaries and Immaterial Foreign Subsidiaries. The outstanding Equity Interests of each Subsidiary are validly issued, fully paid and non-assessable.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6.14 </w:t>
      </w:r>
      <w:r>
        <w:rPr>
          <w:rFonts w:ascii="Times New Roman" w:hAnsi="Times New Roman"/>
          <w:b w:val="false"/>
          <w:color w:val="000000"/>
          <w:sz w:val="22"/>
          <w:u w:val="single"/>
        </w:rPr>
        <w:t>Margin Regulations; Investment Company Act</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Borrower and its Subsidiaries are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the Borrower only or of the Borrower and its Subsidiaries on a consolidated basis) subject to the provisions of </w:t>
      </w:r>
      <w:r>
        <w:rPr>
          <w:rFonts w:ascii="Times New Roman" w:hAnsi="Times New Roman"/>
          <w:color w:val="000000"/>
          <w:sz w:val="22"/>
          <w:u w:val="single"/>
        </w:rPr>
        <w:t>Section 8.01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8.05</w:t>
      </w:r>
      <w:r>
        <w:rPr>
          <w:rFonts w:ascii="Times New Roman" w:hAnsi="Times New Roman"/>
          <w:color w:val="000000"/>
          <w:sz w:val="20"/>
        </w:rPr>
        <w:t xml:space="preserve"> </w:t>
      </w:r>
      <w:r>
        <w:rPr>
          <w:rFonts w:ascii="Times New Roman" w:hAnsi="Times New Roman"/>
          <w:color w:val="000000"/>
          <w:sz w:val="22"/>
        </w:rPr>
        <w:t xml:space="preserve">or subject to any restriction contained in any agreement or instrument between the Borrower and any Lender or any Affiliate of any Lender relating to Indebtedness and within the scope of </w:t>
      </w:r>
      <w:r>
        <w:rPr>
          <w:rFonts w:ascii="Times New Roman" w:hAnsi="Times New Roman"/>
          <w:color w:val="000000"/>
          <w:sz w:val="22"/>
          <w:u w:val="single"/>
        </w:rPr>
        <w:t>Section 9.01(e)</w:t>
      </w:r>
      <w:r>
        <w:rPr>
          <w:rFonts w:ascii="Times New Roman" w:hAnsi="Times New Roman"/>
          <w:color w:val="000000"/>
          <w:sz w:val="20"/>
        </w:rPr>
        <w:t xml:space="preserve"> </w:t>
      </w:r>
      <w:r>
        <w:rPr>
          <w:rFonts w:ascii="Times New Roman" w:hAnsi="Times New Roman"/>
          <w:color w:val="000000"/>
          <w:sz w:val="22"/>
        </w:rPr>
        <w:t>will be margin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Neither the Borrower nor any Subsidiary is or is required to be registered as an “investment company” under the Investment Company Act of 1940.</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6.15 </w:t>
      </w:r>
      <w:r>
        <w:rPr>
          <w:rFonts w:ascii="Times New Roman" w:hAnsi="Times New Roman"/>
          <w:b w:val="false"/>
          <w:color w:val="000000"/>
          <w:sz w:val="22"/>
          <w:u w:val="single"/>
        </w:rPr>
        <w:t>Disclosure</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 report, financial statement, certificate or other information furnished in writing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(including, for purposes of clarification, information deemed delivered pursuant to the penultimate paragraph of </w:t>
      </w:r>
      <w:r>
        <w:rPr>
          <w:rFonts w:ascii="Times New Roman" w:hAnsi="Times New Roman"/>
          <w:color w:val="000000"/>
          <w:sz w:val="22"/>
          <w:u w:val="single"/>
        </w:rPr>
        <w:t>Section 7.02</w:t>
      </w:r>
      <w:r>
        <w:rPr>
          <w:rFonts w:ascii="Times New Roman" w:hAnsi="Times New Roman"/>
          <w:color w:val="000000"/>
          <w:sz w:val="22"/>
        </w:rPr>
        <w:t xml:space="preserve">)) when taken as a whole, contains any material misstatement of fact or omits to state any material fact necessary to make the statements therein, in the light of the circumstances under which they were made, not misleading;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with respect to projected business plans, forecasts and other projected financial information, the Loan Parties represent only that such information was prepared in good faith based upon assumptions believed to be reasonable at the time, which assumptions were fair in light of the conditions existing at the time of delivery of such forecasts, and represented, at the time of delivery, the Borrower’s reasonable estimate of its plans, forecasts or projections, as applicable, based on the information available at the time (it being acknowledged that actual results may vary, and such variations may be material). As of the Effective Date, the information included in any Beneficial Ownership Certification delivered to the Administrative Agent or any Lender on or prior to the Effective Date, if applicable, is true and correct in all respects.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6.16 </w:t>
      </w:r>
      <w:r>
        <w:rPr>
          <w:rFonts w:ascii="Times New Roman" w:hAnsi="Times New Roman"/>
          <w:b w:val="false"/>
          <w:color w:val="000000"/>
          <w:sz w:val="22"/>
          <w:u w:val="single"/>
        </w:rPr>
        <w:t>Compliance with Laws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of the Borrower and each Subsidiary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would not reasonably be expected to have a Material Adverse Effect.</w:t>
      </w:r>
    </w:p>
    <w:p>
      <w:pPr>
        <w:pStyle w:val="TextBody"/>
        <w:bidi w:val="0"/>
        <w:jc w:val="center"/>
        <w:rPr>
          <w:rFonts w:ascii="Times New Roman" w:hAnsi="Times New Roman"/>
          <w:color w:val="000000"/>
          <w:sz w:val="22"/>
        </w:rPr>
      </w:pPr>
      <w:r>
        <w:rPr>
          <w:rFonts w:ascii="Times New Roman" w:hAnsi="Times New Roman"/>
          <w:color w:val="000000"/>
          <w:sz w:val="22"/>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6.17 </w:t>
      </w:r>
      <w:r>
        <w:rPr>
          <w:rFonts w:ascii="Times New Roman" w:hAnsi="Times New Roman"/>
          <w:b w:val="false"/>
          <w:color w:val="000000"/>
          <w:sz w:val="22"/>
          <w:u w:val="single"/>
        </w:rPr>
        <w:t>Intellectual Property; Licenses, Etc.</w:t>
      </w:r>
    </w:p>
    <w:p>
      <w:pPr>
        <w:pStyle w:val="TextBody"/>
        <w:bidi w:val="0"/>
        <w:spacing w:before="0" w:after="240"/>
        <w:jc w:val="both"/>
        <w:rPr>
          <w:rFonts w:ascii="Times New Roman" w:hAnsi="Times New Roman"/>
          <w:sz w:val="20"/>
        </w:rPr>
      </w:pPr>
      <w:r>
        <w:rPr>
          <w:rFonts w:ascii="Times New Roman" w:hAnsi="Times New Roman"/>
          <w:color w:val="000000"/>
          <w:sz w:val="22"/>
        </w:rPr>
        <w:t>(a) The Borrower and its Subsidiaries own, or possess the right to use, all of the intellectual property rights, including all of the trademarks, service marks, rights in trade names and domain names, copyrights, patents, patent rights, rights in technology and software, rights in trade secrets and know-how, database rights and other intellectual property and similar proprietary rights, including all registrations and applications for registration thereof, (collectively, “</w:t>
      </w:r>
      <w:r>
        <w:rPr>
          <w:rFonts w:ascii="Times New Roman" w:hAnsi="Times New Roman"/>
          <w:color w:val="000000"/>
          <w:sz w:val="22"/>
          <w:u w:val="single"/>
        </w:rPr>
        <w:t>IP Rights</w:t>
      </w:r>
      <w:r>
        <w:rPr>
          <w:rFonts w:ascii="Times New Roman" w:hAnsi="Times New Roman"/>
          <w:color w:val="000000"/>
          <w:sz w:val="20"/>
        </w:rPr>
        <w:t>”</w:t>
      </w:r>
      <w:r>
        <w:rPr>
          <w:rFonts w:ascii="Times New Roman" w:hAnsi="Times New Roman"/>
          <w:color w:val="000000"/>
          <w:sz w:val="22"/>
        </w:rPr>
        <w:t>) that are used, held for use in or otherwise reasonably necessary for the operation of their respective businesses.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Set forth on </w:t>
      </w:r>
      <w:r>
        <w:rPr>
          <w:rFonts w:ascii="Times New Roman" w:hAnsi="Times New Roman"/>
          <w:color w:val="000000"/>
          <w:sz w:val="22"/>
          <w:u w:val="single"/>
        </w:rPr>
        <w:t>Schedule 6.17</w:t>
      </w:r>
      <w:r>
        <w:rPr>
          <w:rFonts w:ascii="Times New Roman" w:hAnsi="Times New Roman"/>
          <w:color w:val="000000"/>
          <w:sz w:val="20"/>
        </w:rPr>
        <w:t xml:space="preserve"> </w:t>
      </w:r>
      <w:r>
        <w:rPr>
          <w:rFonts w:ascii="Times New Roman" w:hAnsi="Times New Roman"/>
          <w:color w:val="000000"/>
          <w:sz w:val="22"/>
        </w:rPr>
        <w:t>hereto is a list of (i) all IP Rights registered or pending registration with the United States Copyright Office or the United States Patent and Trademark Office that as of the Effective Date a Loan Party owns and (ii) all licenses of IP Rights registered with the United States Copyright Office or the United States Patent and Trademark Office as of the Effective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Except for such claims and infringements that would not reasonably be expected to have a Material Adverse Effect, (i) no claim has been asserted and is pending by any Person challenging or questioning the use of any IP Rights by Borrower and its Subsidiaries or the validity or effectiveness of any IP Rights of the Borrower or any of its Subsidiaries, nor to the knowledge of the Responsible Officer of any Loan Party have any such claims been threatened in writing, (ii) to the knowledge of the Responsible Officers of the Loan Parties, the Borrower and its Subsidiaries have not infringed, misappropriated or otherwise violated, and are not infringing, misappropriating or otherwise violating any rights of any other Person, and (iii) to the knowledge of the Responsible Officers of the Loan Parties, the use of any IP Rights of or by the Borrower or any Subsidiary as currently used by the Borrower and its Subsidiaries, including any rights or licenses in respect of any IP Rights currently granted by the Borrower or any Subsidiary to any third party, in each case, does not infringe, misappropriate or otherwise violate any rights of any other Person.</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6.18 </w:t>
      </w:r>
      <w:r>
        <w:rPr>
          <w:rFonts w:ascii="Times New Roman" w:hAnsi="Times New Roman"/>
          <w:b w:val="false"/>
          <w:color w:val="000000"/>
          <w:sz w:val="22"/>
          <w:u w:val="single"/>
        </w:rPr>
        <w:t>Solvency</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 and its Subsidiaries on a consolidated basis are Solvent.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6.19 </w:t>
      </w:r>
      <w:r>
        <w:rPr>
          <w:rFonts w:ascii="Times New Roman" w:hAnsi="Times New Roman"/>
          <w:b w:val="false"/>
          <w:color w:val="000000"/>
          <w:sz w:val="22"/>
          <w:u w:val="single"/>
        </w:rPr>
        <w:t>Perfection of Security Interests in the Collateral</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During any Non-Investment Grade Period, the Collateral Documents create valid security interests in, and Liens on, the Collateral purported to be covered thereby, which security interests and Liens are currently perfected security interests, to the extent and in the manner required by the Collateral Documents and the Administrative Agent, prior to all other Liens other than Permitted Liens.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6.20 </w:t>
      </w:r>
      <w:r>
        <w:rPr>
          <w:rFonts w:ascii="Times New Roman" w:hAnsi="Times New Roman"/>
          <w:b w:val="false"/>
          <w:color w:val="000000"/>
          <w:sz w:val="22"/>
          <w:u w:val="single"/>
        </w:rPr>
        <w:t>Business Locations; Taxpayer Identification Number</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Set forth on </w:t>
      </w:r>
      <w:r>
        <w:rPr>
          <w:rFonts w:ascii="Times New Roman" w:hAnsi="Times New Roman"/>
          <w:color w:val="000000"/>
          <w:sz w:val="22"/>
          <w:u w:val="single"/>
        </w:rPr>
        <w:t>Schedule 6.20-1</w:t>
      </w:r>
      <w:r>
        <w:rPr>
          <w:rFonts w:ascii="Times New Roman" w:hAnsi="Times New Roman"/>
          <w:color w:val="000000"/>
          <w:sz w:val="20"/>
        </w:rPr>
        <w:t xml:space="preserve"> </w:t>
      </w:r>
      <w:r>
        <w:rPr>
          <w:rFonts w:ascii="Times New Roman" w:hAnsi="Times New Roman"/>
          <w:color w:val="000000"/>
          <w:sz w:val="22"/>
        </w:rPr>
        <w:t xml:space="preserve">hereto is a list of all real property located in the United States that is owned or leased by any Loan Party as of the Effective Date (identifying whether such real property is owned or leased and which Loan Party owns or leases such real property). Set forth on </w:t>
      </w:r>
      <w:r>
        <w:rPr>
          <w:rFonts w:ascii="Times New Roman" w:hAnsi="Times New Roman"/>
          <w:color w:val="000000"/>
          <w:sz w:val="22"/>
          <w:u w:val="single"/>
        </w:rPr>
        <w:t>Schedule 6.20-2</w:t>
      </w:r>
      <w:r>
        <w:rPr>
          <w:rFonts w:ascii="Times New Roman" w:hAnsi="Times New Roman"/>
          <w:color w:val="000000"/>
          <w:sz w:val="20"/>
        </w:rPr>
        <w:t xml:space="preserve"> </w:t>
      </w:r>
      <w:r>
        <w:rPr>
          <w:rFonts w:ascii="Times New Roman" w:hAnsi="Times New Roman"/>
          <w:color w:val="000000"/>
          <w:sz w:val="22"/>
        </w:rPr>
        <w:t xml:space="preserve">hereto is the chief executive office, U.S. tax payer identification number and organizational identification number of each Loan Party as of the Effective Date. The exact legal name and state of organization of each Loan Party as of the Effective Date is as set forth on the signature pages hereto. Except as set forth on </w:t>
      </w:r>
      <w:r>
        <w:rPr>
          <w:rFonts w:ascii="Times New Roman" w:hAnsi="Times New Roman"/>
          <w:color w:val="000000"/>
          <w:sz w:val="22"/>
          <w:u w:val="single"/>
        </w:rPr>
        <w:t>Schedule 6.20-3</w:t>
      </w:r>
      <w:r>
        <w:rPr>
          <w:rFonts w:ascii="Times New Roman" w:hAnsi="Times New Roman"/>
          <w:color w:val="000000"/>
          <w:sz w:val="20"/>
        </w:rPr>
        <w:t xml:space="preserve"> </w:t>
      </w:r>
      <w:r>
        <w:rPr>
          <w:rFonts w:ascii="Times New Roman" w:hAnsi="Times New Roman"/>
          <w:color w:val="000000"/>
          <w:sz w:val="22"/>
        </w:rPr>
        <w:t>hereto, as of the Effective Date, no Loan Party has during the five years preceding the Effective Date (a) changed its legal name, (b) changed its state of formation, or (c) been party to a merger, consolidation or other change in structure.</w:t>
      </w:r>
    </w:p>
    <w:p>
      <w:pPr>
        <w:pStyle w:val="TextBody"/>
        <w:bidi w:val="0"/>
        <w:jc w:val="center"/>
        <w:rPr>
          <w:rFonts w:ascii="Times New Roman" w:hAnsi="Times New Roman"/>
          <w:color w:val="000000"/>
          <w:sz w:val="22"/>
        </w:rPr>
      </w:pPr>
      <w:r>
        <w:rPr>
          <w:rFonts w:ascii="Times New Roman" w:hAnsi="Times New Roman"/>
          <w:color w:val="000000"/>
          <w:sz w:val="22"/>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6.21 </w:t>
      </w:r>
      <w:r>
        <w:rPr>
          <w:rFonts w:ascii="Times New Roman" w:hAnsi="Times New Roman"/>
          <w:b w:val="false"/>
          <w:color w:val="000000"/>
          <w:sz w:val="22"/>
          <w:u w:val="single"/>
        </w:rPr>
        <w:t>OFAC; Anti-Corruption</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Neither the Borrower nor any Subsidiary nor any director, officer, employee, adviser, agent or affiliate thereof, is an individual or entity that is, or is owned or controlled by one or more individuals or entities that are, (i) currently the subject or target of any Sanctions, or (ii) included on OFAC’s List of Specially Designated Nationals and Blocked Persons, HMT’s Sanctions List, or any similar list enforced by any other relevant sanctions authority. Neither the Borrower nor any Subsidiary nor any of their respective directors or officers, is located, organized, or resident in a Designated Jurisdiction. The Borrower and its Subsidiaries have conducted their businesses in compliance in all material respects with all applicable Sanctions and have instituted and maintained policies and procedures designed to promote and achieve compliance with such Sanctions.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Borrower and its Subsidiaries have conducted their business in compliance with the United States Foreign Corrupt Practices Act of 1977, the UK Bribery Act 2010 and other similar anti-corruption legislation in other jurisdictions, and have instituted and maintained policies and procedures designed to promote and achieve compliance with such laws.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6.22 </w:t>
      </w:r>
      <w:r>
        <w:rPr>
          <w:rFonts w:ascii="Times New Roman" w:hAnsi="Times New Roman"/>
          <w:b w:val="false"/>
          <w:color w:val="000000"/>
          <w:sz w:val="22"/>
          <w:u w:val="single"/>
        </w:rPr>
        <w:t>USA PATRIOT Act</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The Borrower and its Subsidiaries have conducted their business in compliance with the USA PATRIOT Act (Title III of Pub. L. 107-56 (signed into law October 26, 2001)) (the “</w:t>
      </w:r>
      <w:r>
        <w:rPr>
          <w:rFonts w:ascii="Times New Roman" w:hAnsi="Times New Roman"/>
          <w:color w:val="000000"/>
          <w:sz w:val="22"/>
          <w:u w:val="single"/>
        </w:rPr>
        <w:t>USA PATRIOT Act</w:t>
      </w:r>
      <w:r>
        <w:rPr>
          <w:rFonts w:ascii="Times New Roman" w:hAnsi="Times New Roman"/>
          <w:color w:val="000000"/>
          <w:sz w:val="20"/>
        </w:rPr>
        <w:t>”</w:t>
      </w:r>
      <w:r>
        <w:rPr>
          <w:rFonts w:ascii="Times New Roman" w:hAnsi="Times New Roman"/>
          <w:color w:val="000000"/>
          <w:sz w:val="22"/>
        </w:rPr>
        <w:t>), and have instituted and maintained policies and procedures designed to promote and achieve compliance with such law.</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6.23 </w:t>
      </w:r>
      <w:r>
        <w:rPr>
          <w:rFonts w:ascii="Times New Roman" w:hAnsi="Times New Roman"/>
          <w:b w:val="false"/>
          <w:color w:val="000000"/>
          <w:sz w:val="22"/>
          <w:u w:val="single"/>
        </w:rPr>
        <w:t>Covered Entities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Loan Party is a Covered Entity.</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6.24 </w:t>
      </w:r>
      <w:r>
        <w:rPr>
          <w:rFonts w:ascii="Times New Roman" w:hAnsi="Times New Roman"/>
          <w:b w:val="false"/>
          <w:color w:val="000000"/>
          <w:sz w:val="22"/>
          <w:u w:val="single"/>
        </w:rPr>
        <w:t>Outbound Investment Rules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the Borrower nor any of its Subsidiaries is a ‘covered foreign person’ as that term is used in the Outbound Investment Rules. Neither the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Lenders or L/C Issuers to be in violation of the Outbound Investment Rules or cause the Administrative Agent, Lenders or L/C Issuers to be legally prohibited by the Outbound Investment Rules from performing under this Agreement.</w:t>
      </w:r>
    </w:p>
    <w:p>
      <w:pPr>
        <w:pStyle w:val="TextBody"/>
        <w:bidi w:val="0"/>
        <w:jc w:val="left"/>
        <w:rPr/>
      </w:pPr>
      <w:r>
        <w:rPr/>
        <w:t> </w:t>
      </w:r>
    </w:p>
    <w:p>
      <w:pPr>
        <w:pStyle w:val="Heading1"/>
        <w:bidi w:val="0"/>
        <w:spacing w:before="0" w:after="240"/>
        <w:jc w:val="center"/>
        <w:rPr>
          <w:rFonts w:ascii="Times New Roman" w:hAnsi="Times New Roman"/>
          <w:b w:val="false"/>
          <w:caps/>
          <w:color w:val="000000"/>
          <w:sz w:val="22"/>
        </w:rPr>
      </w:pPr>
      <w:r>
        <w:rPr>
          <w:rFonts w:ascii="Times New Roman" w:hAnsi="Times New Roman"/>
          <w:b w:val="false"/>
          <w:caps/>
          <w:color w:val="000000"/>
          <w:sz w:val="22"/>
        </w:rPr>
        <w:t>Article VII.</w:t>
        <w:br/>
        <w:br/>
        <w:t>AFFIRMATIVE COVENANTS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On and after the Effective Date, and until the Facility Termination Date, each Loan Party shall, and shall cause each Subsidiary to:</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7.01 </w:t>
      </w:r>
      <w:r>
        <w:rPr>
          <w:rFonts w:ascii="Times New Roman" w:hAnsi="Times New Roman"/>
          <w:b w:val="false"/>
          <w:color w:val="000000"/>
          <w:sz w:val="22"/>
          <w:u w:val="single"/>
        </w:rPr>
        <w:t>Financial Statements</w:t>
      </w:r>
      <w:r>
        <w:rPr>
          <w:rFonts w:ascii="Times New Roman" w:hAnsi="Times New Roman"/>
          <w:b w:val="false"/>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Deliver to the Administrative Agent (and the Administrative Agent shall make the same available to the Lenders), in form and detail satisfactory to the Administrative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as soon as available, but in any event within ninety days after the end of each fiscal year of the Borrower (or, if earlier, fifteen (15) days after the date required to be filed with the SEC (without giving effect to any extension permitted by the SEC)), commencing with the fiscal year of the Borrower ending December 31, 2025, a consolidated balance sheet of the Borrower and its Subsidiaries as at the end of such fiscal year, and the related consolidated statements of income or operations, changes in stockholders’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as soon as available, but in any event within forty-five (45) days after the end of each of the first three fiscal quarters of each fiscal year of the Borrower (or, if earlier, five (5) days after the date required to be filed with the SEC (without giving effect to any extension permitted by the SEC)), commencing with the first such fiscal quarter of the Borrower ending on or after the Effective Date, a consolidated balance sheet of the Borrower and its Subsidiaries as at the end of such fiscal quarter, the related consolidated statements of income or operations for such fiscal quarter and for the portion of the Borrower’s fiscal year then ended, and the related consolidated statements of changes in stockholders’ equity and cash flows for the portion of the Borrower’s fiscal year then ended, in each case setting forth in comparative form, as applicable, the figures for the corresponding fiscal quarter of the previous fiscal year and the corresponding portion of the previous fiscal year, all in reasonable detail and certified by the chief executive officer, chief financial officer, treasurer or controller that is a Responsible Officer of the Borrower as fairly presenting in all material respects the financial condition, results of operations, shareholders’ equity and cash flows of the Borrower and its Subsidiaries in accordance with GAAP, subject only to normal year-end audit adjustments and the absence of footnotes.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As to any information contained in materials furnished pursuant to </w:t>
      </w:r>
      <w:r>
        <w:rPr>
          <w:rFonts w:ascii="Times New Roman" w:hAnsi="Times New Roman"/>
          <w:color w:val="000000"/>
          <w:sz w:val="22"/>
          <w:u w:val="single"/>
        </w:rPr>
        <w:t>Section 7.02(c)</w:t>
      </w:r>
      <w:r>
        <w:rPr>
          <w:rFonts w:ascii="Times New Roman" w:hAnsi="Times New Roman"/>
          <w:color w:val="000000"/>
          <w:sz w:val="22"/>
        </w:rPr>
        <w:t xml:space="preserve">, the Borrower shall not be separately required to furnish such information under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7.01(b)</w:t>
      </w:r>
      <w:r>
        <w:rPr>
          <w:rFonts w:ascii="Times New Roman" w:hAnsi="Times New Roman"/>
          <w:color w:val="000000"/>
          <w:sz w:val="22"/>
        </w:rPr>
        <w:t xml:space="preserve">, but the foregoing shall not be in derogation of the obligation of the Borrower to furnish the information and materials described in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7.01(b)</w:t>
      </w:r>
      <w:r>
        <w:rPr>
          <w:rFonts w:ascii="Times New Roman" w:hAnsi="Times New Roman"/>
          <w:color w:val="000000"/>
          <w:sz w:val="20"/>
        </w:rPr>
        <w:t xml:space="preserve"> </w:t>
      </w:r>
      <w:r>
        <w:rPr>
          <w:rFonts w:ascii="Times New Roman" w:hAnsi="Times New Roman"/>
          <w:color w:val="000000"/>
          <w:sz w:val="22"/>
        </w:rPr>
        <w:t>at the times specified therein.</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7.02 </w:t>
      </w:r>
      <w:r>
        <w:rPr>
          <w:rFonts w:ascii="Times New Roman" w:hAnsi="Times New Roman"/>
          <w:b w:val="false"/>
          <w:color w:val="000000"/>
          <w:sz w:val="22"/>
          <w:u w:val="single"/>
        </w:rPr>
        <w:t>Certificates; Other Information</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Deliver to the Administrative Agent (and the Administrative Agent shall make the same available to the Lenders), in form and detail satisfactory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concurrently with the delivery of the financial statements referred to in </w:t>
      </w:r>
      <w:r>
        <w:rPr>
          <w:rFonts w:ascii="Times New Roman" w:hAnsi="Times New Roman"/>
          <w:color w:val="000000"/>
          <w:sz w:val="22"/>
          <w:u w:val="single"/>
        </w:rPr>
        <w:t>Section 7.01(a)</w:t>
      </w:r>
      <w:r>
        <w:rPr>
          <w:rFonts w:ascii="Times New Roman" w:hAnsi="Times New Roman"/>
          <w:color w:val="000000"/>
          <w:sz w:val="22"/>
        </w:rPr>
        <w:t xml:space="preserve">, a report of its independent certified public accountants certifying such financial statements and stating that in connection with its audit examination no knowledge was obtained of any Default under the financial covenants set forth in </w:t>
      </w:r>
      <w:r>
        <w:rPr>
          <w:rFonts w:ascii="Times New Roman" w:hAnsi="Times New Roman"/>
          <w:color w:val="000000"/>
          <w:sz w:val="22"/>
          <w:u w:val="single"/>
        </w:rPr>
        <w:t>Section 8.11</w:t>
      </w:r>
      <w:r>
        <w:rPr>
          <w:rFonts w:ascii="Times New Roman" w:hAnsi="Times New Roman"/>
          <w:color w:val="000000"/>
          <w:sz w:val="20"/>
        </w:rPr>
        <w:t xml:space="preserve"> </w:t>
      </w:r>
      <w:r>
        <w:rPr>
          <w:rFonts w:ascii="Times New Roman" w:hAnsi="Times New Roman"/>
          <w:color w:val="000000"/>
          <w:sz w:val="22"/>
        </w:rPr>
        <w:t>or, if any such Default shall exist, stating the nature and status of such event;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concurrently with the delivery of the financial statements referred to in </w:t>
      </w:r>
      <w:r>
        <w:rPr>
          <w:rFonts w:ascii="Times New Roman" w:hAnsi="Times New Roman"/>
          <w:color w:val="000000"/>
          <w:sz w:val="22"/>
          <w:u w:val="single"/>
        </w:rPr>
        <w:t>Sections 7.01(a)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2"/>
        </w:rPr>
        <w:t>, a duly completed Compliance Certificate signed by the chief executive officer, chief financial officer, treasurer or controller that is a Responsible Officer of the Borrower (which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delivery may, unless the Administrative Agent or a Lender requests executed originals, be by electronic communication including fax or email and shall be deemed to be an original authentic counterpart thereof for all purposes);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promptly after the same are available, copies of each annual report, proxy or financial statement or other report or communication sent to the equityholders of the Borrower or any Subsidiary, and copies of all annual, regular, periodic and special reports and registration statements which the Borrower or any Subsidiary may file or be required to file with the SEC under Section 13 or 15(d) of the Securities Exchange Act of 1934, and not otherwise required to be delivered to the Administrative Agent pursuant 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during any Non-Investment Grade Period, concurrently with the delivery of the financial statements referred to in </w:t>
      </w:r>
      <w:r>
        <w:rPr>
          <w:rFonts w:ascii="Times New Roman" w:hAnsi="Times New Roman"/>
          <w:color w:val="000000"/>
          <w:sz w:val="22"/>
          <w:u w:val="single"/>
        </w:rPr>
        <w:t>Section 7.01(a)</w:t>
      </w:r>
      <w:r>
        <w:rPr>
          <w:rFonts w:ascii="Times New Roman" w:hAnsi="Times New Roman"/>
          <w:color w:val="000000"/>
          <w:sz w:val="22"/>
        </w:rPr>
        <w:t xml:space="preserve">, a report signed by a Responsible Officer of the Borrower that supplements </w:t>
      </w:r>
      <w:r>
        <w:rPr>
          <w:rFonts w:ascii="Times New Roman" w:hAnsi="Times New Roman"/>
          <w:color w:val="000000"/>
          <w:sz w:val="22"/>
          <w:u w:val="single"/>
        </w:rPr>
        <w:t>Schedule 6.17</w:t>
      </w:r>
      <w:r>
        <w:rPr>
          <w:rFonts w:ascii="Times New Roman" w:hAnsi="Times New Roman"/>
          <w:color w:val="000000"/>
          <w:sz w:val="20"/>
        </w:rPr>
        <w:t xml:space="preserve"> </w:t>
      </w:r>
      <w:r>
        <w:rPr>
          <w:rFonts w:ascii="Times New Roman" w:hAnsi="Times New Roman"/>
          <w:color w:val="000000"/>
          <w:sz w:val="22"/>
        </w:rPr>
        <w:t>to this Agreement such that, as supplemented, such schedule would be accurate and complete as of such date (and if no supplement is required to cause such schedule to be accurate and complete as of such date, then the Borrower shall not be required to deliver such a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promptly after any written request by the Administrative Agent, copies of any detailed audit reports, management letters or recommendations submitted to the board of directors (or the audit committee of the board of directors) of the Borrower by independent accountants in connection with the accounts or books of the Borrower, or any audit of any of the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promptly, and in any event within ten (10) Business Days after receipt thereof by the Borrower or any Subsidiary, copies of each notice or other correspondence received from the SEC (or comparable agency in any applicable non-U.S. jurisdiction) concerning any investigation or possible investigation or other inquiry by such agency regarding financial or other operational results of the Borrower or any Subsidiary, in each case, that are required to be publicly disclosed pursuant to applicable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promptly following any written request therefor, information and documentation reasonably requested by the Administrative Agent or any Lender for purposes of compliance with applicable “know your customer” and anti-money-laundering rules and regulations, including, the USA PATRIOT Act and the Beneficial Ownership Regulation;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promptly, such additional information regarding the business, financial or corporate affairs of the Borrower or any Subsidiary, or compliance with the terms of the Loan Documents, as the Administrative Agent may from time to time reasonably request in writing in order to allow it to determine compliance with the Loan Documents.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Documents required to be delivered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7.01(b)</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7.02(c)</w:t>
      </w:r>
      <w:r>
        <w:rPr>
          <w:rFonts w:ascii="Times New Roman" w:hAnsi="Times New Roman"/>
          <w:color w:val="000000"/>
          <w:sz w:val="20"/>
        </w:rPr>
        <w:t xml:space="preserve"> </w:t>
      </w:r>
      <w:r>
        <w:rPr>
          <w:rFonts w:ascii="Times New Roman" w:hAnsi="Times New Roman"/>
          <w:color w:val="000000"/>
          <w:sz w:val="22"/>
        </w:rPr>
        <w:t xml:space="preserve">(to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hAnsi="Times New Roman"/>
          <w:color w:val="000000"/>
          <w:sz w:val="22"/>
          <w:u w:val="single"/>
        </w:rPr>
        <w:t>Schedule 11.02</w:t>
      </w:r>
      <w:r>
        <w:rPr>
          <w:rFonts w:ascii="Times New Roman" w:hAnsi="Times New Roman"/>
          <w:color w:val="000000"/>
          <w:sz w:val="20"/>
        </w:rPr>
        <w:t xml:space="preserve"> </w:t>
      </w:r>
      <w:r>
        <w:rPr>
          <w:rFonts w:ascii="Times New Roman" w:hAnsi="Times New Roman"/>
          <w:color w:val="000000"/>
          <w:sz w:val="22"/>
        </w:rPr>
        <w:t xml:space="preserve">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Borrower (a) shall deliver paper copies of such documents to the Administrative Agent or any Lender upon its request to the Borrower to deliver such paper copies until a written request to cease delivering paper copies is given by the Administrative Agent or such Lender and (b) shall notify the Administrative Agent and each Lender of the posting of any such documents and provide to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Administrative Agent by electronic mail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pStyle w:val="TextBody"/>
        <w:bidi w:val="0"/>
        <w:spacing w:before="0" w:after="240"/>
        <w:jc w:val="both"/>
        <w:rPr>
          <w:rFonts w:ascii="Times New Roman" w:hAnsi="Times New Roman"/>
          <w:sz w:val="20"/>
        </w:rPr>
      </w:pPr>
      <w:r>
        <w:rPr>
          <w:rFonts w:ascii="Times New Roman" w:hAnsi="Times New Roman"/>
          <w:color w:val="000000"/>
          <w:sz w:val="22"/>
        </w:rPr>
        <w:t>The Borrower hereby acknowledges that (a) the Administrative Agent and/or the Arranger may, but shall not be obligated to, make available to the Lenders and the L/C Issuer materials and/or information provided by or on behalf of the Borrower hereunder (collectively, “</w:t>
      </w:r>
      <w:r>
        <w:rPr>
          <w:rFonts w:ascii="Times New Roman" w:hAnsi="Times New Roman"/>
          <w:color w:val="000000"/>
          <w:sz w:val="22"/>
          <w:u w:val="single"/>
        </w:rPr>
        <w:t>Borrower Materials</w:t>
      </w:r>
      <w:r>
        <w:rPr>
          <w:rFonts w:ascii="Times New Roman" w:hAnsi="Times New Roman"/>
          <w:color w:val="000000"/>
          <w:sz w:val="20"/>
        </w:rPr>
        <w:t>”</w:t>
      </w:r>
      <w:r>
        <w:rPr>
          <w:rFonts w:ascii="Times New Roman" w:hAnsi="Times New Roman"/>
          <w:color w:val="000000"/>
          <w:sz w:val="22"/>
        </w:rPr>
        <w:t>) by posting the Borrower Materials on IntraLinks, Syndtrak, ClearPar, or a substantially similar electronic transmission system (the “</w:t>
      </w:r>
      <w:r>
        <w:rPr>
          <w:rFonts w:ascii="Times New Roman" w:hAnsi="Times New Roman"/>
          <w:color w:val="000000"/>
          <w:sz w:val="22"/>
          <w:u w:val="single"/>
        </w:rPr>
        <w:t>Platform</w:t>
      </w:r>
      <w:r>
        <w:rPr>
          <w:rFonts w:ascii="Times New Roman" w:hAnsi="Times New Roman"/>
          <w:color w:val="000000"/>
          <w:sz w:val="20"/>
        </w:rPr>
        <w:t>”</w:t>
      </w:r>
      <w:r>
        <w:rPr>
          <w:rFonts w:ascii="Times New Roman" w:hAnsi="Times New Roman"/>
          <w:color w:val="000000"/>
          <w:sz w:val="22"/>
        </w:rPr>
        <w:t>) and (b) certain of the Lenders (each, a “</w:t>
      </w:r>
      <w:r>
        <w:rPr>
          <w:rFonts w:ascii="Times New Roman" w:hAnsi="Times New Roman"/>
          <w:color w:val="000000"/>
          <w:sz w:val="22"/>
          <w:u w:val="single"/>
        </w:rPr>
        <w:t>Public Lender</w:t>
      </w:r>
      <w:r>
        <w:rPr>
          <w:rFonts w:ascii="Times New Roman" w:hAnsi="Times New Roman"/>
          <w:color w:val="000000"/>
          <w:sz w:val="20"/>
        </w:rPr>
        <w:t>”</w:t>
      </w:r>
      <w:r>
        <w:rPr>
          <w:rFonts w:ascii="Times New Roman" w:hAnsi="Times New Roman"/>
          <w:color w:val="000000"/>
          <w:sz w:val="22"/>
        </w:rPr>
        <w:t xml:space="preserve">)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Borrowers shall be deemed to have authorized the Administrative Agent, the Arranger, the L/C Issuer and the Lenders to treat such Borrower Materials as not containing any material non-public information with respect to the Borrowers or their respective securities for purposes of United States Federal and state securities laws (provided, however, that to the extent such Borrower Materials constitute Information, they shall be treated as set forth in </w:t>
      </w:r>
      <w:r>
        <w:rPr>
          <w:rFonts w:ascii="Times New Roman" w:hAnsi="Times New Roman"/>
          <w:color w:val="000000"/>
          <w:sz w:val="22"/>
          <w:u w:val="single"/>
        </w:rPr>
        <w:t>Section 11.07</w:t>
      </w:r>
      <w:r>
        <w:rPr>
          <w:rFonts w:ascii="Times New Roman" w:hAnsi="Times New Roman"/>
          <w:color w:val="000000"/>
          <w:sz w:val="22"/>
        </w:rPr>
        <w:t>); (y) all Borrower Materials marked “PUBLIC” are 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7.03 </w:t>
      </w:r>
      <w:r>
        <w:rPr>
          <w:rFonts w:ascii="Times New Roman" w:hAnsi="Times New Roman"/>
          <w:b w:val="false"/>
          <w:color w:val="000000"/>
          <w:sz w:val="22"/>
          <w:u w:val="single"/>
        </w:rPr>
        <w:t>Notices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Promptly notify the Administrative Agent (who will notify the Lenders) 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occurrence of any Default or Event of Default.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matter that has resulted or would reasonably be expected to result in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occurrence of any ERISA Event which would reasonably be expected to result in a liability in excess of the Threshold Amount.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any material change in accounting policies or financial reporting practices by the Borrower or any Subsidiary, including any determination by the Borrower referred to in </w:t>
      </w:r>
      <w:r>
        <w:rPr>
          <w:rFonts w:ascii="Times New Roman" w:hAnsi="Times New Roman"/>
          <w:color w:val="000000"/>
          <w:sz w:val="22"/>
          <w:u w:val="single"/>
        </w:rPr>
        <w:t>Section 2.10(b)</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the occurrence of the Maturity Date pursuant to clause (ii)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any written announcement by Fitch, Moody’s or S&amp;P of any change in (or cessation to maintain) an Applicable Rating.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any occurrence of a Reinstatement Event;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such notice must be provided within five (5) Business Days of such Reinstatement Event.</w:t>
      </w:r>
    </w:p>
    <w:p>
      <w:pPr>
        <w:pStyle w:val="TextBody"/>
        <w:bidi w:val="0"/>
        <w:jc w:val="center"/>
        <w:rPr>
          <w:rFonts w:ascii="Times New Roman" w:hAnsi="Times New Roman"/>
          <w:color w:val="000000"/>
          <w:sz w:val="22"/>
        </w:rPr>
      </w:pPr>
      <w:r>
        <w:rPr>
          <w:rFonts w:ascii="Times New Roman" w:hAnsi="Times New Roman"/>
          <w:color w:val="000000"/>
          <w:sz w:val="22"/>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Each notice pursuant to this </w:t>
      </w:r>
      <w:r>
        <w:rPr>
          <w:rFonts w:ascii="Times New Roman" w:hAnsi="Times New Roman"/>
          <w:color w:val="000000"/>
          <w:sz w:val="22"/>
          <w:u w:val="single"/>
        </w:rPr>
        <w:t>Section 7.03</w:t>
      </w:r>
      <w:r>
        <w:rPr>
          <w:rFonts w:ascii="Times New Roman" w:hAnsi="Times New Roman"/>
          <w:color w:val="000000"/>
          <w:sz w:val="20"/>
        </w:rPr>
        <w:t xml:space="preserve"> </w:t>
      </w:r>
      <w:r>
        <w:rPr>
          <w:rFonts w:ascii="Times New Roman" w:hAnsi="Times New Roman"/>
          <w:color w:val="000000"/>
          <w:sz w:val="22"/>
        </w:rPr>
        <w:t xml:space="preserve">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 w:hAnsi="Times New Roman"/>
          <w:color w:val="000000"/>
          <w:sz w:val="22"/>
          <w:u w:val="single"/>
        </w:rPr>
        <w:t>Section 7.03(a)</w:t>
      </w:r>
      <w:r>
        <w:rPr>
          <w:rFonts w:ascii="Times New Roman" w:hAnsi="Times New Roman"/>
          <w:color w:val="000000"/>
          <w:sz w:val="20"/>
        </w:rPr>
        <w:t xml:space="preserve"> </w:t>
      </w:r>
      <w:r>
        <w:rPr>
          <w:rFonts w:ascii="Times New Roman" w:hAnsi="Times New Roman"/>
          <w:color w:val="000000"/>
          <w:sz w:val="22"/>
        </w:rPr>
        <w:t>shall describe with particularity any and all provisions of this Agreement and any other Loan Document that have been breached.</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7.04 </w:t>
      </w:r>
      <w:r>
        <w:rPr>
          <w:rFonts w:ascii="Times New Roman" w:hAnsi="Times New Roman"/>
          <w:b w:val="false"/>
          <w:color w:val="000000"/>
          <w:sz w:val="22"/>
          <w:u w:val="single"/>
        </w:rPr>
        <w:t>Payment of Taxes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Pay and discharge as the same shall become due and payable all Taxes of the Borrower and its Subsidiaries, unless (a) the same are being contested in good faith by appropriate proceedings diligently conducted and to the extent required by GAAP, adequate reserves are being maintained by the Borrower or such Subsidiary with respect thereto in accordance with GAAP or (b) the failure to do so, individually or in the aggregate, could not reasonably be expected to result in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7.05 </w:t>
      </w:r>
      <w:r>
        <w:rPr>
          <w:rFonts w:ascii="Times New Roman" w:hAnsi="Times New Roman"/>
          <w:b w:val="false"/>
          <w:color w:val="000000"/>
          <w:sz w:val="22"/>
          <w:u w:val="single"/>
        </w:rPr>
        <w:t>Preservation of Existence, Etc.</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In the case of the Borrower and its Subsidiaries, other than the Immaterial Domestic Subsidiaries and the Immaterial Foreign Subsidiaries, preserve, renew and maintain in full force and effect its legal existence under the Laws of the jurisdiction of its organization except in a transaction permitted by </w:t>
      </w:r>
      <w:r>
        <w:rPr>
          <w:rFonts w:ascii="Times New Roman" w:hAnsi="Times New Roman"/>
          <w:color w:val="000000"/>
          <w:sz w:val="22"/>
          <w:u w:val="single"/>
        </w:rPr>
        <w:t>Section 8.04</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8.05</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Preserve, renew and maintain in full force and effect its good standing under the Laws of the jurisdiction of its organization except in a transaction permitted by </w:t>
      </w:r>
      <w:r>
        <w:rPr>
          <w:rFonts w:ascii="Times New Roman" w:hAnsi="Times New Roman"/>
          <w:color w:val="000000"/>
          <w:sz w:val="22"/>
          <w:u w:val="single"/>
        </w:rPr>
        <w:t>Section 8.04</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8.05</w:t>
      </w:r>
      <w:r>
        <w:rPr>
          <w:rFonts w:ascii="Times New Roman" w:hAnsi="Times New Roman"/>
          <w:color w:val="000000"/>
          <w:sz w:val="20"/>
        </w:rPr>
        <w:t xml:space="preserve"> </w:t>
      </w:r>
      <w:r>
        <w:rPr>
          <w:rFonts w:ascii="Times New Roman" w:hAnsi="Times New Roman"/>
          <w:color w:val="000000"/>
          <w:sz w:val="22"/>
        </w:rPr>
        <w:t>or where the failure to so preserve, renew and maintain would not reasonably be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Take all reasonable action to maintain all rights, privileges, permits, licenses and franchises applicable to the Borrower and its Subsidiaries that are necessary or desirable in the normal conduct of its business, except to the extent that the failure to do so would not reasonably be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Preserve, renew and maintain in full force and effect all of its IP Rights, the non-preservation, non-renewal or non-maintenance of which would reasonably be expected to have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7.06 </w:t>
      </w:r>
      <w:r>
        <w:rPr>
          <w:rFonts w:ascii="Times New Roman" w:hAnsi="Times New Roman"/>
          <w:b w:val="false"/>
          <w:color w:val="000000"/>
          <w:sz w:val="22"/>
          <w:u w:val="single"/>
        </w:rPr>
        <w:t>Maintenance of Properties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Maintain, preserve and protect all of its material properties and material equipment that is necessary in the operation of its business in good working order and condition, ordinary wear and tear excepted.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Make all necessary repairs thereto and renewals and replacements thereof, except where the failure to do so would not reasonably be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Use the standard of care typical in the industry in the operation and maintenance of its facilities, except where the failure to do so would not reasonably be expected to have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7.07 </w:t>
      </w:r>
      <w:r>
        <w:rPr>
          <w:rFonts w:ascii="Times New Roman" w:hAnsi="Times New Roman"/>
          <w:b w:val="false"/>
          <w:color w:val="000000"/>
          <w:sz w:val="22"/>
          <w:u w:val="single"/>
        </w:rPr>
        <w:t>Maintenance of Insurance</w:t>
      </w:r>
      <w:r>
        <w:rPr>
          <w:rFonts w:ascii="Times New Roman" w:hAnsi="Times New Roman"/>
          <w:b w:val="false"/>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During any Non-Investment Grade Period, cause the Administrative Agent and its successors and/or assigns to be named as lender’s loss payee or mortgagee as its interest may appear, and/or additional insured with respect to any such insurance providing liability coverage or coverage in respect of any Collateral, and use its commercially reasonable efforts to cause each provider of any such insurance to agree, by endorsement upon the policy or policies issued by it or by independent instruments furnished to the Administrative Agent, that it will give the Administrative Agent thirty days (or such shorter time as the Administrative Agent may agree) prior written notice before any such policy or policies shall be altered or canceled.</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7.08 </w:t>
      </w:r>
      <w:r>
        <w:rPr>
          <w:rFonts w:ascii="Times New Roman" w:hAnsi="Times New Roman"/>
          <w:b w:val="false"/>
          <w:color w:val="000000"/>
          <w:sz w:val="22"/>
          <w:u w:val="single"/>
        </w:rPr>
        <w:t>Compliance with Laws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would not reasonably be expected to have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7.09 </w:t>
      </w:r>
      <w:r>
        <w:rPr>
          <w:rFonts w:ascii="Times New Roman" w:hAnsi="Times New Roman"/>
          <w:b w:val="false"/>
          <w:color w:val="000000"/>
          <w:sz w:val="22"/>
          <w:u w:val="single"/>
        </w:rPr>
        <w:t>Books and Records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Maintain proper books of record and account, in which full, true and correct entries in conformity with GAAP consistently applied shall be made of all financial transactions and matters involving the assets and business of the Borrower or such Subsidiary, as the case may be.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Maintain such books of record and account in material conformity with all applicable requirements of any Governmental Authority having regulatory jurisdiction over the Borrower or such Subsidiary, as the case may be.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7.10 </w:t>
      </w:r>
      <w:r>
        <w:rPr>
          <w:rFonts w:ascii="Times New Roman" w:hAnsi="Times New Roman"/>
          <w:b w:val="false"/>
          <w:color w:val="000000"/>
          <w:sz w:val="22"/>
          <w:u w:val="single"/>
        </w:rPr>
        <w:t>Inspection Rights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Permit representatives of the Administrative Agent (including independent contractors of the Administrative Agent) and each Lender (if and when accompanying the Administrative Agent) to visit and inspect any of its properties, to examine its corporate, financial and operating records, and make copies thereof or abstracts therefrom, and, when accompanied by a Responsible Officer of the Borrower, to discuss its affairs, finances and accounts with its officers, and independent public accountants, with all reasonable documented out-of-pocket expenses in connection therewith to be at the expense of the Borrower and at such reasonable times during normal business hours, but no more frequently than once each fiscal year of the Borrower, upon reasonable advance notice to the Borrower;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when an Event of Default exists, the Administrative Agent or any Lender (or any of their respective representatives or independent contractors) may do any of the foregoing at the expense of the Borrower at any time during normal business hours and without advance notice. For the avoidance of doubt, the Borrower and its Subsidiaries will not be required to provide any information to the extent that the provision thereof would violate any Law.</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7.11 </w:t>
      </w:r>
      <w:r>
        <w:rPr>
          <w:rFonts w:ascii="Times New Roman" w:hAnsi="Times New Roman"/>
          <w:b w:val="false"/>
          <w:color w:val="000000"/>
          <w:sz w:val="22"/>
          <w:u w:val="single"/>
        </w:rPr>
        <w:t>Use of Proceeds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Use the proceeds of (a) the Revolving Loans to finance working capital, capital expenditures, Permitted Acquisitions, Investments and other lawful general corporate purposes and (b) any other Credit Extensions to finance working capital, capital expenditures, Permitted Acquisitions, Investments and other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lawful general corporate purposes;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no event shall the proceeds of the Credit Extensions be used in contravention of any Law or of any Loan Document.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7.12 </w:t>
      </w:r>
      <w:r>
        <w:rPr>
          <w:rFonts w:ascii="Times New Roman" w:hAnsi="Times New Roman"/>
          <w:b w:val="false"/>
          <w:color w:val="000000"/>
          <w:sz w:val="22"/>
          <w:u w:val="single"/>
        </w:rPr>
        <w:t>Additional Guarantors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During any Non-Investment Grade Period, within forty-five (45) days (or such later date as the Administrative Agent may agree in its sole discretion) after any Person becomes a Domestic Subsidiary (other than (x) an Immaterial Domestic Subsidiary or (y) a Domestic Subsidiary that is not a wholly-owned Subsidiary, solely to the extent the terms of such non-wholly owned Domestic Subsidiary’s Organization Documents prohibit such Person from guaranteeing the Obligations pursuant to the Loan Documents and/or prohibit such Person from granting a Lien in the assets of such Person pursuant to the Collateral Documents), cause such Person to (i) become a Guarantor by executing and delivering to the Administrative Agent a Joinder Agreement and (ii) deliver to the Administrative Agent such Organization Documents, good standing certificates and resolutions and, to the extent requested by the Administrative Agent in its sole discretion, favorable opinions of counsel (which shall cover, among other things, the legality, validity, binding effect and enforceability of the documentation referred to in the foregoing </w:t>
      </w:r>
      <w:r>
        <w:rPr>
          <w:rFonts w:ascii="Times New Roman" w:hAnsi="Times New Roman"/>
          <w:color w:val="000000"/>
          <w:sz w:val="22"/>
          <w:u w:val="single"/>
        </w:rPr>
        <w:t>clause (i)</w:t>
      </w:r>
      <w:r>
        <w:rPr>
          <w:rFonts w:ascii="Times New Roman" w:hAnsi="Times New Roman"/>
          <w:color w:val="000000"/>
          <w:sz w:val="22"/>
        </w:rPr>
        <w:t>), all in form, content and scope reasonably satisfactory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During any Investment Grade Period, within forty-five (45) days (or such later date as the Administrative Agent may agree in its sole discretion) after any Domestic Subsidiary that is not an Immaterial Domestic Subsidiary guarantees any Material Indebtedness of the Borrower or any of its Subsidiaries, cause such Person to (i) become a Guarantor by executing and delivering to the Administrative Agent a Joinder Agreement and (ii) deliver to the Administrative Agent such Organization Documents, good standing certificates and resolutions and, to the extent requested by the Administrative Agent in its sole discretion, favorable opinions of counsel (which shall cover, among other things, the legality, validity, binding effect and enforceability of the documentation referred to in the foregoing </w:t>
      </w:r>
      <w:r>
        <w:rPr>
          <w:rFonts w:ascii="Times New Roman" w:hAnsi="Times New Roman"/>
          <w:color w:val="000000"/>
          <w:sz w:val="22"/>
          <w:u w:val="single"/>
        </w:rPr>
        <w:t>clause (i)</w:t>
      </w:r>
      <w:r>
        <w:rPr>
          <w:rFonts w:ascii="Times New Roman" w:hAnsi="Times New Roman"/>
          <w:color w:val="000000"/>
          <w:sz w:val="22"/>
        </w:rPr>
        <w:t>), all in form, content and scope reasonably satisfactory to the Administrative Agent.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7.13 </w:t>
      </w:r>
      <w:r>
        <w:rPr>
          <w:rFonts w:ascii="Times New Roman" w:hAnsi="Times New Roman"/>
          <w:b w:val="false"/>
          <w:color w:val="000000"/>
          <w:sz w:val="22"/>
          <w:u w:val="single"/>
        </w:rPr>
        <w:t>Pledged Assets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Equity Interests</w:t>
      </w:r>
      <w:r>
        <w:rPr>
          <w:rFonts w:ascii="Times New Roman" w:hAnsi="Times New Roman"/>
          <w:color w:val="000000"/>
          <w:sz w:val="22"/>
        </w:rPr>
        <w:t>. During any Non-Investment Grade Period, cause (i) 100% of the issued and outstanding Equity Interests of each Domestic Subsidiary (other than a Foreign Subsidiary Holdco) directly owned by any Loan Party (other than Excluded Property) and (ii) 65% of the issued and outstanding Equity Interests entitled to vote (within the meaning of Treas. Reg. Section 1.956-2(c)(2)) and 100% of the issued and outstanding Equity Interests not entitled to vote (within the meaning of Treas. Reg. Section 1.956-2(c)(2)) in each Foreign Subsidiary and Foreign Subsidiary Holdco (other than (x) an Immaterial Foreign Subsidiary and (y) Excluded Property) directly owned by any Loan Party to be subject at all times to a first priority, perfected Lien (subject to Section 7.13(b)) in favor of the Administrative Agent pursuant to the Collateral Documents, and, in connection with the foregoing, deliver to the Administrative Agent such other documentation as the Administrative Agent may request, including any filings and deliveries to perfect such Liens and favorable opinions of counsel all in form and substance reasonably satisfactory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Other Property</w:t>
      </w:r>
      <w:r>
        <w:rPr>
          <w:rFonts w:ascii="Times New Roman" w:hAnsi="Times New Roman"/>
          <w:color w:val="000000"/>
          <w:sz w:val="22"/>
        </w:rPr>
        <w:t>. During any Non-Investment Grade Period, cause all property (other than Excluded Property) of each Loan Party to be subject at all times to first priority, perfected Liens in favor of the Administrative Agent to secure the Obligations pursuant to, and to the extent and in the manner required by, the Collateral Documents (subject to Permitted Liens) and, in connection with the foregoing, deliver to the Administrative Agent such other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documentation as the Administrative Agent may request including filings and deliveries necessary to perfect such Liens, Organization Documents, resolutions and favorable opinions of counsel to such Person, all in form, content and scope reasonably satisfactory to the Administrative Agent;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no actions or filings in any jurisdiction other than the United States shall be required in order to create any security interests in assets (including IP Rights and Equity Interests) located, titled, registered, filed or applied-for, as applicable, in jurisdictions other than the United States, or to perfect or record such security interests (it being understood that there shall be no security agreements, pledge agreements, or share charge (or mortgage) agreements governed under the laws of any jurisdiction other than the United States with respect to the Loan Parties), and no Loan Parties shall be required to reimburse any Lender for such actions or filings outside of the United States, (ii) no filings or other actions, including entrance into control agreements or similar arrangements, shall be required to perfect any security interest in assets (including IP Rights and Equity Interests) other than (A) filings pursuant to the Uniform Commercial Code of the relevant jurisdictions of organization of each Loan Party, (B) filings in the United States Patent and Trademark Office and the United States Copyright Office with respect to intellectual property, (C) delivery of Collateral consisting of instruments, notes and debt securities in accordance with the Security Agreement, and (D) delivery of certificated Equity Interests pursuant to </w:t>
      </w:r>
      <w:r>
        <w:rPr>
          <w:rFonts w:ascii="Times New Roman" w:hAnsi="Times New Roman"/>
          <w:color w:val="000000"/>
          <w:sz w:val="22"/>
          <w:u w:val="single"/>
        </w:rPr>
        <w:t>Section 7.13(a)</w:t>
      </w:r>
      <w:r>
        <w:rPr>
          <w:rFonts w:ascii="Times New Roman" w:hAnsi="Times New Roman"/>
          <w:color w:val="000000"/>
          <w:sz w:val="22"/>
        </w:rPr>
        <w: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7.14 </w:t>
      </w:r>
      <w:r>
        <w:rPr>
          <w:rFonts w:ascii="Times New Roman" w:hAnsi="Times New Roman"/>
          <w:b w:val="false"/>
          <w:color w:val="000000"/>
          <w:sz w:val="22"/>
          <w:u w:val="single"/>
        </w:rPr>
        <w:t>Anti-Corruption Laws; Sanctions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Conduct its business in compliance with the United States Foreign Corrupt Practices Act of 1977, the UK Bribery Act 2010 and other similar anti-corruption legislation in other jurisdictions and maintain policies and procedures designed to promote and achieve compliance with such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Conduct its business in compliance with all applicable Sanctions and maintain policies and procedures designed to promote and achieve compliance with such Sanctions.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7.15 </w:t>
      </w:r>
      <w:r>
        <w:rPr>
          <w:rFonts w:ascii="Times New Roman" w:hAnsi="Times New Roman"/>
          <w:b w:val="false"/>
          <w:color w:val="000000"/>
          <w:sz w:val="22"/>
          <w:u w:val="single"/>
        </w:rPr>
        <w:t>Post-Closing.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Take all necessary actions to satisfy the items described on </w:t>
      </w:r>
      <w:r>
        <w:rPr>
          <w:rFonts w:ascii="Times New Roman" w:hAnsi="Times New Roman"/>
          <w:color w:val="000000"/>
          <w:sz w:val="22"/>
          <w:u w:val="single"/>
        </w:rPr>
        <w:t>Schedule 7.15</w:t>
      </w:r>
      <w:r>
        <w:rPr>
          <w:rFonts w:ascii="Times New Roman" w:hAnsi="Times New Roman"/>
          <w:color w:val="000000"/>
          <w:sz w:val="20"/>
        </w:rPr>
        <w:t xml:space="preserve"> </w:t>
      </w:r>
      <w:r>
        <w:rPr>
          <w:rFonts w:ascii="Times New Roman" w:hAnsi="Times New Roman"/>
          <w:color w:val="000000"/>
          <w:sz w:val="22"/>
        </w:rPr>
        <w:t>within the applicable period of time specified in such Schedule (or such longer period as the Administrative Agent may agree in its reasonable discretion).</w:t>
      </w:r>
    </w:p>
    <w:p>
      <w:pPr>
        <w:pStyle w:val="TextBody"/>
        <w:bidi w:val="0"/>
        <w:jc w:val="left"/>
        <w:rPr/>
      </w:pPr>
      <w:r>
        <w:rPr/>
        <w:t> </w:t>
      </w:r>
    </w:p>
    <w:p>
      <w:pPr>
        <w:pStyle w:val="Heading1"/>
        <w:bidi w:val="0"/>
        <w:spacing w:before="0" w:after="240"/>
        <w:jc w:val="center"/>
        <w:rPr>
          <w:rFonts w:ascii="Times New Roman" w:hAnsi="Times New Roman"/>
          <w:b w:val="false"/>
          <w:caps/>
          <w:color w:val="000000"/>
          <w:sz w:val="22"/>
        </w:rPr>
      </w:pPr>
      <w:r>
        <w:rPr>
          <w:rFonts w:ascii="Times New Roman" w:hAnsi="Times New Roman"/>
          <w:b w:val="false"/>
          <w:caps/>
          <w:color w:val="000000"/>
          <w:sz w:val="22"/>
        </w:rPr>
        <w:t>Article VIII.</w:t>
        <w:br/>
        <w:br/>
        <w:t>NEGATIVE COVENANTS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On and after the Effective Date, and until the Facility Termination Date, no Loan Party shall, nor shall it permit any Subsidiary to, directly or indirectly:</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8.01 </w:t>
      </w:r>
      <w:r>
        <w:rPr>
          <w:rFonts w:ascii="Times New Roman" w:hAnsi="Times New Roman"/>
          <w:b w:val="false"/>
          <w:color w:val="000000"/>
          <w:sz w:val="22"/>
          <w:u w:val="single"/>
        </w:rPr>
        <w:t>Liens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Create, incur, assume or suffer to exist any Lien upon any of its property, assets or revenues (other than Equity Interests of the Borrower to the extent constituting margin stock), whether now owned or hereafter acquired, other than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Liens pursuant to any Loan Document;</w:t>
      </w:r>
    </w:p>
    <w:p>
      <w:pPr>
        <w:pStyle w:val="TextBody"/>
        <w:bidi w:val="0"/>
        <w:jc w:val="center"/>
        <w:rPr>
          <w:rFonts w:ascii="Times New Roman" w:hAnsi="Times New Roman"/>
          <w:color w:val="000000"/>
          <w:sz w:val="22"/>
        </w:rPr>
      </w:pPr>
      <w:r>
        <w:rPr>
          <w:rFonts w:ascii="Times New Roman" w:hAnsi="Times New Roman"/>
          <w:color w:val="000000"/>
          <w:sz w:val="22"/>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Liens existing on the Effective Date and listed on </w:t>
      </w:r>
      <w:r>
        <w:rPr>
          <w:rFonts w:ascii="Times New Roman" w:hAnsi="Times New Roman"/>
          <w:color w:val="000000"/>
          <w:sz w:val="22"/>
          <w:u w:val="single"/>
        </w:rPr>
        <w:t>Schedule 8.01</w:t>
      </w:r>
      <w:r>
        <w:rPr>
          <w:rFonts w:ascii="Times New Roman" w:hAnsi="Times New Roman"/>
          <w:color w:val="000000"/>
          <w:sz w:val="20"/>
        </w:rPr>
        <w:t xml:space="preserve"> </w:t>
      </w:r>
      <w:r>
        <w:rPr>
          <w:rFonts w:ascii="Times New Roman" w:hAnsi="Times New Roman"/>
          <w:color w:val="000000"/>
          <w:sz w:val="22"/>
        </w:rPr>
        <w:t>hereto and any renewals or extensions thereof so long as the property covered thereby is not increased;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Liens (other than Liens imposed under ERISA) for taxes, assessments or governmental charges or levies not yet due or which are being contested in good faith and by appropriate proceedings diligently conducted, if adequate reserves with respect thereto are maintained on the books of the applicable Person in accordance with GAAP;</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Liens of landlords, carriers, warehousemen, mechanics, materialmen and repairmen and other like Liens arising in the ordinary course of business;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such Liens secure only amounts not overdue for more than sixty days or, if overdue for more than sixty days, are being contested in good faith by appropriate proceedings diligently conducted;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pledges or deposits made (i) in the ordinary course of business in connection with workers’ compensation, unemployment insurance and other social security legislation and public liability laws, other than any Lien imposed by ERISA and (ii) in respect of letters of credit, bank guarantees or similar instruments issued for the account of the Borrower or any Subsidiary in the ordinary course of business supporting obligations of the type set forth in clause (e)(i) above;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pledges or deposits made (i) to secure the performance of bids, tenders, trade contracts and leases (other than Indebtedness), public or statutory obligations, surety and appeal bonds, performance bonds and other obligations of a like nature incurred in the ordinary course of business and (ii) in respect of letters of credit, bank guarantees or similar instruments issued for the account of the Borrower or any Subsidiary in the ordinary course of business supporting obligations of the type set forth in clause (f)(i) above;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easements, rights-of-way, zoning and other restrictions, irregularities in title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attachment Liens and Liens securing judgments for the payment of money (or appeal or other surety bonds relating to such judgments) not constituting an Event of Default under </w:t>
      </w:r>
      <w:r>
        <w:rPr>
          <w:rFonts w:ascii="Times New Roman" w:hAnsi="Times New Roman"/>
          <w:color w:val="000000"/>
          <w:sz w:val="22"/>
          <w:u w:val="single"/>
        </w:rPr>
        <w:t>Section 9.01(g)</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(h)</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Liens securing Indebtedness permitted under </w:t>
      </w:r>
      <w:r>
        <w:rPr>
          <w:rFonts w:ascii="Times New Roman" w:hAnsi="Times New Roman"/>
          <w:color w:val="000000"/>
          <w:sz w:val="22"/>
          <w:u w:val="single"/>
        </w:rPr>
        <w:t>Section 8.03(e)</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 such Liens do not at any time encumber any property other than the property (or proceeds thereof) financed by such Indebtedness and (ii) such Liens attach to such property concurrently with or within one hundred eighty (180) days after the acquisition or completion or construction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licenses, sublicenses, leases or subleases granted to others and not interfering in any material respect with the business of the Borrower or any Subsidiary, taken as a whole;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any interest of title of a lessor or licensor under, and Liens arising from Uniform Commercial Code financing statements (or equivalent filings, registrations or agreements in foreign jurisdictions) or other common law liens relating to, leases, licenses, subleases or sublicenses permitted by this Agreement, including purported Liens evidenced by the filing of precautionary UCC financing statements;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(l) Liens deemed to exist in connection with Investments in repurchase agreements permitted under </w:t>
      </w:r>
      <w:r>
        <w:rPr>
          <w:rFonts w:ascii="Times New Roman" w:hAnsi="Times New Roman"/>
          <w:color w:val="000000"/>
          <w:sz w:val="22"/>
          <w:u w:val="single"/>
        </w:rPr>
        <w:t>Section 8.02</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normal and customary rights of setoff or banker’s Liens in favor of banks or other depository or financial institutions arising as a matter of law or under customary agreements for the provision of banking, cash management, securities intermediary services and similar arrangements and Liens securing payment obligations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 Liens arising under Sections 4-208 and 4-210 of the Uniform Commercial Code (or, if applicable, the corresponding section of the Uniform Commercial Code in effect in the relevant jurisdiction) on items in the course of payment or collection;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Liens arising on any real property as a result of any eminent domain, condemnation or similar proceeding being commenced with respect to such real property;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 Liens on property of a Person acquired in connection with a Permitted Acquisition existing at the time such Person is merged into or consolidated with the Borrower or any Subsidiary or becomes a Subsidiary or existing on any property or asset prior to the acquisition thereof by the Borrower or any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such Liens were not created in contemplation of such merger, consolidation, Investment or acquisition, (ii) such Liens do not encumber any property other than the property encumbered at the time of such merger, consolidation, Investment or acquisition, and the proceeds and products thereof, (iii) such Liens do not extend to any assets other than those of the Person merged into or consolidated with the Borrower or such Subsidiary or acquired by the Borrower or such Subsidiary or the assets so acquired, and (iv) any Indebtedness secured by such Lien is permitted under </w:t>
      </w:r>
      <w:r>
        <w:rPr>
          <w:rFonts w:ascii="Times New Roman" w:hAnsi="Times New Roman"/>
          <w:color w:val="000000"/>
          <w:sz w:val="22"/>
          <w:u w:val="single"/>
        </w:rPr>
        <w:t>Section 8.03</w:t>
      </w:r>
      <w:r>
        <w:rPr>
          <w:rFonts w:ascii="Times New Roman" w:hAnsi="Times New Roman"/>
          <w:color w:val="000000"/>
          <w:sz w:val="20"/>
        </w:rPr>
        <w:t xml:space="preserve"> </w:t>
      </w:r>
      <w:r>
        <w:rPr>
          <w:rFonts w:ascii="Times New Roman" w:hAnsi="Times New Roman"/>
          <w:color w:val="000000"/>
          <w:sz w:val="22"/>
        </w:rPr>
        <w:t xml:space="preserve">(it being understood that such Indebtedness shall reduce availability under the applicable basket in </w:t>
      </w:r>
      <w:r>
        <w:rPr>
          <w:rFonts w:ascii="Times New Roman" w:hAnsi="Times New Roman"/>
          <w:color w:val="000000"/>
          <w:sz w:val="22"/>
          <w:u w:val="single"/>
        </w:rPr>
        <w:t>Section 8.03</w:t>
      </w:r>
      <w:r>
        <w:rPr>
          <w:rFonts w:ascii="Times New Roman" w:hAnsi="Times New Roman"/>
          <w:color w:val="000000"/>
          <w:sz w:val="20"/>
        </w:rPr>
        <w:t xml:space="preserve"> </w:t>
      </w:r>
      <w:r>
        <w:rPr>
          <w:rFonts w:ascii="Times New Roman" w:hAnsi="Times New Roman"/>
          <w:color w:val="000000"/>
          <w:sz w:val="22"/>
        </w:rPr>
        <w:t xml:space="preserve">except in the case of Indebtedness of the type described in </w:t>
      </w:r>
      <w:r>
        <w:rPr>
          <w:rFonts w:ascii="Times New Roman" w:hAnsi="Times New Roman"/>
          <w:color w:val="000000"/>
          <w:sz w:val="22"/>
          <w:u w:val="single"/>
        </w:rPr>
        <w:t>Section 8.03(e)</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 Liens in favor of customs and revenue authorities arising as a matter of law to secure payment of customs duties in connection with the importation of goods and deposits as security for contested custom or import duties;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 Liens on any cash earnest money deposit made by the Borrower or any Subsidiary in connection with any letter of intent or acquisition agreement relating to a Permitted Acquisition, Disposition or other transaction that is not prohibited by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 rights of first refusal, voting, redemption, transfer or other restrictions with respect to the Equity Interests in any joint venture entities or other Persons that are not Subsidiaries acquired in connection with Investments permitted under </w:t>
      </w:r>
      <w:r>
        <w:rPr>
          <w:rFonts w:ascii="Times New Roman" w:hAnsi="Times New Roman"/>
          <w:color w:val="000000"/>
          <w:sz w:val="22"/>
          <w:u w:val="single"/>
        </w:rPr>
        <w:t>Section 8.02</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 Liens on cash and Cash Equivalents arising in connection with the defeasance, discharge, redemption or termination (including by way of cash collateralization) of Indebtedness to the extent such defeasance, discharge, redemption or termination is not prohibited by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 in connection with the sale or transfer of any assets in a transaction not prohibited hereunder, customary rights and restrictions contained in agreements relating to such sale or transfer pending the completion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preferential arrangements in the form of subordination and intercreditor agreements in favor of creditors of the customers of the Borrower and its Subsidiaries;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(w) During any Non-Investment Grade Period, Liens securing Indebtedness permitted under </w:t>
      </w:r>
      <w:r>
        <w:rPr>
          <w:rFonts w:ascii="Times New Roman" w:hAnsi="Times New Roman"/>
          <w:color w:val="000000"/>
          <w:sz w:val="22"/>
          <w:u w:val="single"/>
        </w:rPr>
        <w:t>Section 8.03(g)</w:t>
      </w:r>
      <w:r>
        <w:rPr>
          <w:rFonts w:ascii="Times New Roman" w:hAnsi="Times New Roman"/>
          <w:color w:val="000000"/>
          <w:sz w:val="20"/>
        </w:rPr>
        <w:t xml:space="preserve"> </w:t>
      </w:r>
      <w:r>
        <w:rPr>
          <w:rFonts w:ascii="Times New Roman" w:hAnsi="Times New Roman"/>
          <w:color w:val="000000"/>
          <w:sz w:val="22"/>
        </w:rPr>
        <w:t>so long as the Consolidated Secured Leverage Ratio (calculated on a Pro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Forma Basis after giving effect to the incurrence of such Liens) does not exceed 2.25:1.0;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at the time of creation, assumption or incurrence of the Indebtedness or other obligations secured by any such Lien and after giving effect thereto and the application of the proceeds thereof, no Event of Default would exist;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(x) Liens in favor of Governmental Authorities securing the obligations of Foreign Subsidiaries in jurisdictions outside of the United States;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 such Liens are required by such Governmental Authorities in order for such Foreign Subsidiaries to conduct business in such jurisdictions and (ii) such Liens do not extend to any assets other than those of such Foreign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 Liens on inventory (and the proceeds thereof) in favor of financiers of inventory (including vendor financiers) to secure trade payables incurred in the ordinary course of business in connection with the acquisition of inventory;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(z) Liens on Investments maintained pursuant to </w:t>
      </w:r>
      <w:r>
        <w:rPr>
          <w:rFonts w:ascii="Times New Roman" w:hAnsi="Times New Roman"/>
          <w:color w:val="000000"/>
          <w:sz w:val="22"/>
          <w:u w:val="single"/>
        </w:rPr>
        <w:t>Section 8.02(c)</w:t>
      </w:r>
      <w:r>
        <w:rPr>
          <w:rFonts w:ascii="Times New Roman" w:hAnsi="Times New Roman"/>
          <w:color w:val="000000"/>
          <w:sz w:val="20"/>
        </w:rPr>
        <w:t xml:space="preserve"> </w:t>
      </w:r>
      <w:r>
        <w:rPr>
          <w:rFonts w:ascii="Times New Roman" w:hAnsi="Times New Roman"/>
          <w:color w:val="000000"/>
          <w:sz w:val="22"/>
        </w:rPr>
        <w:t>in favor of the beneficiary of any such unqualified deferred compensation arrangement;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(aa) Liens and cash and cash equivalents deposited to securing Indebtedness under </w:t>
      </w:r>
      <w:r>
        <w:rPr>
          <w:rFonts w:ascii="Times New Roman" w:hAnsi="Times New Roman"/>
          <w:color w:val="000000"/>
          <w:sz w:val="22"/>
          <w:u w:val="single"/>
        </w:rPr>
        <w:t>Section 8.03(m)</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(bb) in the case of any joint venture or non-wholly owned Subsidiary, any put and call arrangements or similar obligations related to its Equity Interests set forth in its organizational documents or any related joint venture or similar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(cc) Liens securing Indebtedness to finance insurance premiums owing in the ordinary course of business to the extent such financing is not prohibited hereunder;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such Liens shall be permitted only with respect to unearned premiums and dividends which may become payable under the relevant insurance policies and loss payments which reduce the unearned premiums under such insurance policies;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(dd) Liens in the nature of the right of setoff in favor of counterparties to contractual agreements not otherwise prohibited hereunder with the Borrower or any of its Subsidiaries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(ee) Liens and deposits securing obligations under Swap Contract entered into hedge or mitigate commercial risk and not for speculative purposes in an aggregate principal amount not to exceed the greater of (i) $10,000,000 and (ii) 1.50% of Consolidated EBITDA;</w:t>
      </w:r>
    </w:p>
    <w:p>
      <w:pPr>
        <w:pStyle w:val="TextBody"/>
        <w:bidi w:val="0"/>
        <w:spacing w:before="0" w:after="240"/>
        <w:jc w:val="both"/>
        <w:rPr>
          <w:rFonts w:ascii="Times New Roman" w:hAnsi="Times New Roman"/>
          <w:sz w:val="20"/>
        </w:rPr>
      </w:pPr>
      <w:r>
        <w:rPr>
          <w:rFonts w:ascii="Times New Roman" w:hAnsi="Times New Roman"/>
          <w:color w:val="000000"/>
          <w:sz w:val="22"/>
        </w:rPr>
        <w:t>(ff) Liens securing reimbursement obligations with respect to commercial letters of credit which encumber documents and other property relating to such letters of credit and products and proceeds thereof;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(gg) During any Non-Investment Grade Period, other Liens securing obligations in an aggregate principal amount outstanding not to exceed the greater of (i) $235,000,000 and (ii) 30% of Consolidated EBITDA as of the most recent four fiscal quarter period preceding the date of such transaction for which financial statements were required to be delivered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(or, prior to the first such delivery, the financial statements for the fiscal year ended September 30, 2025);</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(hh) Liens securing Indebtedness under </w:t>
      </w:r>
      <w:r>
        <w:rPr>
          <w:rFonts w:ascii="Times New Roman" w:hAnsi="Times New Roman"/>
          <w:color w:val="000000"/>
          <w:sz w:val="22"/>
          <w:u w:val="single"/>
        </w:rPr>
        <w:t>Section 8.03(n)</w:t>
      </w:r>
      <w:r>
        <w:rPr>
          <w:rFonts w:ascii="Times New Roman" w:hAnsi="Times New Roman"/>
          <w:color w:val="000000"/>
          <w:sz w:val="20"/>
        </w:rPr>
        <w:t xml:space="preserve"> </w:t>
      </w:r>
      <w:r>
        <w:rPr>
          <w:rFonts w:ascii="Times New Roman" w:hAnsi="Times New Roman"/>
          <w:color w:val="000000"/>
          <w:sz w:val="22"/>
        </w:rPr>
        <w:t xml:space="preserve">and other obligations of Foreign Subsidiaries;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such Liens do not extend to any assets other than the Equity Interests of such Foreign Subsidiary and the assets of such Foreign Subsidiary and its Subsidiaries;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During any Investment Grade Period, other Liens securing obligations in an aggregate outstanding principal amount,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(without duplication) the aggregate outstanding principal amount of Indebtedness incurred pursuant to </w:t>
      </w:r>
      <w:r>
        <w:rPr>
          <w:rFonts w:ascii="Times New Roman" w:hAnsi="Times New Roman"/>
          <w:color w:val="000000"/>
          <w:sz w:val="22"/>
          <w:u w:val="single"/>
        </w:rPr>
        <w:t>Section 8.03(q)</w:t>
      </w:r>
      <w:r>
        <w:rPr>
          <w:rFonts w:ascii="Times New Roman" w:hAnsi="Times New Roman"/>
          <w:color w:val="000000"/>
          <w:sz w:val="22"/>
        </w:rPr>
        <w:t>, in the aggregate, not to exceed 15% of Consolidated Net Tangible Assets as of the last day of the then most recently ended fiscal quarter.</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8.02 </w:t>
      </w:r>
      <w:r>
        <w:rPr>
          <w:rFonts w:ascii="Times New Roman" w:hAnsi="Times New Roman"/>
          <w:b w:val="false"/>
          <w:color w:val="000000"/>
          <w:sz w:val="22"/>
          <w:u w:val="single"/>
        </w:rPr>
        <w:t>Investments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During any Non-Investment Grade Period, make any Investments, except: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Investments in the form of cash or Cash Equivalents, short-term Investments and other Investments which, in each case, are not prohibited under any other provision of this Agreement, so long as such short-term Investments and other Investments are made in accordance with the Borrower’s investment policy as in effect on the Effective Date (as disclosed to the Administrative Agent on or prior to the Effective Date and as may be changed from time to time by the Borrower);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Investments outstanding on the Effective Date and set forth in </w:t>
      </w:r>
      <w:r>
        <w:rPr>
          <w:rFonts w:ascii="Times New Roman" w:hAnsi="Times New Roman"/>
          <w:color w:val="000000"/>
          <w:sz w:val="22"/>
          <w:u w:val="single"/>
        </w:rPr>
        <w:t>Schedule 8.02</w:t>
      </w:r>
      <w:r>
        <w:rPr>
          <w:rFonts w:ascii="Times New Roman" w:hAnsi="Times New Roman"/>
          <w:color w:val="000000"/>
          <w:sz w:val="20"/>
        </w:rPr>
        <w:t xml:space="preserve"> </w:t>
      </w:r>
      <w:r>
        <w:rPr>
          <w:rFonts w:ascii="Times New Roman" w:hAnsi="Times New Roman"/>
          <w:color w:val="000000"/>
          <w:sz w:val="22"/>
        </w:rPr>
        <w: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Investments maintained by the Borrower pursuant to the Borrower’s unqualified deferred compensation arrangements;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such compensation arrangements are entered into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Investments in any Person that is a Loan Party prior to giving effect to such Investment (it being understood and agreed that any Investment to form a Subsidiary that will become a Guarantor in accordance with </w:t>
      </w:r>
      <w:r>
        <w:rPr>
          <w:rFonts w:ascii="Times New Roman" w:hAnsi="Times New Roman"/>
          <w:color w:val="000000"/>
          <w:sz w:val="22"/>
          <w:u w:val="single"/>
        </w:rPr>
        <w:t>Section 7.12</w:t>
      </w:r>
      <w:r>
        <w:rPr>
          <w:rFonts w:ascii="Times New Roman" w:hAnsi="Times New Roman"/>
          <w:color w:val="000000"/>
          <w:sz w:val="20"/>
        </w:rPr>
        <w:t xml:space="preserve"> </w:t>
      </w:r>
      <w:r>
        <w:rPr>
          <w:rFonts w:ascii="Times New Roman" w:hAnsi="Times New Roman"/>
          <w:color w:val="000000"/>
          <w:sz w:val="22"/>
        </w:rPr>
        <w:t>is permitted);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Investments by any Subsidiary that is not a Loan Party in any other Subsidiary that is not a Loan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Investments consisting of extensions of credit in the nature of accounts receivable or notes receivable arising from the grant of trade credit in the ordinary course of business (including intercompany balances incurred or made in the ordinary course of business which do not constitute loans for borrowed money), and Investments received in satisfaction or partial satisfaction thereof from financially troubled account debtors to the extent reasonably necessary in order to prevent or limit loss;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Guarantees permitted by </w:t>
      </w:r>
      <w:r>
        <w:rPr>
          <w:rFonts w:ascii="Times New Roman" w:hAnsi="Times New Roman"/>
          <w:color w:val="000000"/>
          <w:sz w:val="22"/>
          <w:u w:val="single"/>
        </w:rPr>
        <w:t>Section 8.03</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Investments that constitute Permitted Liens;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Permitted Acquisitions;</w:t>
      </w:r>
    </w:p>
    <w:p>
      <w:pPr>
        <w:pStyle w:val="TextBody"/>
        <w:bidi w:val="0"/>
        <w:spacing w:before="0" w:after="240"/>
        <w:jc w:val="both"/>
        <w:rPr>
          <w:rFonts w:ascii="Times New Roman" w:hAnsi="Times New Roman"/>
          <w:sz w:val="20"/>
        </w:rPr>
      </w:pPr>
      <w:r>
        <w:rPr>
          <w:rFonts w:ascii="Times New Roman" w:hAnsi="Times New Roman"/>
          <w:color w:val="000000"/>
          <w:sz w:val="22"/>
        </w:rPr>
        <w:t>(j) (i) Investments by Loan Parties in Subsidiaries that are not Loan Parties the proceeds of which are substantially contemporaneously applied to consummate a Permitted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Acquisition; and (ii) other Investments by Loan Parties in Subsidiaries that are not Loan Parties;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case of this </w:t>
      </w:r>
      <w:r>
        <w:rPr>
          <w:rFonts w:ascii="Times New Roman" w:hAnsi="Times New Roman"/>
          <w:color w:val="000000"/>
          <w:sz w:val="22"/>
          <w:u w:val="single"/>
        </w:rPr>
        <w:t>clause (ii)</w:t>
      </w:r>
      <w:r>
        <w:rPr>
          <w:rFonts w:ascii="Times New Roman" w:hAnsi="Times New Roman"/>
          <w:color w:val="000000"/>
          <w:sz w:val="22"/>
        </w:rPr>
        <w:t xml:space="preserve">, (A) at the time of such Investment and after giving effect thereto, no Event of Default has occurred and is continuing and (B) after giving effect such Investment on a Pro Forma Basis, the Loan Parties would be in compliance with the financial covenants set forth in </w:t>
      </w:r>
      <w:r>
        <w:rPr>
          <w:rFonts w:ascii="Times New Roman" w:hAnsi="Times New Roman"/>
          <w:color w:val="000000"/>
          <w:sz w:val="22"/>
          <w:u w:val="single"/>
        </w:rPr>
        <w:t>Section 8.11</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Investments by the Borrower in any Permitted Bond Hedge Transaction;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Investments consisting of loans, advances and other extensions of credit to officers, directors and employees of the Borrower and its Subsidiaries for business purposes in an amount not to exceed $6,000,000 in the aggregate at any time outstanding;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Investments consisting of loans, advances, Guarantees and other extensions of credit to or on behalf of customers and vendors, in each case, in the ordinary course of business and in a manner consistent with past practices;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 Investments represented by Swap Contract entered into hedge or mitigate commercial risk and not for speculative purposes;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 Investments consisting of guarantees of the trade credit obligations, real property leases, indemnification and other obligations with respect to deposit accounts, or other obligations of Subsidiaries in the ordinary course of business or in connection with any transaction permitted to be incurred under </w:t>
      </w:r>
      <w:r>
        <w:rPr>
          <w:rFonts w:ascii="Times New Roman" w:hAnsi="Times New Roman"/>
          <w:color w:val="000000"/>
          <w:sz w:val="22"/>
          <w:u w:val="single"/>
        </w:rPr>
        <w:t>Section 8.03</w:t>
      </w:r>
      <w:r>
        <w:rPr>
          <w:rFonts w:ascii="Times New Roman" w:hAnsi="Times New Roman"/>
          <w:color w:val="000000"/>
          <w:sz w:val="20"/>
        </w:rPr>
        <w:t xml:space="preserve"> </w:t>
      </w:r>
      <w:r>
        <w:rPr>
          <w:rFonts w:ascii="Times New Roman" w:hAnsi="Times New Roman"/>
          <w:color w:val="000000"/>
          <w:sz w:val="22"/>
        </w:rPr>
        <w:t>(other than Investments constituting Guarantees of Indebtedness);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 advances of payroll payments to employees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(q) to the extent constituting Investments, Guarantees of obligations of a Subsidiary (other than obligations constituting Indebtedness) in connection with any Permitted Acquisition or any Disposition permitted under </w:t>
      </w:r>
      <w:r>
        <w:rPr>
          <w:rFonts w:ascii="Times New Roman" w:hAnsi="Times New Roman"/>
          <w:color w:val="000000"/>
          <w:sz w:val="22"/>
          <w:u w:val="single"/>
        </w:rPr>
        <w:t>Section 8.05</w:t>
      </w:r>
      <w:r>
        <w:rPr>
          <w:rFonts w:ascii="Times New Roman" w:hAnsi="Times New Roman"/>
          <w:color w:val="000000"/>
          <w:sz w:val="22"/>
        </w:rPr>
        <w:t>;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(r) Investments of a nature not contemplated in the foregoing clauses in an aggregate amount at any time outstanding not to exceed (i) the greater of (x) $50,000,000 and (y) 7.5% of Consolidated EBITDA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(ii) unlimited amount so long as after giving effect to such Investment on a Pro Forma Basis, the Loan Parties would be in compliance with the financial covenants set forth in </w:t>
      </w:r>
      <w:r>
        <w:rPr>
          <w:rFonts w:ascii="Times New Roman" w:hAnsi="Times New Roman"/>
          <w:color w:val="000000"/>
          <w:sz w:val="22"/>
          <w:u w:val="single"/>
        </w:rPr>
        <w:t>Section 8.11</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purposes of clarification, nothing in this </w:t>
      </w:r>
      <w:r>
        <w:rPr>
          <w:rFonts w:ascii="Times New Roman" w:hAnsi="Times New Roman"/>
          <w:color w:val="000000"/>
          <w:sz w:val="22"/>
          <w:u w:val="single"/>
        </w:rPr>
        <w:t>Section 8.02</w:t>
      </w:r>
      <w:r>
        <w:rPr>
          <w:rFonts w:ascii="Times New Roman" w:hAnsi="Times New Roman"/>
          <w:color w:val="000000"/>
          <w:sz w:val="20"/>
        </w:rPr>
        <w:t xml:space="preserve"> </w:t>
      </w:r>
      <w:r>
        <w:rPr>
          <w:rFonts w:ascii="Times New Roman" w:hAnsi="Times New Roman"/>
          <w:color w:val="000000"/>
          <w:sz w:val="22"/>
        </w:rPr>
        <w:t xml:space="preserve">prohibits the Foreign Subsidiaries from holding foreign currencies in the ordinary course of business. For purposes of determining compliance with this </w:t>
      </w:r>
      <w:r>
        <w:rPr>
          <w:rFonts w:ascii="Times New Roman" w:hAnsi="Times New Roman"/>
          <w:color w:val="000000"/>
          <w:sz w:val="22"/>
          <w:u w:val="single"/>
        </w:rPr>
        <w:t>Section 8.02</w:t>
      </w:r>
      <w:r>
        <w:rPr>
          <w:rFonts w:ascii="Times New Roman" w:hAnsi="Times New Roman"/>
          <w:color w:val="000000"/>
          <w:sz w:val="22"/>
        </w:rPr>
        <w:t xml:space="preserve">, in the event that any proposed Investments meets the criteria of more than one of the categories of Investments permitted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(s)</w:t>
      </w:r>
      <w:r>
        <w:rPr>
          <w:rFonts w:ascii="Times New Roman" w:hAnsi="Times New Roman"/>
          <w:color w:val="000000"/>
          <w:sz w:val="20"/>
        </w:rPr>
        <w:t xml:space="preserve"> </w:t>
      </w:r>
      <w:r>
        <w:rPr>
          <w:rFonts w:ascii="Times New Roman" w:hAnsi="Times New Roman"/>
          <w:color w:val="000000"/>
          <w:sz w:val="22"/>
        </w:rPr>
        <w:t xml:space="preserve">above, the Borrower shall be permitted to divide or classify such item on the date of its making, and from time to time may reclassify, in any manner that complies with this </w:t>
      </w:r>
      <w:r>
        <w:rPr>
          <w:rFonts w:ascii="Times New Roman" w:hAnsi="Times New Roman"/>
          <w:color w:val="000000"/>
          <w:sz w:val="22"/>
          <w:u w:val="single"/>
        </w:rPr>
        <w:t>Section 8.02</w:t>
      </w:r>
      <w:r>
        <w:rPr>
          <w:rFonts w:ascii="Times New Roman" w:hAnsi="Times New Roman"/>
          <w:color w:val="000000"/>
          <w:sz w:val="20"/>
        </w:rPr>
        <w:t xml:space="preserve"> </w:t>
      </w:r>
      <w:r>
        <w:rPr>
          <w:rFonts w:ascii="Times New Roman" w:hAnsi="Times New Roman"/>
          <w:color w:val="000000"/>
          <w:sz w:val="22"/>
        </w:rPr>
        <w:t>at such time.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8.03 </w:t>
      </w:r>
      <w:r>
        <w:rPr>
          <w:rFonts w:ascii="Times New Roman" w:hAnsi="Times New Roman"/>
          <w:b w:val="false"/>
          <w:color w:val="000000"/>
          <w:sz w:val="22"/>
          <w:u w:val="single"/>
        </w:rPr>
        <w:t>Indebtedness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Create, incur, assume or suffer to exist any Indebtedness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during any Investment Grade Period, this </w:t>
      </w:r>
      <w:r>
        <w:rPr>
          <w:rFonts w:ascii="Times New Roman" w:hAnsi="Times New Roman"/>
          <w:color w:val="000000"/>
          <w:sz w:val="22"/>
          <w:u w:val="single"/>
        </w:rPr>
        <w:t>Section 8.03</w:t>
      </w:r>
      <w:r>
        <w:rPr>
          <w:rFonts w:ascii="Times New Roman" w:hAnsi="Times New Roman"/>
          <w:color w:val="000000"/>
          <w:sz w:val="20"/>
        </w:rPr>
        <w:t xml:space="preserve"> </w:t>
      </w:r>
      <w:r>
        <w:rPr>
          <w:rFonts w:ascii="Times New Roman" w:hAnsi="Times New Roman"/>
          <w:color w:val="000000"/>
          <w:sz w:val="22"/>
        </w:rPr>
        <w:t>shall only restrict any Indebtedness created, incurred, assumed or suffered to exist by any Subsidiary that is not an Immaterial Domestic Subsidiary or an Immaterial Foreign Subsidiary), except: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Indebtedness under the Loan Documents;</w:t>
      </w:r>
    </w:p>
    <w:p>
      <w:pPr>
        <w:pStyle w:val="TextBody"/>
        <w:bidi w:val="0"/>
        <w:jc w:val="center"/>
        <w:rPr>
          <w:rFonts w:ascii="Times New Roman" w:hAnsi="Times New Roman"/>
          <w:color w:val="000000"/>
          <w:sz w:val="22"/>
        </w:rPr>
      </w:pPr>
      <w:r>
        <w:rPr>
          <w:rFonts w:ascii="Times New Roman" w:hAnsi="Times New Roman"/>
          <w:color w:val="000000"/>
          <w:sz w:val="22"/>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Indebtedness outstanding on the Effective Date and set forth in </w:t>
      </w:r>
      <w:r>
        <w:rPr>
          <w:rFonts w:ascii="Times New Roman" w:hAnsi="Times New Roman"/>
          <w:color w:val="000000"/>
          <w:sz w:val="22"/>
          <w:u w:val="single"/>
        </w:rPr>
        <w:t>Schedule 8.03</w:t>
      </w:r>
      <w:r>
        <w:rPr>
          <w:rFonts w:ascii="Times New Roman" w:hAnsi="Times New Roman"/>
          <w:color w:val="000000"/>
          <w:sz w:val="20"/>
        </w:rPr>
        <w:t xml:space="preserve"> </w:t>
      </w:r>
      <w:r>
        <w:rPr>
          <w:rFonts w:ascii="Times New Roman" w:hAnsi="Times New Roman"/>
          <w:color w:val="000000"/>
          <w:sz w:val="22"/>
        </w:rPr>
        <w:t xml:space="preserve">hereto, and any refinancings and extensions thereof;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with respect to any refinancings or extensions of any such Indebtedness, (A) the amount of such Indebtedness is not increased at the time of such refinancing or extension except (1) by an amount equal to a reasonable premium or other reasonable amount paid, and fees and expenses reasonably incurred, in connection with such refinancing or extension and by an amount equal to any existing commitments unutilized thereunder and (2) if the amount of such increase is otherwise permitted under this </w:t>
      </w:r>
      <w:r>
        <w:rPr>
          <w:rFonts w:ascii="Times New Roman" w:hAnsi="Times New Roman"/>
          <w:color w:val="000000"/>
          <w:sz w:val="22"/>
          <w:u w:val="single"/>
        </w:rPr>
        <w:t>Section 8.03</w:t>
      </w:r>
      <w:r>
        <w:rPr>
          <w:rFonts w:ascii="Times New Roman" w:hAnsi="Times New Roman"/>
          <w:color w:val="000000"/>
          <w:sz w:val="20"/>
        </w:rPr>
        <w:t xml:space="preserve"> </w:t>
      </w:r>
      <w:r>
        <w:rPr>
          <w:rFonts w:ascii="Times New Roman" w:hAnsi="Times New Roman"/>
          <w:color w:val="000000"/>
          <w:sz w:val="22"/>
        </w:rPr>
        <w:t xml:space="preserve">and (B) the material terms taken as a whole of such refinancing or extension either (1) reflect market terms at the time of issuance thereof, as reasonably determined by the Borrower in good faith, or (2) shall, taken as a whole, not be more favorable to the lenders providing such Indebtedness than the terms and conditions applicable to the Indebtedness being refinanced or extended and (ii) the amount of any Indebtedness stated on </w:t>
      </w:r>
      <w:r>
        <w:rPr>
          <w:rFonts w:ascii="Times New Roman" w:hAnsi="Times New Roman"/>
          <w:color w:val="000000"/>
          <w:sz w:val="22"/>
          <w:u w:val="single"/>
        </w:rPr>
        <w:t>Schedule 8.03</w:t>
      </w:r>
      <w:r>
        <w:rPr>
          <w:rFonts w:ascii="Times New Roman" w:hAnsi="Times New Roman"/>
          <w:color w:val="000000"/>
          <w:sz w:val="20"/>
        </w:rPr>
        <w:t xml:space="preserve"> </w:t>
      </w:r>
      <w:r>
        <w:rPr>
          <w:rFonts w:ascii="Times New Roman" w:hAnsi="Times New Roman"/>
          <w:color w:val="000000"/>
          <w:sz w:val="22"/>
        </w:rPr>
        <w:t>hereto that is subject to a revolving loan facility shall be the maximum amount available to be borrowed thereunder on the Effective Date (excluding increase options under such facilities);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intercompany Indebtedness permitted under </w:t>
      </w:r>
      <w:r>
        <w:rPr>
          <w:rFonts w:ascii="Times New Roman" w:hAnsi="Times New Roman"/>
          <w:color w:val="000000"/>
          <w:sz w:val="22"/>
          <w:u w:val="single"/>
        </w:rPr>
        <w:t>Section 8.02</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the case of Indebtedness owing by a Loan Party to a Subsidiary that is not a Loan Party, (i) such Indebtedness shall by its terms be subordinated in right of payment to the prior payment in full of the Obligations in form and substance reasonably acceptable to the Administrative Agent and (ii) such Indebtedness shall not be prepaid unless no Default exists immediately prior to or after giving effect to such prepayment;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obligations (contingent or otherwise) existing or arising under any Swap Contract;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 such obligations are (or were) entered into by such Person in the ordinary course of business or in connection with the Loans made under this Agreement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purchase money Indebtedness (including obligations in respect of capital leases and Synthetic Lease Obligations) incurred to finance the purchase of fixed or capital assets, and renewals, refinancings and extensions thereof;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at the time of incurrence the aggregate outstanding principal amount of all such Indebtedness shall not exceed the greater of (A) $100,000,000 at any one time outstanding and (B) 2.5% of Consolidated Total Assets as of the most recent four fiscal quarter period preceding the date of such transaction for which financial statements were required to be delivered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(or, prior to the first such delivery, the financial statements for the fiscal quarter ended September 30, 2025) and (ii) such Indebtedness when incurred shall not exceed the purchase price of the asset(s) financed;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[reserved];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During any Non-Investment Grade Period, (i) Indebtedness of the Borrower and its Domestic Subsidiaries;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at the time of incurrence of such Indebtedness, no Default or Event of Default has occurred and is continuing, (B) after giving effect to the incurrence of such Indebtedness on a Pro Forma Basis, the Loan Parties would be in compliance with the financial covenants set forth in </w:t>
      </w:r>
      <w:r>
        <w:rPr>
          <w:rFonts w:ascii="Times New Roman" w:hAnsi="Times New Roman"/>
          <w:color w:val="000000"/>
          <w:sz w:val="22"/>
          <w:u w:val="single"/>
        </w:rPr>
        <w:t>Section 8.11</w:t>
      </w:r>
      <w:r>
        <w:rPr>
          <w:rFonts w:ascii="Times New Roman" w:hAnsi="Times New Roman"/>
          <w:color w:val="000000"/>
          <w:sz w:val="20"/>
        </w:rPr>
        <w:t xml:space="preserve"> </w:t>
      </w:r>
      <w:r>
        <w:rPr>
          <w:rFonts w:ascii="Times New Roman" w:hAnsi="Times New Roman"/>
          <w:color w:val="000000"/>
          <w:sz w:val="22"/>
        </w:rPr>
        <w:t>(without giving effect to the Leverage Increase Period thereunder, unless such Indebtedness is incurred to finance a Qualified Acquisition which triggered such Leverage Increase Period), (C) such Indebtedness shall not include any financial maintenance covenants that are more restrictive in any respect on the Loan Parties than the financial maintenance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covenants in </w:t>
      </w:r>
      <w:r>
        <w:rPr>
          <w:rFonts w:ascii="Times New Roman" w:hAnsi="Times New Roman"/>
          <w:color w:val="000000"/>
          <w:sz w:val="22"/>
          <w:u w:val="single"/>
        </w:rPr>
        <w:t>Section 8.11</w:t>
      </w:r>
      <w:r>
        <w:rPr>
          <w:rFonts w:ascii="Times New Roman" w:hAnsi="Times New Roman"/>
          <w:color w:val="000000"/>
          <w:sz w:val="20"/>
        </w:rPr>
        <w:t xml:space="preserve"> </w:t>
      </w:r>
      <w:r>
        <w:rPr>
          <w:rFonts w:ascii="Times New Roman" w:hAnsi="Times New Roman"/>
          <w:color w:val="000000"/>
          <w:sz w:val="22"/>
        </w:rPr>
        <w:t>of this Agreement, (D) such Indebtedness is not subject to any amortization payments or any mandatory prepayments or sinking fund payments (other than in connection with a change of control, asset sale or event of loss and customary acceleration rights after an event of default and, in the case of a term loan secured on a pari passu basis with the Obligations pursuant to an Intercreditor Agreement (a “</w:t>
      </w:r>
      <w:r>
        <w:rPr>
          <w:rFonts w:ascii="Times New Roman" w:hAnsi="Times New Roman"/>
          <w:color w:val="000000"/>
          <w:sz w:val="22"/>
          <w:u w:val="single"/>
        </w:rPr>
        <w:t>Pari Passu Term Loan</w:t>
      </w:r>
      <w:r>
        <w:rPr>
          <w:rFonts w:ascii="Times New Roman" w:hAnsi="Times New Roman"/>
          <w:color w:val="000000"/>
          <w:sz w:val="20"/>
        </w:rPr>
        <w:t>”</w:t>
      </w:r>
      <w:r>
        <w:rPr>
          <w:rFonts w:ascii="Times New Roman" w:hAnsi="Times New Roman"/>
          <w:color w:val="000000"/>
          <w:sz w:val="22"/>
        </w:rPr>
        <w:t>), excess cash flow) in each case, prior to the date that is ninety one (91) days after (or, in the case of a Pari Passu Term Loan or other type of Indebtedness secured on a pari passu basis with the Obligations pursuant to an Intercreditor Agreement (collectively, “</w:t>
      </w:r>
      <w:r>
        <w:rPr>
          <w:rFonts w:ascii="Times New Roman" w:hAnsi="Times New Roman"/>
          <w:color w:val="000000"/>
          <w:sz w:val="22"/>
          <w:u w:val="single"/>
        </w:rPr>
        <w:t>Pari Passu Indebtedness</w:t>
      </w:r>
      <w:r>
        <w:rPr>
          <w:rFonts w:ascii="Times New Roman" w:hAnsi="Times New Roman"/>
          <w:color w:val="000000"/>
          <w:sz w:val="20"/>
        </w:rPr>
        <w:t>”</w:t>
      </w:r>
      <w:r>
        <w:rPr>
          <w:rFonts w:ascii="Times New Roman" w:hAnsi="Times New Roman"/>
          <w:color w:val="000000"/>
          <w:sz w:val="22"/>
        </w:rPr>
        <w:t xml:space="preserve">), simultaneously with) the then-latest Maturity Date, and (E) such Indebtedness shall not mature at any time on or prior to the date that is ninety one (91) days after (or, in the case of a Pari Passu Indebtedness, simultaneously with) the then-latest Maturity Date; and (ii) without limiting the right of the Borrower or any of its Domestic Subsidiaries to incur Indebtedness in reliance on </w:t>
      </w:r>
      <w:r>
        <w:rPr>
          <w:rFonts w:ascii="Times New Roman" w:hAnsi="Times New Roman"/>
          <w:color w:val="000000"/>
          <w:sz w:val="22"/>
          <w:u w:val="single"/>
        </w:rPr>
        <w:t>Section 8.03(g)(i)</w:t>
      </w:r>
      <w:r>
        <w:rPr>
          <w:rFonts w:ascii="Times New Roman" w:hAnsi="Times New Roman"/>
          <w:color w:val="000000"/>
          <w:sz w:val="22"/>
        </w:rPr>
        <w:t xml:space="preserve">, any refinancings and extensions of Indebtedness originally incurred pursuant to </w:t>
      </w:r>
      <w:r>
        <w:rPr>
          <w:rFonts w:ascii="Times New Roman" w:hAnsi="Times New Roman"/>
          <w:color w:val="000000"/>
          <w:sz w:val="22"/>
          <w:u w:val="single"/>
        </w:rPr>
        <w:t>Section 8.03(g)(i)</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at the time of such refinancing or extension, and after giving effect thereto, (A) no Default or Event of Default has occurred and is continuing, (B) the amount of such Indebtedness shall not be increased except by an amount equal to a reasonable premium or other reasonable amount paid, and fees and expenses reasonably incurred, in connection with such refinancing or extension and by an amount equal to any existing commitments unutilized thereunder, (C) such Indebtedness shall not include any financial maintenance covenants that are more restrictive in any respect on the Loan Parties than the financial maintenance covenants in this Agreement, (D) such Indebtedness shall not be subject to any amortization payments or any mandatory prepayments or sinking fund payments (other than in connection with a change of control, asset sale or event of loss and customary acceleration rights after an event of default and, in the case of a Pari Passu Term Loan, excess cash flow) in each case, prior to the date that is ninety one (91) days after (or, in the case of a Pari Passu Indebtedness, simultaneously with) the then-latest Maturity Date, (E) such Indebtedness shall not mature at any time on or prior to the date that is ninety one (91) days after (or, in the case of a Pari Passu Indebtedness, simultaneously with) the then-latest Maturity Date, (F) such Indebtedness shall be secured on the same or junior basis to the Indebtedness that it refinances and (G) such Indebtedness shall have no shorter maturity than the Indebtedness it refinances;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(x) the aggregate principal amount of Indebtedness under this clause (g) that may be incurred by any Subsidiary that is not a Loan Party shall not exceed (together with Indebtedness incurred under </w:t>
      </w:r>
      <w:r>
        <w:rPr>
          <w:rFonts w:ascii="Times New Roman" w:hAnsi="Times New Roman"/>
          <w:color w:val="000000"/>
          <w:sz w:val="22"/>
          <w:u w:val="single"/>
        </w:rPr>
        <w:t>Section 8.03(n)</w:t>
      </w:r>
      <w:r>
        <w:rPr>
          <w:rFonts w:ascii="Times New Roman" w:hAnsi="Times New Roman"/>
          <w:color w:val="000000"/>
          <w:sz w:val="22"/>
        </w:rPr>
        <w:t xml:space="preserve">) the greater of (I) $300,000,000 at any time outstanding and (II) 7.5% of Consolidated Total Assets as of the most recent four fiscal quarter period preceding the date of such transaction for which financial statements were required to be delivered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(or, prior to the first such delivery, the financial statements for the fiscal quarter ended September 30, 2025) and (y) if secured, such Indebtedness shall be secured only by the Collateral and subject to an Intercreditor Agreement providing that such liens are pari passu or junior to the Liens securing the Obligations;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During any Non-Investment Grade Period, other Indebtedness in an aggregate outstanding principal amount at the time of incurrence not to exceed the greater of (i) $235,000,000 and (ii) 30% of Consolidated EBITDA as of the most recent four fiscal quarter period preceding the date of such transaction for which financial statements were required to be delivered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(or, prior to the first such delivery, the financial statements for the fiscal quarter ended September 30, 2025), at any time outstanding;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Indebtedness which constitutes a Lien on investment property or general intangibles that represent Equity Interests of a Foreign Subsidiary and which is otherwise a Permitted Lien and Indebtedness that constitutes a Permitted Lien under the following: </w:t>
      </w:r>
      <w:r>
        <w:rPr>
          <w:rFonts w:ascii="Times New Roman" w:hAnsi="Times New Roman"/>
          <w:color w:val="000000"/>
          <w:sz w:val="22"/>
          <w:u w:val="single"/>
        </w:rPr>
        <w:t>Sections 8.01(c)</w:t>
      </w:r>
      <w:r>
        <w:rPr>
          <w:rFonts w:ascii="Times New Roman" w:hAnsi="Times New Roman"/>
          <w:color w:val="000000"/>
          <w:sz w:val="22"/>
        </w:rPr>
        <w:t xml:space="preserve">, </w:t>
      </w:r>
      <w:r>
        <w:rPr>
          <w:rFonts w:ascii="Times New Roman" w:hAnsi="Times New Roman"/>
          <w:color w:val="000000"/>
          <w:sz w:val="22"/>
          <w:u w:val="single"/>
        </w:rPr>
        <w:t>8.01(d)</w:t>
      </w:r>
      <w:r>
        <w:rPr>
          <w:rFonts w:ascii="Times New Roman" w:hAnsi="Times New Roman"/>
          <w:color w:val="000000"/>
          <w:sz w:val="22"/>
        </w:rPr>
        <w:t xml:space="preserve">, </w:t>
      </w:r>
      <w:r>
        <w:rPr>
          <w:rFonts w:ascii="Times New Roman" w:hAnsi="Times New Roman"/>
          <w:color w:val="000000"/>
          <w:sz w:val="22"/>
          <w:u w:val="single"/>
        </w:rPr>
        <w:t>8.01(e)</w:t>
      </w:r>
      <w:r>
        <w:rPr>
          <w:rFonts w:ascii="Times New Roman" w:hAnsi="Times New Roman"/>
          <w:color w:val="000000"/>
          <w:sz w:val="22"/>
        </w:rPr>
        <w:t xml:space="preserve">, </w:t>
      </w:r>
      <w:r>
        <w:rPr>
          <w:rFonts w:ascii="Times New Roman" w:hAnsi="Times New Roman"/>
          <w:color w:val="000000"/>
          <w:sz w:val="22"/>
          <w:u w:val="single"/>
        </w:rPr>
        <w:t>8.01(h)</w:t>
      </w:r>
      <w:r>
        <w:rPr>
          <w:rFonts w:ascii="Times New Roman" w:hAnsi="Times New Roman"/>
          <w:color w:val="000000"/>
          <w:sz w:val="22"/>
        </w:rPr>
        <w:t xml:space="preserve">, </w:t>
      </w:r>
      <w:r>
        <w:rPr>
          <w:rFonts w:ascii="Times New Roman" w:hAnsi="Times New Roman"/>
          <w:color w:val="000000"/>
          <w:sz w:val="22"/>
          <w:u w:val="single"/>
        </w:rPr>
        <w:t>8.01(l)</w:t>
      </w:r>
      <w:r>
        <w:rPr>
          <w:rFonts w:ascii="Times New Roman" w:hAnsi="Times New Roman"/>
          <w:color w:val="000000"/>
          <w:sz w:val="22"/>
        </w:rPr>
        <w:t xml:space="preserve">, </w:t>
      </w:r>
      <w:r>
        <w:rPr>
          <w:rFonts w:ascii="Times New Roman" w:hAnsi="Times New Roman"/>
          <w:color w:val="000000"/>
          <w:sz w:val="22"/>
          <w:u w:val="single"/>
        </w:rPr>
        <w:t>8.01(m)</w:t>
      </w:r>
      <w:r>
        <w:rPr>
          <w:rFonts w:ascii="Times New Roman" w:hAnsi="Times New Roman"/>
          <w:color w:val="000000"/>
          <w:sz w:val="22"/>
        </w:rPr>
        <w:t xml:space="preserve">, </w:t>
      </w:r>
      <w:r>
        <w:rPr>
          <w:rFonts w:ascii="Times New Roman" w:hAnsi="Times New Roman"/>
          <w:color w:val="000000"/>
          <w:sz w:val="22"/>
          <w:u w:val="single"/>
        </w:rPr>
        <w:t>8.01(n)</w:t>
      </w:r>
      <w:r>
        <w:rPr>
          <w:rFonts w:ascii="Times New Roman" w:hAnsi="Times New Roman"/>
          <w:color w:val="000000"/>
          <w:sz w:val="22"/>
        </w:rPr>
        <w:t xml:space="preserve">, </w:t>
      </w:r>
      <w:r>
        <w:rPr>
          <w:rFonts w:ascii="Times New Roman" w:hAnsi="Times New Roman"/>
          <w:color w:val="000000"/>
          <w:sz w:val="22"/>
          <w:u w:val="single"/>
        </w:rPr>
        <w:t>8.01(p)</w:t>
      </w:r>
      <w:r>
        <w:rPr>
          <w:rFonts w:ascii="Times New Roman" w:hAnsi="Times New Roman"/>
          <w:color w:val="000000"/>
          <w:sz w:val="22"/>
        </w:rPr>
        <w:t xml:space="preserve">, </w:t>
      </w:r>
      <w:r>
        <w:rPr>
          <w:rFonts w:ascii="Times New Roman" w:hAnsi="Times New Roman"/>
          <w:color w:val="000000"/>
          <w:sz w:val="22"/>
          <w:u w:val="single"/>
        </w:rPr>
        <w:t>8.01(q)</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8.01(t)</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Indebtedness consisting of indemnification obligations or adjustments in respect of the purchase price (including earn-outs) in connection with any Permitted Acquisition or any Disposition permitted under </w:t>
      </w:r>
      <w:r>
        <w:rPr>
          <w:rFonts w:ascii="Times New Roman" w:hAnsi="Times New Roman"/>
          <w:color w:val="000000"/>
          <w:sz w:val="22"/>
          <w:u w:val="single"/>
        </w:rPr>
        <w:t>Section 8.05</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Guarantees with respect to Indebtedness permitted under this </w:t>
      </w:r>
      <w:r>
        <w:rPr>
          <w:rFonts w:ascii="Times New Roman" w:hAnsi="Times New Roman"/>
          <w:color w:val="000000"/>
          <w:sz w:val="22"/>
          <w:u w:val="single"/>
        </w:rPr>
        <w:t>Section 8.03</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unsecured reimbursement obligations of Loan Parties and their respective Subsidiaries in respect of letters of credit, bankers’ acceptances, bank guaranties, surety or performance bonds, and similar instruments issued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2"/>
        </w:rPr>
        <w:t>(m) secured reimbursement obligations of the Loan Parties and their respective Subsidiaries in respect of letters of credit, bankers’ acceptances, bank guaranties, surety or performance bonds in a stated amount not to exceed $50,000,000 at any time outstanding;</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 Indebtedness which may be deemed to exist pursuant to any guarantees, performance, statutory or similar obligations (including in connection with workers’ compensation) or obligations in respect of letters of credit, surety bonds, bank guarantees or similar instruments related thereto incurred in the ordinary course of business, or pursuant to any appeal obligation, appeal bond or letter of credit in respect of judgments that do not constitute an Event of Default;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Indebtedness in connection with cash management services, including treasury, depository, overdraft, credit or debit card, purchasing cards, electronic funds transfer, cash pooling arrangements, netting services, and other cash management arrangements of Borrower or any Subsidiary, in each case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 During any Non-Investment Grade Period, other Indebtedness of Foreign Subsidiaries in an aggregate principal amount not to exceed (together with Indebtedness incurred by non-Loan Parties under </w:t>
      </w:r>
      <w:r>
        <w:rPr>
          <w:rFonts w:ascii="Times New Roman" w:hAnsi="Times New Roman"/>
          <w:color w:val="000000"/>
          <w:sz w:val="22"/>
          <w:u w:val="single"/>
        </w:rPr>
        <w:t>Section 8.03(g)</w:t>
      </w:r>
      <w:r>
        <w:rPr>
          <w:rFonts w:ascii="Times New Roman" w:hAnsi="Times New Roman"/>
          <w:color w:val="000000"/>
          <w:sz w:val="22"/>
        </w:rPr>
        <w:t xml:space="preserve">) the greater of (i) $300,000,000 at any one time outstanding and (ii) 7.5% of Consolidated Total Assets as of the most recent four fiscal quarter period preceding the date of such transaction for which financial statements were required to be delivered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(or, prior to the first such delivery, the financial statements for the fiscal quarter ended September 30, 2025);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(q) During any Investment Grade Period, other Indebtedness in an aggregate outstanding principal amount,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(without duplication) the aggregate outstanding principal amount of Indebtedness secured by Liens permitted pursuant to </w:t>
      </w:r>
      <w:r>
        <w:rPr>
          <w:rFonts w:ascii="Times New Roman" w:hAnsi="Times New Roman"/>
          <w:color w:val="000000"/>
          <w:sz w:val="22"/>
          <w:u w:val="single"/>
        </w:rPr>
        <w:t>Section 8.01(ii)</w:t>
      </w:r>
      <w:r>
        <w:rPr>
          <w:rFonts w:ascii="Times New Roman" w:hAnsi="Times New Roman"/>
          <w:color w:val="000000"/>
          <w:sz w:val="22"/>
        </w:rPr>
        <w:t>, in the aggregate, not to exceed 15% of Consolidated Net Tangible Assets as of the last day of the then most recently ended fiscal quarter.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purposes of determining compliance with this </w:t>
      </w:r>
      <w:r>
        <w:rPr>
          <w:rFonts w:ascii="Times New Roman" w:hAnsi="Times New Roman"/>
          <w:color w:val="000000"/>
          <w:sz w:val="22"/>
          <w:u w:val="single"/>
        </w:rPr>
        <w:t>Section 8.03</w:t>
      </w:r>
      <w:r>
        <w:rPr>
          <w:rFonts w:ascii="Times New Roman" w:hAnsi="Times New Roman"/>
          <w:color w:val="000000"/>
          <w:sz w:val="22"/>
        </w:rPr>
        <w:t xml:space="preserve">, in the event that any proposed Indebtedness meets the criteria of more than one of the categories of Indebtedness permitted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(n)</w:t>
      </w:r>
      <w:r>
        <w:rPr>
          <w:rFonts w:ascii="Times New Roman" w:hAnsi="Times New Roman"/>
          <w:color w:val="000000"/>
          <w:sz w:val="20"/>
        </w:rPr>
        <w:t xml:space="preserve"> </w:t>
      </w:r>
      <w:r>
        <w:rPr>
          <w:rFonts w:ascii="Times New Roman" w:hAnsi="Times New Roman"/>
          <w:color w:val="000000"/>
          <w:sz w:val="22"/>
        </w:rPr>
        <w:t xml:space="preserve">above, the Borrower shall be permitted to divide or classify such item on the date of its incurrence, and from time to time may reclassify, in any manner that complies with this </w:t>
      </w:r>
      <w:r>
        <w:rPr>
          <w:rFonts w:ascii="Times New Roman" w:hAnsi="Times New Roman"/>
          <w:color w:val="000000"/>
          <w:sz w:val="22"/>
          <w:u w:val="single"/>
        </w:rPr>
        <w:t>Section 8.03</w:t>
      </w:r>
      <w:r>
        <w:rPr>
          <w:rFonts w:ascii="Times New Roman" w:hAnsi="Times New Roman"/>
          <w:color w:val="000000"/>
          <w:sz w:val="20"/>
        </w:rPr>
        <w:t xml:space="preserve"> </w:t>
      </w:r>
      <w:r>
        <w:rPr>
          <w:rFonts w:ascii="Times New Roman" w:hAnsi="Times New Roman"/>
          <w:color w:val="000000"/>
          <w:sz w:val="22"/>
        </w:rPr>
        <w:t>at such time.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8.04 </w:t>
      </w:r>
      <w:r>
        <w:rPr>
          <w:rFonts w:ascii="Times New Roman" w:hAnsi="Times New Roman"/>
          <w:b w:val="false"/>
          <w:color w:val="000000"/>
          <w:sz w:val="22"/>
          <w:u w:val="single"/>
        </w:rPr>
        <w:t>Fundamental Changes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Merge, dissolve, liquidate or consolidate with or into another Person, except that so long as no Default exists or would result therefrom: (a) the Borrower may merge or consolidate with any of its Subsidiaries;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Borrower is the continuing or surviving Person; (b) any Subsidiary may merge or consolidate with or liquidate into any other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a Loan Party is a party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to such transaction, the continuing or surviving Person is a Loan Party or such surviving Person becomes a Loan Party concurrently with the consummation of such merger, consolidation or liquidation; (c) subject to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above, the Borrower or any Subsidiary may merge with any other Person in connection with a Permitted Acquisition; (d) any Subsidiary may dissolve, liquidate or wind up its affairs at any time;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dissolution, liquidation or winding up, as applicable, could not have a Material Adverse Effect, and (e) any Subsidiary (other than a Borrower) may merge, dissolve, liquidate, amalgamate or consolidate with or into another Person to effect any Disposition permitted under </w:t>
      </w:r>
      <w:r>
        <w:rPr>
          <w:rFonts w:ascii="Times New Roman" w:hAnsi="Times New Roman"/>
          <w:color w:val="000000"/>
          <w:sz w:val="22"/>
          <w:u w:val="single"/>
        </w:rPr>
        <w:t>Section 8.05</w:t>
      </w:r>
      <w:r>
        <w:rPr>
          <w:rFonts w:ascii="Times New Roman" w:hAnsi="Times New Roman"/>
          <w:color w:val="000000"/>
          <w:sz w:val="22"/>
        </w:rPr>
        <w: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8.05 </w:t>
      </w:r>
      <w:r>
        <w:rPr>
          <w:rFonts w:ascii="Times New Roman" w:hAnsi="Times New Roman"/>
          <w:b w:val="false"/>
          <w:color w:val="000000"/>
          <w:sz w:val="22"/>
          <w:u w:val="single"/>
        </w:rPr>
        <w:t>Dispositions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During any Non-Investment Grade Period, make any Disposition except: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Permitted Transfers;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Dispositions in which (i) in the case of any such Disposition involving assets with a net book value in excess of $5,000,000, at least 75% of the consideration paid in connection therewith shall be cash or Cash Equivalents paid within 365 days of the consummation of the transaction and shall be in an amount not less than the fair market value of the property disposed of, (ii) if such transaction is a Sale and Leaseback Transaction, such transaction is not prohibited by the terms of </w:t>
      </w:r>
      <w:r>
        <w:rPr>
          <w:rFonts w:ascii="Times New Roman" w:hAnsi="Times New Roman"/>
          <w:color w:val="000000"/>
          <w:sz w:val="22"/>
          <w:u w:val="single"/>
        </w:rPr>
        <w:t>Section 8.14</w:t>
      </w:r>
      <w:r>
        <w:rPr>
          <w:rFonts w:ascii="Times New Roman" w:hAnsi="Times New Roman"/>
          <w:color w:val="000000"/>
          <w:sz w:val="22"/>
        </w:rPr>
        <w:t xml:space="preserve">, (iii) such transaction does not involve a sale or other disposition of receivables other than receivables owned by or attributable to other property concurrently being disposed of in a transaction otherwise permitted under this </w:t>
      </w:r>
      <w:r>
        <w:rPr>
          <w:rFonts w:ascii="Times New Roman" w:hAnsi="Times New Roman"/>
          <w:color w:val="000000"/>
          <w:sz w:val="22"/>
          <w:u w:val="single"/>
        </w:rPr>
        <w:t>Section 8.05(b)</w:t>
      </w:r>
      <w:r>
        <w:rPr>
          <w:rFonts w:ascii="Times New Roman" w:hAnsi="Times New Roman"/>
          <w:color w:val="000000"/>
          <w:sz w:val="22"/>
        </w:rPr>
        <w:t xml:space="preserve">, and (iv) the aggregate net book value of all of the assets sold or otherwise disposed of by the Borrower and its Subsidiaries in all such transactions permitted under this </w:t>
      </w:r>
      <w:r>
        <w:rPr>
          <w:rFonts w:ascii="Times New Roman" w:hAnsi="Times New Roman"/>
          <w:color w:val="000000"/>
          <w:sz w:val="22"/>
          <w:u w:val="single"/>
        </w:rPr>
        <w:t>Section 8.05(b)</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8.05(c)</w:t>
      </w:r>
      <w:r>
        <w:rPr>
          <w:rFonts w:ascii="Times New Roman" w:hAnsi="Times New Roman"/>
          <w:color w:val="000000"/>
          <w:sz w:val="20"/>
        </w:rPr>
        <w:t xml:space="preserve"> </w:t>
      </w:r>
      <w:r>
        <w:rPr>
          <w:rFonts w:ascii="Times New Roman" w:hAnsi="Times New Roman"/>
          <w:color w:val="000000"/>
          <w:sz w:val="22"/>
        </w:rPr>
        <w:t xml:space="preserve">occurring on and after the Effective Date shall not exceed the greater of (A) $150,000,000 and (B) 3.75% of Consolidated Total Assets (determined on the date of consummation of any such Disposition by reference to the amount of Consolidated Total Assets existing as of the last day of the most recent fiscal year of the Borrower ended on or prior to such date for which the Borrower has delivered financial statements pursuant to </w:t>
      </w:r>
      <w:r>
        <w:rPr>
          <w:rFonts w:ascii="Times New Roman" w:hAnsi="Times New Roman"/>
          <w:color w:val="000000"/>
          <w:sz w:val="22"/>
          <w:u w:val="single"/>
        </w:rPr>
        <w:t>Section 7.01(a)</w:t>
      </w:r>
      <w:r>
        <w:rPr>
          <w:rFonts w:ascii="Times New Roman" w:hAnsi="Times New Roman"/>
          <w:color w:val="000000"/>
          <w:sz w:val="22"/>
        </w:rPr>
        <w:t>) (or, prior to the first such delivery, the financial statements for the fiscal year ended December 31, 2024);</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other Dispositions;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aggregate net book value of all of the assets sold or otherwise disposed of by the Borrower and its Subsidiaries in all such transactions permitted under this </w:t>
      </w:r>
      <w:r>
        <w:rPr>
          <w:rFonts w:ascii="Times New Roman" w:hAnsi="Times New Roman"/>
          <w:color w:val="000000"/>
          <w:sz w:val="22"/>
          <w:u w:val="single"/>
        </w:rPr>
        <w:t>Section 8.05(c)</w:t>
      </w:r>
      <w:r>
        <w:rPr>
          <w:rFonts w:ascii="Times New Roman" w:hAnsi="Times New Roman"/>
          <w:color w:val="000000"/>
          <w:sz w:val="20"/>
        </w:rPr>
        <w:t xml:space="preserve"> </w:t>
      </w:r>
      <w:r>
        <w:rPr>
          <w:rFonts w:ascii="Times New Roman" w:hAnsi="Times New Roman"/>
          <w:color w:val="000000"/>
          <w:sz w:val="22"/>
        </w:rPr>
        <w:t xml:space="preserve">occurring on and after the Effective Date shall not exceed the greater of (i) $50,000,000 and (ii) 1.25% of Consolidated Total Assets (determined on the date of consummation of any such Disposition by reference to the amount of Consolidated Total Assets existing as of the last day of the most recent fiscal year of the Borrower ended on or prior to such date for which the Borrower has delivered financial statements pursuant to </w:t>
      </w:r>
      <w:r>
        <w:rPr>
          <w:rFonts w:ascii="Times New Roman" w:hAnsi="Times New Roman"/>
          <w:color w:val="000000"/>
          <w:sz w:val="22"/>
          <w:u w:val="single"/>
        </w:rPr>
        <w:t>Section 7.01(a)</w:t>
      </w:r>
      <w:r>
        <w:rPr>
          <w:rFonts w:ascii="Times New Roman" w:hAnsi="Times New Roman"/>
          <w:color w:val="000000"/>
          <w:sz w:val="22"/>
        </w:rPr>
        <w:t>) (or, prior to the first such delivery, the financial statements for the fiscal year ended December 31, 2024);</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no event shall the Borrower or any Subsidiary Dispose of, or exclusively license, to a Person that is not a Loan Party (including any transfer from a Loan Party to a non-Loan Party), any IP Rights of the Borrower or its Subsidiaries that are material to the business of the Borrower or any of its Subsidiaries (as reasonably determined by the Borrower).</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8.06 </w:t>
      </w:r>
      <w:r>
        <w:rPr>
          <w:rFonts w:ascii="Times New Roman" w:hAnsi="Times New Roman"/>
          <w:b w:val="false"/>
          <w:color w:val="000000"/>
          <w:sz w:val="22"/>
          <w:u w:val="single"/>
        </w:rPr>
        <w:t>Restricted Payments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During any Non-Investment Grade Period, declare or make any Restricted Payment, or incur any obligation (contingent or otherwise) to do so, except that:</w:t>
      </w:r>
    </w:p>
    <w:p>
      <w:pPr>
        <w:pStyle w:val="TextBody"/>
        <w:bidi w:val="0"/>
        <w:jc w:val="center"/>
        <w:rPr>
          <w:rFonts w:ascii="Times New Roman" w:hAnsi="Times New Roman"/>
          <w:color w:val="000000"/>
          <w:sz w:val="22"/>
        </w:rPr>
      </w:pPr>
      <w:r>
        <w:rPr>
          <w:rFonts w:ascii="Times New Roman" w:hAnsi="Times New Roman"/>
          <w:color w:val="000000"/>
          <w:sz w:val="22"/>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each Subsidiary may declare and make Restricted Payments to Persons that own Equity Interests in such Subsidiary, ratably according to their respective holdings of the type of Equity Interest in respect of which such Restricted Payment is being made;</w:t>
      </w:r>
    </w:p>
    <w:p>
      <w:pPr>
        <w:pStyle w:val="TextBody"/>
        <w:bidi w:val="0"/>
        <w:spacing w:before="0" w:after="240"/>
        <w:jc w:val="both"/>
        <w:rPr>
          <w:rFonts w:ascii="Times New Roman" w:hAnsi="Times New Roman"/>
          <w:sz w:val="20"/>
        </w:rPr>
      </w:pPr>
      <w:r>
        <w:rPr>
          <w:rFonts w:ascii="Times New Roman" w:hAnsi="Times New Roman"/>
          <w:color w:val="000000"/>
          <w:sz w:val="22"/>
        </w:rPr>
        <w:t>(b) the Borrower and each Subsidiary may declare and make dividend payments or other distributions payable solely in common Equity Interests of such Person;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the Borrower may (i) enter into any Permitted Call Spread Transaction and (ii) amend, terminate or otherwise settle any Permitted Call Spread Transaction to the extent that any net payment in cash by the Borrower in consideration therefor is permitted under another clause of this </w:t>
      </w:r>
      <w:r>
        <w:rPr>
          <w:rFonts w:ascii="Times New Roman" w:hAnsi="Times New Roman"/>
          <w:color w:val="000000"/>
          <w:sz w:val="22"/>
          <w:u w:val="single"/>
        </w:rPr>
        <w:t>Section 8.06</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the Borrower may declare and make other Restricted Payments;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no Event of Default exists or would result therefrom and (ii) after giving effect to any such Restricted Payment on a Pro Forma Basis, the Consolidated Leverage Ratio recomputed as of the end of the period of the four fiscal quarters of the Borrower most recently ended for which the Borrower has delivered financial statements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(or, prior to the first such delivery, the financial statements for the fiscal quarter ended September 30, 2025) is not greater than the Consolidated Leverage Ratio that is 0.25:1.00 lower than the Consolidated Leverage Ratio required under </w:t>
      </w:r>
      <w:r>
        <w:rPr>
          <w:rFonts w:ascii="Times New Roman" w:hAnsi="Times New Roman"/>
          <w:color w:val="000000"/>
          <w:sz w:val="22"/>
          <w:u w:val="single"/>
        </w:rPr>
        <w:t>Section 8.11(a)</w:t>
      </w:r>
      <w:r>
        <w:rPr>
          <w:rFonts w:ascii="Times New Roman" w:hAnsi="Times New Roman"/>
          <w:color w:val="000000"/>
          <w:sz w:val="20"/>
        </w:rPr>
        <w:t xml:space="preserve"> </w:t>
      </w:r>
      <w:r>
        <w:rPr>
          <w:rFonts w:ascii="Times New Roman" w:hAnsi="Times New Roman"/>
          <w:color w:val="000000"/>
          <w:sz w:val="22"/>
        </w:rPr>
        <w:t>(without giving effect to the Leverage Increase Period thereunder);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the Borrower may (x) repurchase fractional shares of its Equity Interests arising out of stock dividends, splits or combinations, business combinations or conversions of convertible securities or exercises of warrants or options or (y) “net exercise” or “net share settle” warrants or options;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so long as no Event of Default has occurred and is continuing pursuant to </w:t>
      </w:r>
      <w:r>
        <w:rPr>
          <w:rFonts w:ascii="Times New Roman" w:hAnsi="Times New Roman"/>
          <w:color w:val="000000"/>
          <w:sz w:val="22"/>
          <w:u w:val="single"/>
        </w:rPr>
        <w:t>Section 9.01(a)(i)-(ii)</w:t>
      </w:r>
      <w:r>
        <w:rPr>
          <w:rFonts w:ascii="Times New Roman" w:hAnsi="Times New Roman"/>
          <w:color w:val="000000"/>
          <w:sz w:val="22"/>
        </w:rPr>
        <w:t xml:space="preserve">, </w:t>
      </w:r>
      <w:r>
        <w:rPr>
          <w:rFonts w:ascii="Times New Roman" w:hAnsi="Times New Roman"/>
          <w:color w:val="000000"/>
          <w:sz w:val="22"/>
          <w:u w:val="single"/>
        </w:rPr>
        <w:t>Section 9.01(f)</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9.01(g)</w:t>
      </w:r>
      <w:r>
        <w:rPr>
          <w:rFonts w:ascii="Times New Roman" w:hAnsi="Times New Roman"/>
          <w:color w:val="000000"/>
          <w:sz w:val="22"/>
        </w:rPr>
        <w:t>, the Borrower may redeem or otherwise cancel Equity Interests or rights in respect thereof granted to (or make payments on behalf of) directors, officers, employees or other providers of services to the Borrower and the Subsidiaries in an amount required to satisfy tax withholding obligations relating to the vesting, settlement or exercise of such Equity Interests or rights;</w:t>
      </w:r>
    </w:p>
    <w:p>
      <w:pPr>
        <w:pStyle w:val="TextBody"/>
        <w:bidi w:val="0"/>
        <w:spacing w:before="0" w:after="240"/>
        <w:jc w:val="both"/>
        <w:rPr>
          <w:rFonts w:ascii="Times New Roman" w:hAnsi="Times New Roman"/>
          <w:sz w:val="20"/>
        </w:rPr>
      </w:pPr>
      <w:r>
        <w:rPr>
          <w:rFonts w:ascii="Times New Roman" w:hAnsi="Times New Roman"/>
          <w:color w:val="000000"/>
          <w:sz w:val="22"/>
        </w:rPr>
        <w:t>(g) the Borrower may make any Restricted Payment that has been declared by the Borrower, so long as (A) such Restricted Payment would be otherwise permitted under clause (a) of this Section 8.06 at the time so declared and (B) such Restricted Payment is made within 60 days of such declaration;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(h) the Borrower may repurchase Equity Interests pursuant to any accelerated stock repurchase or similar agreement; provided that the payment made by the Borrower with respect to such repurchase would be otherwise permitted under clause (d) of this Section 8.06 at the time such agreement is entered into and at the time such payment is made;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Borrower may repurchase Equity Interests or rights in respect thereof granted to directors, officers, employees or other providers of services to the Borrower and the Subsidiaries at the original purchase price of such Equity Interests or rights in respect thereof pursuant to a right of repurchase set forth in equity compensation plans in connection with a cessation of service; and</w:t>
      </w:r>
    </w:p>
    <w:p>
      <w:pPr>
        <w:pStyle w:val="TextBody"/>
        <w:bidi w:val="0"/>
        <w:spacing w:before="0" w:after="240"/>
        <w:jc w:val="both"/>
        <w:rPr>
          <w:rFonts w:ascii="Times New Roman" w:hAnsi="Times New Roman"/>
          <w:sz w:val="20"/>
        </w:rPr>
      </w:pPr>
      <w:r>
        <w:rPr>
          <w:rFonts w:ascii="Times New Roman" w:hAnsi="Times New Roman"/>
          <w:color w:val="000000"/>
          <w:sz w:val="22"/>
        </w:rPr>
        <w:t>(j) the receipt or acceptance by the Borrower or any Subsidiary of the return of Equity Interests issued by the Borrower or any Subsidiary to the seller of a Person, business or division as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consideration for the purchase of such Person, business or division, which return is in settlement of indemnification claims owed by such seller in connection with such acquisition.</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8.07 </w:t>
      </w:r>
      <w:r>
        <w:rPr>
          <w:rFonts w:ascii="Times New Roman" w:hAnsi="Times New Roman"/>
          <w:b w:val="false"/>
          <w:color w:val="000000"/>
          <w:sz w:val="22"/>
          <w:u w:val="single"/>
        </w:rPr>
        <w:t>Change in Nature of Business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Engage in any material line of business substantially different from those lines of business conducted by the Borrower and its Subsidiaries on the Effective Date or any business substantially related or incidental thereto, including customer experience solutions, business process outsourcing services, and related sales and services.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8.08 </w:t>
      </w:r>
      <w:r>
        <w:rPr>
          <w:rFonts w:ascii="Times New Roman" w:hAnsi="Times New Roman"/>
          <w:b w:val="false"/>
          <w:color w:val="000000"/>
          <w:sz w:val="22"/>
          <w:u w:val="single"/>
        </w:rPr>
        <w:t>Transactions with Affiliates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During any Non-Investment Grade Period, enter into or permit to exist any transaction or series of transactions with any Affiliate of such Person involving aggregate consideration in excess of $1,000,000 other than (a) advances of working capital to any Loan Party, (b) transfers of cash and assets to any Loan Party, (c) intercompany transactions expressly permitted by </w:t>
      </w:r>
      <w:r>
        <w:rPr>
          <w:rFonts w:ascii="Times New Roman" w:hAnsi="Times New Roman"/>
          <w:color w:val="000000"/>
          <w:sz w:val="22"/>
          <w:u w:val="single"/>
        </w:rPr>
        <w:t>Section 8.02</w:t>
      </w:r>
      <w:r>
        <w:rPr>
          <w:rFonts w:ascii="Times New Roman" w:hAnsi="Times New Roman"/>
          <w:color w:val="000000"/>
          <w:sz w:val="22"/>
        </w:rPr>
        <w:t xml:space="preserve">, </w:t>
      </w:r>
      <w:r>
        <w:rPr>
          <w:rFonts w:ascii="Times New Roman" w:hAnsi="Times New Roman"/>
          <w:color w:val="000000"/>
          <w:sz w:val="22"/>
          <w:u w:val="single"/>
        </w:rPr>
        <w:t>Section 8.03</w:t>
      </w:r>
      <w:r>
        <w:rPr>
          <w:rFonts w:ascii="Times New Roman" w:hAnsi="Times New Roman"/>
          <w:color w:val="000000"/>
          <w:sz w:val="22"/>
        </w:rPr>
        <w:t xml:space="preserve">, </w:t>
      </w:r>
      <w:r>
        <w:rPr>
          <w:rFonts w:ascii="Times New Roman" w:hAnsi="Times New Roman"/>
          <w:color w:val="000000"/>
          <w:sz w:val="22"/>
          <w:u w:val="single"/>
        </w:rPr>
        <w:t>Section 8.04</w:t>
      </w:r>
      <w:r>
        <w:rPr>
          <w:rFonts w:ascii="Times New Roman" w:hAnsi="Times New Roman"/>
          <w:color w:val="000000"/>
          <w:sz w:val="22"/>
        </w:rPr>
        <w:t xml:space="preserve">, </w:t>
      </w:r>
      <w:r>
        <w:rPr>
          <w:rFonts w:ascii="Times New Roman" w:hAnsi="Times New Roman"/>
          <w:color w:val="000000"/>
          <w:sz w:val="22"/>
          <w:u w:val="single"/>
        </w:rPr>
        <w:t>Section 8.05</w:t>
      </w:r>
      <w:r>
        <w:rPr>
          <w:rFonts w:ascii="Times New Roman" w:hAnsi="Times New Roman"/>
          <w:color w:val="000000"/>
          <w:sz w:val="22"/>
        </w:rPr>
        <w:t xml:space="preserve">, </w:t>
      </w:r>
      <w:r>
        <w:rPr>
          <w:rFonts w:ascii="Times New Roman" w:hAnsi="Times New Roman"/>
          <w:color w:val="000000"/>
          <w:sz w:val="22"/>
          <w:u w:val="single"/>
        </w:rPr>
        <w:t>Section 8.06</w:t>
      </w:r>
      <w:r>
        <w:rPr>
          <w:rFonts w:ascii="Times New Roman" w:hAnsi="Times New Roman"/>
          <w:color w:val="000000"/>
          <w:sz w:val="22"/>
        </w:rPr>
        <w:t xml:space="preserve">, </w:t>
      </w:r>
      <w:r>
        <w:rPr>
          <w:rFonts w:ascii="Times New Roman" w:hAnsi="Times New Roman"/>
          <w:color w:val="000000"/>
          <w:sz w:val="22"/>
          <w:u w:val="single"/>
        </w:rPr>
        <w:t>Section 8.12</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8.14</w:t>
      </w:r>
      <w:r>
        <w:rPr>
          <w:rFonts w:ascii="Times New Roman" w:hAnsi="Times New Roman"/>
          <w:color w:val="000000"/>
          <w:sz w:val="22"/>
        </w:rPr>
        <w:t>, (d) compensation arrangements approved by the board of directors (or appropriate committee thereof) of the Borrower and other normal and reasonable compensation and reimbursement of expenses of officers and directors, including indemnification agreements, (e) employee benefit plans, retention and severance arrangements and payments and (f) except as otherwise specifically limited in this Agreement, other transactions which are on terms and conditions substantially as favorable to such Person as would be obtainable by it in a comparable arms-length transaction with a Person other than an Affiliate.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8.09 </w:t>
      </w:r>
      <w:r>
        <w:rPr>
          <w:rFonts w:ascii="Times New Roman" w:hAnsi="Times New Roman"/>
          <w:b w:val="false"/>
          <w:color w:val="000000"/>
          <w:sz w:val="22"/>
          <w:u w:val="single"/>
        </w:rPr>
        <w:t>Burdensome Agreements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Enter into, or permit to exist, any Contractual Obligation to which the Borrower or any of its Subsidiaries is a party that: (a) encumbers or restricts the ability of any the Borrower or any of its Subsidiaries to (i) make Restricted Payments to any Loan Party, (ii) pay any Indebtedness or other obligation owed to any Loan Party, (iii) make loans or advances to any Loan Party, (iv) transfer any of its property to any Loan Party, (v) in the case of the Borrower and its Domestic Subsidiaries, pledge its property pursuant to the Loan Documents or any renewals, refinancings, exchanges, refundings or extension thereof or (vi) in the case of the Borrower and its Domestic Subsidiaries, act as a Loan Party pursuant to the Loan Documents or any renewals, refinancings, exchanges, refundings or extension thereof, except (in respect of any of the matters referred to in </w:t>
      </w:r>
      <w:r>
        <w:rPr>
          <w:rFonts w:ascii="Times New Roman" w:hAnsi="Times New Roman"/>
          <w:color w:val="000000"/>
          <w:sz w:val="22"/>
          <w:u w:val="single"/>
        </w:rPr>
        <w:t>clauses (i)</w:t>
      </w:r>
      <w:r>
        <w:rPr>
          <w:rFonts w:ascii="Times New Roman" w:hAnsi="Times New Roman"/>
          <w:color w:val="000000"/>
          <w:sz w:val="22"/>
        </w:rPr>
        <w:t>-</w:t>
      </w:r>
      <w:r>
        <w:rPr>
          <w:rFonts w:ascii="Times New Roman" w:hAnsi="Times New Roman"/>
          <w:color w:val="000000"/>
          <w:sz w:val="22"/>
          <w:u w:val="single"/>
        </w:rPr>
        <w:t>(v)</w:t>
      </w:r>
      <w:r>
        <w:rPr>
          <w:rFonts w:ascii="Times New Roman" w:hAnsi="Times New Roman"/>
          <w:color w:val="000000"/>
          <w:sz w:val="20"/>
        </w:rPr>
        <w:t xml:space="preserve"> </w:t>
      </w:r>
      <w:r>
        <w:rPr>
          <w:rFonts w:ascii="Times New Roman" w:hAnsi="Times New Roman"/>
          <w:color w:val="000000"/>
          <w:sz w:val="22"/>
        </w:rPr>
        <w:t xml:space="preserve">above) for: (A) this Agreement and the other Loan Documents; (B) any document or instrument governing Indebtedness incurred pursuant to </w:t>
      </w:r>
      <w:r>
        <w:rPr>
          <w:rFonts w:ascii="Times New Roman" w:hAnsi="Times New Roman"/>
          <w:color w:val="000000"/>
          <w:sz w:val="22"/>
          <w:u w:val="single"/>
        </w:rPr>
        <w:t>Section 8.03(e)</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such restriction contained therein relates only to the asset or assets constructed or acquired in connection therewith; (C) any document or instrument governing Indebtedness incurred pursuant to </w:t>
      </w:r>
      <w:r>
        <w:rPr>
          <w:rFonts w:ascii="Times New Roman" w:hAnsi="Times New Roman"/>
          <w:color w:val="000000"/>
          <w:sz w:val="22"/>
          <w:u w:val="single"/>
        </w:rPr>
        <w:t>Section 8.03(b)</w:t>
      </w:r>
      <w:r>
        <w:rPr>
          <w:rFonts w:ascii="Times New Roman" w:hAnsi="Times New Roman"/>
          <w:color w:val="000000"/>
          <w:sz w:val="22"/>
        </w:rPr>
        <w:t xml:space="preserve">, </w:t>
      </w:r>
      <w:r>
        <w:rPr>
          <w:rFonts w:ascii="Times New Roman" w:hAnsi="Times New Roman"/>
          <w:color w:val="000000"/>
          <w:sz w:val="22"/>
          <w:u w:val="single"/>
        </w:rPr>
        <w:t>Section 8.03(c)</w:t>
      </w:r>
      <w:r>
        <w:rPr>
          <w:rFonts w:ascii="Times New Roman" w:hAnsi="Times New Roman"/>
          <w:color w:val="000000"/>
          <w:sz w:val="20"/>
        </w:rPr>
        <w:t xml:space="preserve"> </w:t>
      </w:r>
      <w:r>
        <w:rPr>
          <w:rFonts w:ascii="Times New Roman" w:hAnsi="Times New Roman"/>
          <w:color w:val="000000"/>
          <w:sz w:val="22"/>
        </w:rPr>
        <w:t xml:space="preserve">(to the extent arising from subordination provisions in favor of the Administrative Agent), </w:t>
      </w:r>
      <w:r>
        <w:rPr>
          <w:rFonts w:ascii="Times New Roman" w:hAnsi="Times New Roman"/>
          <w:color w:val="000000"/>
          <w:sz w:val="22"/>
          <w:u w:val="single"/>
        </w:rPr>
        <w:t>Section 8.03(f)</w:t>
      </w:r>
      <w:r>
        <w:rPr>
          <w:rFonts w:ascii="Times New Roman" w:hAnsi="Times New Roman"/>
          <w:color w:val="000000"/>
          <w:sz w:val="22"/>
        </w:rPr>
        <w:t xml:space="preserve">, </w:t>
      </w:r>
      <w:r>
        <w:rPr>
          <w:rFonts w:ascii="Times New Roman" w:hAnsi="Times New Roman"/>
          <w:color w:val="000000"/>
          <w:sz w:val="22"/>
          <w:u w:val="single"/>
        </w:rPr>
        <w:t>Section 8.03(g)</w:t>
      </w:r>
      <w:r>
        <w:rPr>
          <w:rFonts w:ascii="Times New Roman" w:hAnsi="Times New Roman"/>
          <w:color w:val="000000"/>
          <w:sz w:val="22"/>
        </w:rPr>
        <w:t xml:space="preserve">, </w:t>
      </w:r>
      <w:r>
        <w:rPr>
          <w:rFonts w:ascii="Times New Roman" w:hAnsi="Times New Roman"/>
          <w:color w:val="000000"/>
          <w:sz w:val="22"/>
          <w:u w:val="single"/>
        </w:rPr>
        <w:t>Section 8.03(h)</w:t>
      </w:r>
      <w:r>
        <w:rPr>
          <w:rFonts w:ascii="Times New Roman" w:hAnsi="Times New Roman"/>
          <w:color w:val="000000"/>
          <w:sz w:val="22"/>
        </w:rPr>
        <w:t xml:space="preserve">, </w:t>
      </w:r>
      <w:r>
        <w:rPr>
          <w:rFonts w:ascii="Times New Roman" w:hAnsi="Times New Roman"/>
          <w:color w:val="000000"/>
          <w:sz w:val="22"/>
          <w:u w:val="single"/>
        </w:rPr>
        <w:t>Section 8.03(k)</w:t>
      </w:r>
      <w:r>
        <w:rPr>
          <w:rFonts w:ascii="Times New Roman" w:hAnsi="Times New Roman"/>
          <w:color w:val="000000"/>
          <w:sz w:val="22"/>
        </w:rPr>
        <w:t xml:space="preserve">, or </w:t>
      </w:r>
      <w:r>
        <w:rPr>
          <w:rFonts w:ascii="Times New Roman" w:hAnsi="Times New Roman"/>
          <w:color w:val="000000"/>
          <w:sz w:val="22"/>
          <w:u w:val="single"/>
        </w:rPr>
        <w:t>Section 8.03(p)</w:t>
      </w:r>
      <w:r>
        <w:rPr>
          <w:rFonts w:ascii="Times New Roman" w:hAnsi="Times New Roman"/>
          <w:color w:val="000000"/>
          <w:sz w:val="22"/>
        </w:rPr>
        <w:t xml:space="preserve">; (D) any Permitted Lien or any document or instrument governing any Permitted Lien;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such restriction contained therein relates only to the asset or assets subject to such Permitted Lien; (E) customary restrictions and conditions contained in any agreement relating to the sale of any Subsidiary or property permitted under </w:t>
      </w:r>
      <w:r>
        <w:rPr>
          <w:rFonts w:ascii="Times New Roman" w:hAnsi="Times New Roman"/>
          <w:color w:val="000000"/>
          <w:sz w:val="22"/>
          <w:u w:val="single"/>
        </w:rPr>
        <w:t>Section 8.05</w:t>
      </w:r>
      <w:r>
        <w:rPr>
          <w:rFonts w:ascii="Times New Roman" w:hAnsi="Times New Roman"/>
          <w:color w:val="000000"/>
          <w:sz w:val="20"/>
        </w:rPr>
        <w:t xml:space="preserve"> </w:t>
      </w:r>
      <w:r>
        <w:rPr>
          <w:rFonts w:ascii="Times New Roman" w:hAnsi="Times New Roman"/>
          <w:color w:val="000000"/>
          <w:sz w:val="22"/>
        </w:rPr>
        <w:t xml:space="preserve">pending the consummation of such sale; (F) waivers of rights of subrogation and subordination of intercompany obligations in connection with any credit support provided to a Foreign Subsidiary pursuant to any Indebtedness permitted to be incurred pursuant to </w:t>
      </w:r>
      <w:r>
        <w:rPr>
          <w:rFonts w:ascii="Times New Roman" w:hAnsi="Times New Roman"/>
          <w:color w:val="000000"/>
          <w:sz w:val="22"/>
          <w:u w:val="single"/>
        </w:rPr>
        <w:t>Section 8.03</w:t>
      </w:r>
      <w:r>
        <w:rPr>
          <w:rFonts w:ascii="Times New Roman" w:hAnsi="Times New Roman"/>
          <w:color w:val="000000"/>
          <w:sz w:val="22"/>
        </w:rPr>
        <w:t>; (G) customary restrictions on transfer in licenses, sublicenses, leases and subleases restricting the assignment or transfer thereof or restricting the grating of Liens thereon; (H) in case of clause (a)(v) above, any agreement or restriction or condition in effect at the time any Person becomes a Subsidiary, so long as such agreement was not entered into solely in contemplation of such Person becoming a Subsidiary (but shall apply to any extension or renewal of, or any amendment or modification materially expanding the scope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any such restrictions or conditions taken as a whole); (I) the foregoing shall not apply to customary provisions in joint venture agreements and other similar agreements applicable to joint ventures or non-wholly owned Subsidiaries; or (b) requires the grant of any security for any obligation if such property is given as security for the Obligations.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8.10 </w:t>
      </w:r>
      <w:r>
        <w:rPr>
          <w:rFonts w:ascii="Times New Roman" w:hAnsi="Times New Roman"/>
          <w:b w:val="false"/>
          <w:color w:val="000000"/>
          <w:sz w:val="22"/>
          <w:u w:val="single"/>
        </w:rPr>
        <w:t>Use of Proceeds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Use the proceeds of any Credit Extension,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8.11 </w:t>
      </w:r>
      <w:r>
        <w:rPr>
          <w:rFonts w:ascii="Times New Roman" w:hAnsi="Times New Roman"/>
          <w:b w:val="false"/>
          <w:color w:val="000000"/>
          <w:sz w:val="22"/>
          <w:u w:val="single"/>
        </w:rPr>
        <w:t>Financial Covenants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Consolidated Leverage Ratio</w:t>
      </w:r>
      <w:r>
        <w:rPr>
          <w:rFonts w:ascii="Times New Roman" w:hAnsi="Times New Roman"/>
          <w:color w:val="000000"/>
          <w:sz w:val="22"/>
        </w:rPr>
        <w:t xml:space="preserve">. (x) During any Non-Investment Grade Period, permit the Consolidated Leverage Ratio as of the end of any fiscal quarter of the Borrower, commencing with the first fiscal quarter of the Borrower ending on or after the Effective Date, to be greater than 3.75:1.0;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upon the consummation of a Qualified Acquisition, for each of the four fiscal quarters of the Borrower immediately following the consummation of such Qualified Acquisition (including the fiscal quarter of the Borrower in which such Qualified Acquisition was consummated) (such period of increase, a “</w:t>
      </w:r>
      <w:r>
        <w:rPr>
          <w:rFonts w:ascii="Times New Roman" w:hAnsi="Times New Roman"/>
          <w:color w:val="000000"/>
          <w:sz w:val="22"/>
          <w:u w:val="single"/>
        </w:rPr>
        <w:t>Leverage Increase Period</w:t>
      </w:r>
      <w:r>
        <w:rPr>
          <w:rFonts w:ascii="Times New Roman" w:hAnsi="Times New Roman"/>
          <w:color w:val="000000"/>
          <w:sz w:val="20"/>
        </w:rPr>
        <w:t>”</w:t>
      </w:r>
      <w:r>
        <w:rPr>
          <w:rFonts w:ascii="Times New Roman" w:hAnsi="Times New Roman"/>
          <w:color w:val="000000"/>
          <w:sz w:val="22"/>
        </w:rPr>
        <w:t xml:space="preserve">), the ratios set forth above shall be increased by 0.50:1.0;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for at least two fiscal quarters of the Borrower immediately following each Leverage Increase Period, the Consolidated Leverage Ratio as of the end of such fiscal quarters shall not be greater than 3.75:1.0 prior to giving effect to another Leverage Increase Period, and (ii) after the consummation of a Qualified Acquisition, each Leverage Increase Period shall only apply with respect to the following (and not for any other purpose): (A) the calculation of the Consolidated Leverage Ratio as of the end of any fiscal quarter of the Borrower for purposes of determining compliance with this </w:t>
      </w:r>
      <w:r>
        <w:rPr>
          <w:rFonts w:ascii="Times New Roman" w:hAnsi="Times New Roman"/>
          <w:color w:val="000000"/>
          <w:sz w:val="22"/>
          <w:u w:val="single"/>
        </w:rPr>
        <w:t>Section 8.11(a)</w:t>
      </w:r>
      <w:r>
        <w:rPr>
          <w:rFonts w:ascii="Times New Roman" w:hAnsi="Times New Roman"/>
          <w:color w:val="000000"/>
          <w:sz w:val="22"/>
        </w:rPr>
        <w:t xml:space="preserve">; (B) the calculation required by </w:t>
      </w:r>
      <w:r>
        <w:rPr>
          <w:rFonts w:ascii="Times New Roman" w:hAnsi="Times New Roman"/>
          <w:color w:val="000000"/>
          <w:sz w:val="22"/>
          <w:u w:val="single"/>
        </w:rPr>
        <w:t>clause (d)</w:t>
      </w:r>
      <w:r>
        <w:rPr>
          <w:rFonts w:ascii="Times New Roman" w:hAnsi="Times New Roman"/>
          <w:color w:val="000000"/>
          <w:sz w:val="20"/>
        </w:rPr>
        <w:t xml:space="preserve"> </w:t>
      </w:r>
      <w:r>
        <w:rPr>
          <w:rFonts w:ascii="Times New Roman" w:hAnsi="Times New Roman"/>
          <w:color w:val="000000"/>
          <w:sz w:val="22"/>
        </w:rPr>
        <w:t xml:space="preserve">in the proviso of the definition of “Permitted Acquisition” for the purpose of determining the permissibility of the consummation of the Qualified Acquisition triggering such Leverage Increase Period (it being understood and agreed that (1) if such Qualified Acquisition is a Limited Condition Acquisition, such calculation may be made as of the LCA Test Date with respect to such Limited Condition Acquisition, so long as the Qualified Acquisition Certificate with respect to such Qualified Acquisition is delivered on such LCA Test Date and (2) notwithstanding the delivery of such Qualified Acquisition Certificate, the Leverage Increase Period shall only apply for purposes of the calculation referenced in this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and not for any other purpose, unless and until such Qualified Acquisition is consummated (after which time the Leverage Increase Period shall only apply for the purposes otherwise set forth in this </w:t>
      </w:r>
      <w:r>
        <w:rPr>
          <w:rFonts w:ascii="Times New Roman" w:hAnsi="Times New Roman"/>
          <w:color w:val="000000"/>
          <w:sz w:val="22"/>
          <w:u w:val="single"/>
        </w:rPr>
        <w:t>clause (ii))</w:t>
      </w:r>
      <w:r>
        <w:rPr>
          <w:rFonts w:ascii="Times New Roman" w:hAnsi="Times New Roman"/>
          <w:color w:val="000000"/>
          <w:sz w:val="22"/>
        </w:rPr>
        <w:t xml:space="preserve">); (C) the calculation required by </w:t>
      </w:r>
      <w:r>
        <w:rPr>
          <w:rFonts w:ascii="Times New Roman" w:hAnsi="Times New Roman"/>
          <w:color w:val="000000"/>
          <w:sz w:val="22"/>
          <w:u w:val="single"/>
        </w:rPr>
        <w:t>Section 2.16(d)(iii)</w:t>
      </w:r>
      <w:r>
        <w:rPr>
          <w:rFonts w:ascii="Times New Roman" w:hAnsi="Times New Roman"/>
          <w:color w:val="000000"/>
          <w:sz w:val="20"/>
        </w:rPr>
        <w:t xml:space="preserve"> </w:t>
      </w:r>
      <w:r>
        <w:rPr>
          <w:rFonts w:ascii="Times New Roman" w:hAnsi="Times New Roman"/>
          <w:color w:val="000000"/>
          <w:sz w:val="22"/>
        </w:rPr>
        <w:t xml:space="preserve">for the purpose of determining the permissibility of the incurrence of any Incremental Commitments the proceeds of which will be used to finance all or a portion of the consideration for the Qualified Acquisition triggering such Leverage Increase Period (it being understood and agreed that (1) if such Qualified Acquisition is a Limited Condition Acquisition, such calculation may be made as of the LCA Test Date with respect to such Limited Condition Acquisition, so long as the Qualified Acquisition Certificate with respect to such Qualified Acquisition is delivered on such LCA Test Date and (2) notwithstanding the delivery of such Qualified Acquisition Certificate, the Leverage Increase Period shall only apply for purposes of the calculation referenced in this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and not for any other purpose, unless and until such Qualified Acquisition is consummated (after which time the Leverage Increase Period shall only apply for the purposes otherwise set forth in this </w:t>
      </w:r>
      <w:r>
        <w:rPr>
          <w:rFonts w:ascii="Times New Roman" w:hAnsi="Times New Roman"/>
          <w:color w:val="000000"/>
          <w:sz w:val="22"/>
          <w:u w:val="single"/>
        </w:rPr>
        <w:t>clause (ii))</w:t>
      </w:r>
      <w:r>
        <w:rPr>
          <w:rFonts w:ascii="Times New Roman" w:hAnsi="Times New Roman"/>
          <w:color w:val="000000"/>
          <w:sz w:val="22"/>
        </w:rPr>
        <w:t xml:space="preserve">); and (D) the calculation required by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in the proviso of </w:t>
      </w:r>
      <w:r>
        <w:rPr>
          <w:rFonts w:ascii="Times New Roman" w:hAnsi="Times New Roman"/>
          <w:color w:val="000000"/>
          <w:sz w:val="22"/>
          <w:u w:val="single"/>
        </w:rPr>
        <w:t>Section 8.03(g)(i)</w:t>
      </w:r>
      <w:r>
        <w:rPr>
          <w:rFonts w:ascii="Times New Roman" w:hAnsi="Times New Roman"/>
          <w:color w:val="000000"/>
          <w:sz w:val="20"/>
        </w:rPr>
        <w:t xml:space="preserve"> </w:t>
      </w:r>
      <w:r>
        <w:rPr>
          <w:rFonts w:ascii="Times New Roman" w:hAnsi="Times New Roman"/>
          <w:color w:val="000000"/>
          <w:sz w:val="22"/>
        </w:rPr>
        <w:t>for the purpose of determining the permissibility of the incurrence of any Indebtedness the proceeds of which will be used to finance all or a portion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consideration for the Qualified Acquisition triggering such Leverage Increase Period (it being understood and agreed that (1) if such Qualified Acquisition is a Limited Condition Acquisition, such calculation may be made as of the LCA Test Date with respect to such Limited Condition Acquisition, so long as the Qualified Acquisition Certificate with respect to such Qualified Acquisition is delivered on such LCA Test Date and (2) notwithstanding the delivery of such Qualified Acquisition Certificate, the Leverage Increase Period shall only apply for purposes of the calculation referenced in this </w:t>
      </w:r>
      <w:r>
        <w:rPr>
          <w:rFonts w:ascii="Times New Roman" w:hAnsi="Times New Roman"/>
          <w:color w:val="000000"/>
          <w:sz w:val="22"/>
          <w:u w:val="single"/>
        </w:rPr>
        <w:t>clause (D)</w:t>
      </w:r>
      <w:r>
        <w:rPr>
          <w:rFonts w:ascii="Times New Roman" w:hAnsi="Times New Roman"/>
          <w:color w:val="000000"/>
          <w:sz w:val="20"/>
        </w:rPr>
        <w:t xml:space="preserve"> </w:t>
      </w:r>
      <w:r>
        <w:rPr>
          <w:rFonts w:ascii="Times New Roman" w:hAnsi="Times New Roman"/>
          <w:color w:val="000000"/>
          <w:sz w:val="22"/>
        </w:rPr>
        <w:t xml:space="preserve">and not for any other purpose, unless and until such Qualified Acquisition is consummated (after which time the Leverage Increase Period shall only apply for the purposes otherwise set forth in this </w:t>
      </w:r>
      <w:r>
        <w:rPr>
          <w:rFonts w:ascii="Times New Roman" w:hAnsi="Times New Roman"/>
          <w:color w:val="000000"/>
          <w:sz w:val="22"/>
          <w:u w:val="single"/>
        </w:rPr>
        <w:t>clause (ii)</w:t>
      </w:r>
      <w:r>
        <w:rPr>
          <w:rFonts w:ascii="Times New Roman" w:hAnsi="Times New Roman"/>
          <w:color w:val="000000"/>
          <w:sz w:val="22"/>
        </w:rPr>
        <w:t>)) (y) during any Investment Grade Period, permit the Consolidated Gross Leverage Ratio as of the end of any fiscal quarter of the Borrower to be greater than 3.50:1.0.</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8.12 </w:t>
      </w:r>
      <w:r>
        <w:rPr>
          <w:rFonts w:ascii="Times New Roman" w:hAnsi="Times New Roman"/>
          <w:b w:val="false"/>
          <w:color w:val="000000"/>
          <w:sz w:val="22"/>
          <w:u w:val="single"/>
        </w:rPr>
        <w:t>Other Indebtedness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Amend or modify any Junior Indebtedness if such amendment or modification would add or change any terms in a manner materially adverse to the Borrower or any Subsidiary (including any amendment or modification that would shorten the final maturity or average life to maturity or require any payment to be made sooner than originally scheduled or increase the interest rate applicable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Make or offer to make any voluntary or optional payment, prepayment, repurchase or redemption of or otherwise defease or segregate funds with respect to the principal of any Junior Indebtedness (other than (w) scheduled payments of principal, (x) customary mandatory prepayments, mandatory repurchases and mandatory redemptions, (y) [reserved] and (z) payment, prepayment, repurchase or redemption to the extent made with Equity Interests (other than Disqualified Stock)), except such payments in an unlimited amount subject to no Event of Default at the time of such payment and (i) in the case of unsecured Indebtedness (including any Permitted Convertible Indebtedness up to the principal amount plus accrued interest thereon) or Indebtedness secured on a junior basis to the Liens securing the Obligations, compliance with the financial covenants set forth in </w:t>
      </w:r>
      <w:r>
        <w:rPr>
          <w:rFonts w:ascii="Times New Roman" w:hAnsi="Times New Roman"/>
          <w:color w:val="000000"/>
          <w:sz w:val="22"/>
          <w:u w:val="single"/>
        </w:rPr>
        <w:t>Section 8.11</w:t>
      </w:r>
      <w:r>
        <w:rPr>
          <w:rFonts w:ascii="Times New Roman" w:hAnsi="Times New Roman"/>
          <w:color w:val="000000"/>
          <w:sz w:val="20"/>
        </w:rPr>
        <w:t xml:space="preserve"> </w:t>
      </w:r>
      <w:r>
        <w:rPr>
          <w:rFonts w:ascii="Times New Roman" w:hAnsi="Times New Roman"/>
          <w:color w:val="000000"/>
          <w:sz w:val="22"/>
        </w:rPr>
        <w:t xml:space="preserve">(calculated on a Pro Forma Basis) (without giving effect to the Leverage Increase Period thereunder) and (ii) in the case of Subordinated Indebtedness and of any Permitted Convertible Indebtedness in excess of the principal amount plus accrued interest thereon, the Borrower shall be in compliance with, after giving effect to any such payment on a Pro Forma Basis, (A) the financial covenants set forth in </w:t>
      </w:r>
      <w:r>
        <w:rPr>
          <w:rFonts w:ascii="Times New Roman" w:hAnsi="Times New Roman"/>
          <w:color w:val="000000"/>
          <w:sz w:val="22"/>
          <w:u w:val="single"/>
        </w:rPr>
        <w:t>Section 8.11</w:t>
      </w:r>
      <w:r>
        <w:rPr>
          <w:rFonts w:ascii="Times New Roman" w:hAnsi="Times New Roman"/>
          <w:color w:val="000000"/>
          <w:sz w:val="20"/>
        </w:rPr>
        <w:t xml:space="preserve"> </w:t>
      </w:r>
      <w:r>
        <w:rPr>
          <w:rFonts w:ascii="Times New Roman" w:hAnsi="Times New Roman"/>
          <w:color w:val="000000"/>
          <w:sz w:val="22"/>
        </w:rPr>
        <w:t xml:space="preserve">(without giving effect to the Leverage Increase Period thereunder) recomputed as of the end of the period of the four fiscal quarters of the Borrower most recently ended for which the Borrower has delivered financial statements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(or, prior to the first such delivery, the financial statements for the fiscal quarter ended September 30, 2025) and (B) the Consolidated Leverage Ratio recomputed as of the end of the period of the four fiscal quarters of the Borrower most recently ended for which the Borrower has delivered financial statements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(or, prior to the first such delivery, the financial statements for the fiscal quarter ended September 30, 2025) is not greater than the Consolidated Leverage Ratio that is 0.25:1.00 lower than the Consolidated Leverage Ratio required under </w:t>
      </w:r>
      <w:r>
        <w:rPr>
          <w:rFonts w:ascii="Times New Roman" w:hAnsi="Times New Roman"/>
          <w:color w:val="000000"/>
          <w:sz w:val="22"/>
          <w:u w:val="single"/>
        </w:rPr>
        <w:t>Section 8.11(a)</w:t>
      </w:r>
      <w:r>
        <w:rPr>
          <w:rFonts w:ascii="Times New Roman" w:hAnsi="Times New Roman"/>
          <w:color w:val="000000"/>
          <w:sz w:val="20"/>
        </w:rPr>
        <w:t xml:space="preserve"> </w:t>
      </w:r>
      <w:r>
        <w:rPr>
          <w:rFonts w:ascii="Times New Roman" w:hAnsi="Times New Roman"/>
          <w:color w:val="000000"/>
          <w:sz w:val="22"/>
        </w:rPr>
        <w:t>(without giving effect to the Leverage Increase Period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Make any payment of principal or interest on any Subordinated Indebtedness in violation of the subordination provisions of such Subordinated Indebtedness.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8.13 </w:t>
      </w:r>
      <w:r>
        <w:rPr>
          <w:rFonts w:ascii="Times New Roman" w:hAnsi="Times New Roman"/>
          <w:b w:val="false"/>
          <w:color w:val="000000"/>
          <w:sz w:val="22"/>
          <w:u w:val="single"/>
        </w:rPr>
        <w:t>Organization Documents; Fiscal Year; Legal Name, State of Organization and Form of Entity</w:t>
      </w:r>
      <w:r>
        <w:rPr>
          <w:rFonts w:ascii="Times New Roman" w:hAnsi="Times New Roman"/>
          <w:b w:val="false"/>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Amend, modify or change its Organization Documents in a manner materially adverse to the Lenders.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Change its fiscal year;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upon at least 5 Business Days’ prior written notice (or such shorter notice as is agreed by the Administrative Agent in its sole discretion), the Borrower or any Subsidiary shall be permitted to change its fiscal year to any other fiscal year, and, in connection therewith, the Borrower and the Administrative Agent shall make, and the Lenders hereby authorize the Administrative Agent to make, any adjustments to this Agreement and the other Loan Documents that are necessary to reflect such change in fiscal year.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With respect to the Loan Parties, change its name, state of organization or form of organization without providing ten days prior written notice to the Administrative Agent (or such lesser period as the Administrative Agent may agree).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8.14 </w:t>
      </w:r>
      <w:r>
        <w:rPr>
          <w:rFonts w:ascii="Times New Roman" w:hAnsi="Times New Roman"/>
          <w:b w:val="false"/>
          <w:color w:val="000000"/>
          <w:sz w:val="22"/>
          <w:u w:val="single"/>
        </w:rPr>
        <w:t>Sale Leasebacks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Enter into any Sale and Leaseback Transaction other than Permitted Sale and Leaseback Transactions.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8.15 </w:t>
      </w:r>
      <w:r>
        <w:rPr>
          <w:rFonts w:ascii="Times New Roman" w:hAnsi="Times New Roman"/>
          <w:b w:val="false"/>
          <w:color w:val="000000"/>
          <w:sz w:val="22"/>
          <w:u w:val="single"/>
        </w:rPr>
        <w:t>Sanctions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Use any Credit Extension or the proceeds of any Credit Extension, or lend, contribute or otherwise make available such Credit Extension or the proceeds of any Credit Extension to any Person, to fund any activities of or business with any Person, or in any Designated Jurisdiction, that, at the time of such funding, is the subject of Sanctions except to the extent permissible for a Person required to comply with Sanctions, or in any other manner that will result in a violation by any Person (including any Person participating in the transaction, whether as Lender, Arranger, Administrative Agent, L/C Issuer, or otherwise) of Sanctions.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8.16 </w:t>
      </w:r>
      <w:r>
        <w:rPr>
          <w:rFonts w:ascii="Times New Roman" w:hAnsi="Times New Roman"/>
          <w:b w:val="false"/>
          <w:color w:val="000000"/>
          <w:sz w:val="22"/>
          <w:u w:val="single"/>
        </w:rPr>
        <w:t>Anti-Corruption Laws</w:t>
      </w:r>
      <w:r>
        <w:rPr>
          <w:rFonts w:ascii="Times New Roman" w:hAnsi="Times New Roman"/>
          <w:b w:val="false"/>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Use any Credit Extension or the proceeds of any Credit Extension for any purpose which would breach the United States Foreign Corrupt Practices Act of 1977, the UK Bribery Act 2010 or any other similar anti-corruption legislation in other jurisdictions.</w:t>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8.17 </w:t>
      </w:r>
      <w:r>
        <w:rPr>
          <w:rFonts w:ascii="Times New Roman" w:hAnsi="Times New Roman"/>
          <w:b w:val="false"/>
          <w:color w:val="000000"/>
          <w:sz w:val="22"/>
          <w:u w:val="single"/>
        </w:rPr>
        <w:t>Reinstatement Event</w:t>
      </w:r>
      <w:r>
        <w:rPr>
          <w:rFonts w:ascii="Times New Roman" w:hAnsi="Times New Roman"/>
          <w:b w:val="false"/>
          <w:color w:val="000000"/>
          <w:sz w:val="22"/>
        </w:rPr>
        <w:t>.</w:t>
      </w:r>
    </w:p>
    <w:p>
      <w:pPr>
        <w:pStyle w:val="TextBody"/>
        <w:bidi w:val="0"/>
        <w:jc w:val="both"/>
        <w:rPr>
          <w:rFonts w:ascii="Times New Roman" w:hAnsi="Times New Roman"/>
          <w:sz w:val="20"/>
        </w:rPr>
      </w:pPr>
      <w:r>
        <w:rPr>
          <w:rFonts w:ascii="Times New Roman" w:hAnsi="Times New Roman"/>
          <w:color w:val="000000"/>
          <w:sz w:val="22"/>
        </w:rPr>
        <w:t xml:space="preserve">Upon a Reinstatement Event, the Borrower shall within forty-five (45) days (or such longer period of time as the Administrative Agent may agree in its reasonable discretion) take all actions, execute all documents, deliver any documents and make any filings, in each case as reasonably requested by the Administrative Agent, to cause (i) all prior Guarantors released pursuant to </w:t>
      </w:r>
      <w:r>
        <w:rPr>
          <w:rFonts w:ascii="Times New Roman" w:hAnsi="Times New Roman"/>
          <w:color w:val="000000"/>
          <w:sz w:val="22"/>
          <w:u w:val="single"/>
        </w:rPr>
        <w:t>Section 10.10(2)</w:t>
      </w:r>
      <w:r>
        <w:rPr>
          <w:rFonts w:ascii="Times New Roman" w:hAnsi="Times New Roman"/>
          <w:color w:val="000000"/>
          <w:sz w:val="20"/>
        </w:rPr>
        <w:t xml:space="preserve"> </w:t>
      </w:r>
      <w:r>
        <w:rPr>
          <w:rFonts w:ascii="Times New Roman" w:hAnsi="Times New Roman"/>
          <w:color w:val="000000"/>
          <w:sz w:val="22"/>
        </w:rPr>
        <w:t xml:space="preserve">to become Guarantors, (ii) all Persons who would have become Guarantors pursuant to </w:t>
      </w:r>
      <w:r>
        <w:rPr>
          <w:rFonts w:ascii="Times New Roman" w:hAnsi="Times New Roman"/>
          <w:color w:val="000000"/>
          <w:sz w:val="22"/>
          <w:u w:val="single"/>
        </w:rPr>
        <w:t>Section 7.12(a)</w:t>
      </w:r>
      <w:r>
        <w:rPr>
          <w:rFonts w:ascii="Times New Roman" w:hAnsi="Times New Roman"/>
          <w:color w:val="000000"/>
          <w:sz w:val="20"/>
        </w:rPr>
        <w:t xml:space="preserve"> </w:t>
      </w:r>
      <w:r>
        <w:rPr>
          <w:rFonts w:ascii="Times New Roman" w:hAnsi="Times New Roman"/>
          <w:color w:val="000000"/>
          <w:sz w:val="22"/>
        </w:rPr>
        <w:t xml:space="preserve">if a Non-Investment Grade Period had then been in effect to become Guarantors, (iii) all prior Collateral released pursuant to </w:t>
      </w:r>
      <w:r>
        <w:rPr>
          <w:rFonts w:ascii="Times New Roman" w:hAnsi="Times New Roman"/>
          <w:color w:val="000000"/>
          <w:sz w:val="22"/>
          <w:u w:val="single"/>
        </w:rPr>
        <w:t>Section 10.10(2)</w:t>
      </w:r>
      <w:r>
        <w:rPr>
          <w:rFonts w:ascii="Times New Roman" w:hAnsi="Times New Roman"/>
          <w:color w:val="000000"/>
          <w:sz w:val="20"/>
        </w:rPr>
        <w:t xml:space="preserve"> </w:t>
      </w:r>
      <w:r>
        <w:rPr>
          <w:rFonts w:ascii="Times New Roman" w:hAnsi="Times New Roman"/>
          <w:color w:val="000000"/>
          <w:sz w:val="22"/>
        </w:rPr>
        <w:t xml:space="preserve">to be repledged to the Administrative Agent and (iv) all Collateral acquired during the applicable Investment Grade Period to be pledged to the Administrative Agent, as and to the extent such Guarantors and Collateral were, or were required to be, Guarantors or pledged under the applicable Loan Documents as in effect immediately prior to such release. Any guaranty or repledge of Collateral contemplated by this </w:t>
      </w:r>
      <w:r>
        <w:rPr>
          <w:rFonts w:ascii="Times New Roman" w:hAnsi="Times New Roman"/>
          <w:color w:val="000000"/>
          <w:sz w:val="22"/>
          <w:u w:val="single"/>
        </w:rPr>
        <w:t>Section 8.17</w:t>
      </w:r>
      <w:r>
        <w:rPr>
          <w:rFonts w:ascii="Times New Roman" w:hAnsi="Times New Roman"/>
          <w:color w:val="000000"/>
          <w:sz w:val="20"/>
        </w:rPr>
        <w:t xml:space="preserve"> </w:t>
      </w:r>
      <w:r>
        <w:rPr>
          <w:rFonts w:ascii="Times New Roman" w:hAnsi="Times New Roman"/>
          <w:color w:val="000000"/>
          <w:sz w:val="22"/>
        </w:rPr>
        <w:t>shall be at the sole cost and expense of the Borrower.</w:t>
      </w:r>
      <w:r>
        <w:rPr>
          <w:rFonts w:ascii="Times New Roman" w:hAnsi="Times New Roman"/>
          <w:color w:val="000000"/>
          <w:sz w:val="20"/>
        </w:rPr>
        <w:t xml:space="preserve"> </w:t>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8.18 </w:t>
      </w:r>
      <w:r>
        <w:rPr>
          <w:rFonts w:ascii="Times New Roman" w:hAnsi="Times New Roman"/>
          <w:b w:val="false"/>
          <w:color w:val="000000"/>
          <w:sz w:val="22"/>
          <w:u w:val="single"/>
        </w:rPr>
        <w:t>Outbound Investment Rules.</w:t>
      </w:r>
    </w:p>
    <w:p>
      <w:pPr>
        <w:pStyle w:val="TextBody"/>
        <w:bidi w:val="0"/>
        <w:jc w:val="center"/>
        <w:rPr>
          <w:rFonts w:ascii="Times New Roman" w:hAnsi="Times New Roman"/>
          <w:color w:val="000000"/>
          <w:sz w:val="22"/>
        </w:rPr>
      </w:pPr>
      <w:r>
        <w:rPr>
          <w:rFonts w:ascii="Times New Roman" w:hAnsi="Times New Roman"/>
          <w:color w:val="000000"/>
          <w:sz w:val="22"/>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Lenders or L/C Issuers to be in violation of the Outbound Investment Rules or cause Administrative Agent, Lenders or L/C Issuers to be legally prohibited by the Outbound Investment Rules from performing under this Agreement.</w:t>
      </w:r>
    </w:p>
    <w:p>
      <w:pPr>
        <w:pStyle w:val="TextBody"/>
        <w:bidi w:val="0"/>
        <w:spacing w:before="0" w:after="240"/>
        <w:jc w:val="both"/>
        <w:rPr/>
      </w:pPr>
      <w:r>
        <w:rPr/>
        <w:t> </w:t>
      </w:r>
    </w:p>
    <w:p>
      <w:pPr>
        <w:pStyle w:val="TextBody"/>
        <w:bidi w:val="0"/>
        <w:jc w:val="left"/>
        <w:rPr/>
      </w:pPr>
      <w:r>
        <w:rPr/>
        <w:t> </w:t>
      </w:r>
    </w:p>
    <w:p>
      <w:pPr>
        <w:pStyle w:val="Heading1"/>
        <w:bidi w:val="0"/>
        <w:spacing w:before="0" w:after="240"/>
        <w:jc w:val="center"/>
        <w:rPr>
          <w:rFonts w:ascii="Times New Roman" w:hAnsi="Times New Roman"/>
          <w:b w:val="false"/>
          <w:caps/>
          <w:color w:val="000000"/>
          <w:sz w:val="22"/>
        </w:rPr>
      </w:pPr>
      <w:r>
        <w:rPr>
          <w:rFonts w:ascii="Times New Roman" w:hAnsi="Times New Roman"/>
          <w:b w:val="false"/>
          <w:caps/>
          <w:color w:val="000000"/>
          <w:sz w:val="22"/>
        </w:rPr>
        <w:t>Article IX.</w:t>
        <w:br/>
        <w:br/>
        <w:t>EVENTS OF DEFAULT AND REMEDIES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9.01 </w:t>
      </w:r>
      <w:r>
        <w:rPr>
          <w:rFonts w:ascii="Times New Roman" w:hAnsi="Times New Roman"/>
          <w:b w:val="false"/>
          <w:color w:val="000000"/>
          <w:sz w:val="22"/>
          <w:u w:val="single"/>
        </w:rPr>
        <w:t>Events of Default</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Any of the following shall constitute an “</w:t>
      </w:r>
      <w:r>
        <w:rPr>
          <w:rFonts w:ascii="Times New Roman" w:hAnsi="Times New Roman"/>
          <w:color w:val="000000"/>
          <w:sz w:val="22"/>
          <w:u w:val="single"/>
        </w:rPr>
        <w:t>Event of Default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Non-Payment</w:t>
      </w:r>
      <w:r>
        <w:rPr>
          <w:rFonts w:ascii="Times New Roman" w:hAnsi="Times New Roman"/>
          <w:color w:val="000000"/>
          <w:sz w:val="22"/>
        </w:rPr>
        <w:t>. Any Loan Party fails to pay (i) when and as required to be paid herein, any amount of principal of any Loan or any L/C Obligation, or (ii) within three Business Days after the same becomes due, any interest on any Loan or on any L/C Obligation, or any fee due hereunder, or (iii) within five Business Days after the same becomes due, any other amount payable hereunder or under any other Loan Document;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Specific Covenants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On and after the Effective Date, any Loan Party fails to perform or observe any term, covenant or agreement contained in any of </w:t>
      </w:r>
      <w:r>
        <w:rPr>
          <w:rFonts w:ascii="Times New Roman" w:hAnsi="Times New Roman"/>
          <w:color w:val="000000"/>
          <w:sz w:val="22"/>
          <w:u w:val="single"/>
        </w:rPr>
        <w:t>Section 7.01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7.02</w:t>
      </w:r>
      <w:r>
        <w:rPr>
          <w:rFonts w:ascii="Times New Roman" w:hAnsi="Times New Roman"/>
          <w:color w:val="000000"/>
          <w:sz w:val="20"/>
        </w:rPr>
        <w:t xml:space="preserve"> </w:t>
      </w:r>
      <w:r>
        <w:rPr>
          <w:rFonts w:ascii="Times New Roman" w:hAnsi="Times New Roman"/>
          <w:color w:val="000000"/>
          <w:sz w:val="22"/>
        </w:rPr>
        <w:t>and such failure continues for five days;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On and after the Effective Date, any Loan Party fails to perform or observe any term, covenant or agreement contained in any of </w:t>
      </w:r>
      <w:r>
        <w:rPr>
          <w:rFonts w:ascii="Times New Roman" w:hAnsi="Times New Roman"/>
          <w:color w:val="000000"/>
          <w:sz w:val="22"/>
          <w:u w:val="single"/>
        </w:rPr>
        <w:t>Section 7.03(a)</w:t>
      </w:r>
      <w:r>
        <w:rPr>
          <w:rFonts w:ascii="Times New Roman" w:hAnsi="Times New Roman"/>
          <w:color w:val="000000"/>
          <w:sz w:val="22"/>
        </w:rPr>
        <w:t xml:space="preserve">, </w:t>
      </w:r>
      <w:r>
        <w:rPr>
          <w:rFonts w:ascii="Times New Roman" w:hAnsi="Times New Roman"/>
          <w:color w:val="000000"/>
          <w:sz w:val="22"/>
          <w:u w:val="single"/>
        </w:rPr>
        <w:t>7.05(a)</w:t>
      </w:r>
      <w:r>
        <w:rPr>
          <w:rFonts w:ascii="Times New Roman" w:hAnsi="Times New Roman"/>
          <w:color w:val="000000"/>
          <w:sz w:val="22"/>
        </w:rPr>
        <w:t xml:space="preserve">, </w:t>
      </w:r>
      <w:r>
        <w:rPr>
          <w:rFonts w:ascii="Times New Roman" w:hAnsi="Times New Roman"/>
          <w:color w:val="000000"/>
          <w:sz w:val="22"/>
          <w:u w:val="single"/>
        </w:rPr>
        <w:t>7.10</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7.11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Article VIII</w:t>
      </w:r>
      <w:r>
        <w:rPr>
          <w:rFonts w:ascii="Times New Roman" w:hAnsi="Times New Roman"/>
          <w:color w:val="000000"/>
          <w:sz w:val="22"/>
        </w:rPr>
        <w:t>;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Other Defaults</w:t>
      </w:r>
      <w:r>
        <w:rPr>
          <w:rFonts w:ascii="Times New Roman" w:hAnsi="Times New Roman"/>
          <w:color w:val="000000"/>
          <w:sz w:val="22"/>
        </w:rPr>
        <w:t xml:space="preserve">. On and after the Effective Date, any Loan Party fails to perform or observe any other covenant or agreement (not specified in </w:t>
      </w:r>
      <w:r>
        <w:rPr>
          <w:rFonts w:ascii="Times New Roman" w:hAnsi="Times New Roman"/>
          <w:color w:val="000000"/>
          <w:sz w:val="22"/>
          <w:u w:val="single"/>
        </w:rPr>
        <w:t>Sections 9.01(a)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2"/>
        </w:rPr>
        <w:t>) contained in any Loan Document on its part to be performed or observed and such failure continues for thirty days after any Loan Party becomes aware of such breach;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Representations and Warranties</w:t>
      </w:r>
      <w:r>
        <w:rPr>
          <w:rFonts w:ascii="Times New Roman" w:hAnsi="Times New Roman"/>
          <w:color w:val="000000"/>
          <w:sz w:val="22"/>
        </w:rPr>
        <w:t>. Any representation, warranty, certification or statement of fact made or deemed made by or on behalf of any Loan Party herein, in any other Loan Document, or in any document delivered in connection herewith or therewith shall be incorrect or misleading when made or deemed made;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Cross-Default</w:t>
      </w:r>
      <w:r>
        <w:rPr>
          <w:rFonts w:ascii="Times New Roman" w:hAnsi="Times New Roman"/>
          <w:color w:val="000000"/>
          <w:sz w:val="22"/>
        </w:rPr>
        <w:t>. On and after the Effective Date: (i) the Borrower or any Subsidiary fails to make any payment when due (whether by scheduled maturity, required prepayment, acceleration, demand, or otherwise) in respect of any Material Indebtedness; (ii) the Borrower or any Subsidiary fails to observe or perform any other agreement or condition relating to any Material Indebtedness or contained in any instrument or agreement evidencing, securing or relating thereto, or any other event occurs (excluding, in the case of any Permitted Convertible Indebtedness,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event or condition that would permit the holder or beneficiary of such Permitted Convertible Indebtedness to convert such Permitted Convertible Indebtedness into cash, shares of the Borrower’s common stock or a combination thereof, in each case to the extent permitted hereunder), the effect of which default or other event is to cause, or to permit the holder or holders of such Material Indebtedness (or a trustee or agent on behalf of such holder or holders) to cause, with the giving of notice if required, such Material Indebtedness to be demanded or to become due or to be repurchased, prepaid, defeased or redeemed (automatically or otherwise), or an offer to repurchase, prepay, defease or redeem such Material Indebtedness to be made, prior to its stated maturity; or (iii) there occurs under any Swap Contract an Early Termination Date (as defined in such Swap Contract) resulting from (A) any event of default under such Swap Contract as to which the Borrower or any Subsidiary is the Defaulting Party (as defined in such Swap Contract) or (B) any Termination Event (as so defined) under such Swap Contract as to which the Borrower or any Subsidiary is an Affected Party (as so defined) and, in either event, the Swap Termination Value owed by the Borrower or such Subsidiary as a result thereof is greater than the Threshold Amount;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this </w:t>
      </w:r>
      <w:r>
        <w:rPr>
          <w:rFonts w:ascii="Times New Roman" w:hAnsi="Times New Roman"/>
          <w:color w:val="000000"/>
          <w:sz w:val="22"/>
          <w:u w:val="single"/>
        </w:rPr>
        <w:t>Section 9.01(e)</w:t>
      </w:r>
      <w:r>
        <w:rPr>
          <w:rFonts w:ascii="Times New Roman" w:hAnsi="Times New Roman"/>
          <w:color w:val="000000"/>
          <w:sz w:val="20"/>
        </w:rPr>
        <w:t xml:space="preserve"> </w:t>
      </w:r>
      <w:r>
        <w:rPr>
          <w:rFonts w:ascii="Times New Roman" w:hAnsi="Times New Roman"/>
          <w:color w:val="000000"/>
          <w:sz w:val="22"/>
        </w:rPr>
        <w:t>shall not apply to Indebtedness secured by a Permitted Lien that becomes due as a result of the voluntary sale or transfer of the property or assets securing such Indebtedness in a sale or transfer permitted under this Agreement, so long as such Indebtedness is repaid when required under the documents providing for such Indebtedness;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Insolvency Proceedings, Etc.</w:t>
      </w:r>
      <w:r>
        <w:rPr>
          <w:rFonts w:ascii="Times New Roman" w:hAnsi="Times New Roman"/>
          <w:color w:val="000000"/>
          <w:sz w:val="20"/>
        </w:rPr>
        <w:t xml:space="preserve"> </w:t>
      </w:r>
      <w:r>
        <w:rPr>
          <w:rFonts w:ascii="Times New Roman" w:hAnsi="Times New Roman"/>
          <w:color w:val="000000"/>
          <w:sz w:val="22"/>
        </w:rPr>
        <w:t>The Borrower or any Subsidiary (other than an Immaterial Foreign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calendar days; or any proceeding under any Debtor Relief Law relating to any such Person or to all or any material part of its property is instituted without the consent of such Person and continues undismissed or unstayed for sixty calendar days, or an order for relief is entered in any such proceeding;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Inability to Pay Debts; Attachment</w:t>
      </w:r>
      <w:r>
        <w:rPr>
          <w:rFonts w:ascii="Times New Roman" w:hAnsi="Times New Roman"/>
          <w:color w:val="000000"/>
          <w:sz w:val="22"/>
        </w:rPr>
        <w:t>. (i) The Borrower or any Subsidiary (other than an Immaterial Foreign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days after its issue or levy;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Judgments</w:t>
      </w:r>
      <w:r>
        <w:rPr>
          <w:rFonts w:ascii="Times New Roman" w:hAnsi="Times New Roman"/>
          <w:color w:val="000000"/>
          <w:sz w:val="22"/>
        </w:rPr>
        <w:t>. There is entered against the Borrower or any Subsidiary (i) one or more final judgments or orders for the payment of money in an aggregate amount (as to all such judgments or orders) exceeding the Threshold Amount (to the extent not covered by independent third-party insurance as to which the insurer has been notified of the claim and does not dispute coverage), or (ii) any one or more non-monetary final judgments that have, or would reasonably be expected to have a Material Adverse Effect and, in either case, (A) enforcement proceedings are commenced by any creditor upon such judgment or order to attach or levy upon any assets of the Borrower or any Subsidiary, or (B) there is a period of thirty consecutive days during which a stay of enforcement of such judgment, by reason of a pending appeal or otherwise, is not in effect;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ERISA</w:t>
      </w:r>
      <w:r>
        <w:rPr>
          <w:rFonts w:ascii="Times New Roman" w:hAnsi="Times New Roman"/>
          <w:color w:val="000000"/>
          <w:sz w:val="22"/>
        </w:rPr>
        <w:t>. (i) An ERISA Event occurs with respect to a Pension Plan or Multiemployer Plan which has resulted or would reasonably be expected to result in liability of one or more Loan Parties under Title IV of ERISA to the Pension Plan, Multiemployer Plan or the PBGC in an aggregate amount in excess of the Threshold Amount, (ii) the imposition of a Lien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under Section 303(k) of ERISA or Section 412(c) of the Code on the assets of any Loan Party or ERISA Affiliate which Lien is not cured within 30 days or (iii) one or more Loan Parties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Invalidity of Loan Documents</w:t>
      </w:r>
      <w:r>
        <w:rPr>
          <w:rFonts w:ascii="Times New Roman" w:hAnsi="Times New Roman"/>
          <w:color w:val="000000"/>
          <w:sz w:val="22"/>
        </w:rPr>
        <w:t>. Any provision of any Loan Document, at any time after its execution and delivery and for any reason other than as expressly permitted hereunder or thereunder or satisfaction in full of all the Obligations, ceases to be in full force and effect or ceases to give the Administrative Agent any part of the Liens purported to be created thereby;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Loan Document;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w:t>
      </w:r>
      <w:r>
        <w:rPr>
          <w:rFonts w:ascii="Times New Roman" w:hAnsi="Times New Roman"/>
          <w:color w:val="000000"/>
          <w:sz w:val="22"/>
          <w:u w:val="single"/>
        </w:rPr>
        <w:t>Change of Control</w:t>
      </w:r>
      <w:r>
        <w:rPr>
          <w:rFonts w:ascii="Times New Roman" w:hAnsi="Times New Roman"/>
          <w:color w:val="000000"/>
          <w:sz w:val="22"/>
        </w:rPr>
        <w:t>. There occurs any Change of Control.</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9.02 </w:t>
      </w:r>
      <w:r>
        <w:rPr>
          <w:rFonts w:ascii="Times New Roman" w:hAnsi="Times New Roman"/>
          <w:b w:val="false"/>
          <w:color w:val="000000"/>
          <w:sz w:val="22"/>
          <w:u w:val="single"/>
        </w:rPr>
        <w:t>Remedies Upon Event of Default</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any Event of Default occurs and is continuing, the Administrative Agent shall, at the request of, or may, with the consent of, the Required Lenders, take any or all of the following actions: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declare the commitment of each Lender to make Loans and any obligation of an L/C Issuer to make L/C Credit Extensions to be terminated, whereupon such commitments and obligation shall be terminated;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require that the Borrower Cash Collateralize the L/C Obligations (in an amount equal to the Minimum Collateral Amount with respect thereto);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exercise on behalf of itself, the Lenders and the L/C Issuers all rights and remedies available to it, the Lenders and the L/C Issuers under the Loan Documents or applicable Law or at equity;</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upon the occurrence of an actual or deemed entry of an order for relief with respect to the Borrower under the Bankruptcy Code of the United States, the obligation of each Lender to make Loans and any obligation of an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9.03 </w:t>
      </w:r>
      <w:r>
        <w:rPr>
          <w:rFonts w:ascii="Times New Roman" w:hAnsi="Times New Roman"/>
          <w:b w:val="false"/>
          <w:color w:val="000000"/>
          <w:sz w:val="22"/>
          <w:u w:val="single"/>
        </w:rPr>
        <w:t>Application of Funds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After the exercise of remedies provided for in </w:t>
      </w:r>
      <w:r>
        <w:rPr>
          <w:rFonts w:ascii="Times New Roman" w:hAnsi="Times New Roman"/>
          <w:color w:val="000000"/>
          <w:sz w:val="22"/>
          <w:u w:val="single"/>
        </w:rPr>
        <w:t>Section 9.02</w:t>
      </w:r>
      <w:r>
        <w:rPr>
          <w:rFonts w:ascii="Times New Roman" w:hAnsi="Times New Roman"/>
          <w:color w:val="000000"/>
          <w:sz w:val="20"/>
        </w:rPr>
        <w:t xml:space="preserve"> </w:t>
      </w:r>
      <w:r>
        <w:rPr>
          <w:rFonts w:ascii="Times New Roman" w:hAnsi="Times New Roman"/>
          <w:color w:val="000000"/>
          <w:sz w:val="22"/>
        </w:rPr>
        <w:t xml:space="preserve">(or after the Loans have automatically become immediately due and payable and the L/C Obligations have automatically been required to be Cash Collateralized as set forth in the proviso to </w:t>
      </w:r>
      <w:r>
        <w:rPr>
          <w:rFonts w:ascii="Times New Roman" w:hAnsi="Times New Roman"/>
          <w:color w:val="000000"/>
          <w:sz w:val="22"/>
          <w:u w:val="single"/>
        </w:rPr>
        <w:t>Section 9.02</w:t>
      </w:r>
      <w:r>
        <w:rPr>
          <w:rFonts w:ascii="Times New Roman" w:hAnsi="Times New Roman"/>
          <w:color w:val="000000"/>
          <w:sz w:val="22"/>
        </w:rPr>
        <w:t>), any amounts received on account of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Obligations shall, subject to the provisions of </w:t>
      </w:r>
      <w:r>
        <w:rPr>
          <w:rFonts w:ascii="Times New Roman" w:hAnsi="Times New Roman"/>
          <w:color w:val="000000"/>
          <w:sz w:val="22"/>
          <w:u w:val="single"/>
        </w:rPr>
        <w:t>Sections 2.14</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2.15</w:t>
      </w:r>
      <w:r>
        <w:rPr>
          <w:rFonts w:ascii="Times New Roman" w:hAnsi="Times New Roman"/>
          <w:color w:val="000000"/>
          <w:sz w:val="22"/>
        </w:rPr>
        <w:t>, be applied by the Administrative Agent in the following order:</w:t>
      </w:r>
    </w:p>
    <w:p>
      <w:pPr>
        <w:pStyle w:val="TextBody"/>
        <w:bidi w:val="0"/>
        <w:spacing w:before="0" w:after="240"/>
        <w:jc w:val="both"/>
        <w:rPr>
          <w:rFonts w:ascii="Times New Roman" w:hAnsi="Times New Roman"/>
          <w:sz w:val="20"/>
        </w:rPr>
      </w:pPr>
      <w:r>
        <w:rPr>
          <w:rFonts w:ascii="Times New Roman" w:hAnsi="Times New Roman"/>
          <w:color w:val="000000"/>
          <w:sz w:val="22"/>
          <w:u w:val="single"/>
        </w:rPr>
        <w:t>First</w:t>
      </w:r>
      <w:r>
        <w:rPr>
          <w:rFonts w:ascii="Times New Roman" w:hAnsi="Times New Roman"/>
          <w:color w:val="000000"/>
          <w:sz w:val="22"/>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hAnsi="Times New Roman"/>
          <w:color w:val="000000"/>
          <w:sz w:val="22"/>
          <w:u w:val="single"/>
        </w:rPr>
        <w:t>Article III</w:t>
      </w:r>
      <w:r>
        <w:rPr>
          <w:rFonts w:ascii="Times New Roman" w:hAnsi="Times New Roman"/>
          <w:color w:val="000000"/>
          <w:sz w:val="22"/>
        </w:rPr>
        <w:t>) payable to the Administrative Agent in its capacity as such;</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Second</w:t>
      </w:r>
      <w:r>
        <w:rPr>
          <w:rFonts w:ascii="Times New Roman" w:hAnsi="Times New Roman"/>
          <w:color w:val="000000"/>
          <w:sz w:val="22"/>
        </w:rPr>
        <w:t xml:space="preserve">, to payment of that portion of the Obligations constituting fees, indemnities and other amounts (other than principal, interest and Letter of Credit Fees and Obligations owing under any Secured Hedge Agreement and Secured Cash Management Agreement) payable to the Lenders and the L/C Issuers (including fees, charges and disbursements of counsel to the respective Lenders and the L/C Issuers and amounts payable under </w:t>
      </w:r>
      <w:r>
        <w:rPr>
          <w:rFonts w:ascii="Times New Roman" w:hAnsi="Times New Roman"/>
          <w:color w:val="000000"/>
          <w:sz w:val="22"/>
          <w:u w:val="single"/>
        </w:rPr>
        <w:t>Article III</w:t>
      </w:r>
      <w:r>
        <w:rPr>
          <w:rFonts w:ascii="Times New Roman" w:hAnsi="Times New Roman"/>
          <w:color w:val="000000"/>
          <w:sz w:val="22"/>
        </w:rPr>
        <w:t xml:space="preserve">), ratably among them in proportion to the respective amounts described in this </w:t>
      </w:r>
      <w:r>
        <w:rPr>
          <w:rFonts w:ascii="Times New Roman" w:hAnsi="Times New Roman"/>
          <w:color w:val="000000"/>
          <w:sz w:val="22"/>
          <w:u w:val="single"/>
        </w:rPr>
        <w:t>clause Second</w:t>
      </w:r>
      <w:r>
        <w:rPr>
          <w:rFonts w:ascii="Times New Roman" w:hAnsi="Times New Roman"/>
          <w:color w:val="000000"/>
          <w:sz w:val="20"/>
        </w:rPr>
        <w:t xml:space="preserve"> </w:t>
      </w:r>
      <w:r>
        <w:rPr>
          <w:rFonts w:ascii="Times New Roman" w:hAnsi="Times New Roman"/>
          <w:color w:val="000000"/>
          <w:sz w:val="22"/>
        </w:rPr>
        <w:t>payable to them;</w:t>
      </w:r>
    </w:p>
    <w:p>
      <w:pPr>
        <w:pStyle w:val="TextBody"/>
        <w:bidi w:val="0"/>
        <w:spacing w:before="0" w:after="240"/>
        <w:jc w:val="both"/>
        <w:rPr>
          <w:rFonts w:ascii="Times New Roman" w:hAnsi="Times New Roman"/>
          <w:sz w:val="20"/>
        </w:rPr>
      </w:pPr>
      <w:r>
        <w:rPr>
          <w:rFonts w:ascii="Times New Roman" w:hAnsi="Times New Roman"/>
          <w:color w:val="000000"/>
          <w:sz w:val="22"/>
          <w:u w:val="single"/>
        </w:rPr>
        <w:t>Third</w:t>
      </w:r>
      <w:r>
        <w:rPr>
          <w:rFonts w:ascii="Times New Roman" w:hAnsi="Times New Roman"/>
          <w:color w:val="000000"/>
          <w:sz w:val="22"/>
        </w:rPr>
        <w:t xml:space="preserve">, to payment of that portion of the Obligations constituting accrued and unpaid Letter of Credit Fees and interest on the Loans and L/C Borrowings, ratably among the Lenders and the L/C Issuers in proportion to the respective amounts described in this </w:t>
      </w:r>
      <w:r>
        <w:rPr>
          <w:rFonts w:ascii="Times New Roman" w:hAnsi="Times New Roman"/>
          <w:color w:val="000000"/>
          <w:sz w:val="22"/>
          <w:u w:val="single"/>
        </w:rPr>
        <w:t>clause Third</w:t>
      </w:r>
      <w:r>
        <w:rPr>
          <w:rFonts w:ascii="Times New Roman" w:hAnsi="Times New Roman"/>
          <w:color w:val="000000"/>
          <w:sz w:val="20"/>
        </w:rPr>
        <w:t xml:space="preserve"> </w:t>
      </w:r>
      <w:r>
        <w:rPr>
          <w:rFonts w:ascii="Times New Roman" w:hAnsi="Times New Roman"/>
          <w:color w:val="000000"/>
          <w:sz w:val="22"/>
        </w:rPr>
        <w:t>payable to them;</w:t>
      </w:r>
    </w:p>
    <w:p>
      <w:pPr>
        <w:pStyle w:val="TextBody"/>
        <w:bidi w:val="0"/>
        <w:spacing w:before="0" w:after="240"/>
        <w:jc w:val="both"/>
        <w:rPr>
          <w:rFonts w:ascii="Times New Roman" w:hAnsi="Times New Roman"/>
          <w:sz w:val="20"/>
        </w:rPr>
      </w:pPr>
      <w:r>
        <w:rPr>
          <w:rFonts w:ascii="Times New Roman" w:hAnsi="Times New Roman"/>
          <w:color w:val="000000"/>
          <w:sz w:val="22"/>
          <w:u w:val="single"/>
        </w:rPr>
        <w:t>Fourth</w:t>
      </w:r>
      <w:r>
        <w:rPr>
          <w:rFonts w:ascii="Times New Roman" w:hAnsi="Times New Roman"/>
          <w:color w:val="000000"/>
          <w:sz w:val="22"/>
        </w:rPr>
        <w:t xml:space="preserve">, to (a) payment of that portion of the Obligations constituting unpaid principal of the Loans and L/C Borrowings, (b) payment of Obligations then owing under any Secured Hedge Agreements, (c) payment of Obligations then owing under any Secured Cash Management Agreements and (d) Cash Collateralize that portion of L/C Obligations comprised of the aggregate undrawn amount of Letters of Credit, ratably among the Lenders, the L/C Issuers, the Hedge Banks and the Cash Management Banks in proportion to the respective amounts described in this </w:t>
      </w:r>
      <w:r>
        <w:rPr>
          <w:rFonts w:ascii="Times New Roman" w:hAnsi="Times New Roman"/>
          <w:color w:val="000000"/>
          <w:sz w:val="22"/>
          <w:u w:val="single"/>
        </w:rPr>
        <w:t>clause Fourth</w:t>
      </w:r>
      <w:r>
        <w:rPr>
          <w:rFonts w:ascii="Times New Roman" w:hAnsi="Times New Roman"/>
          <w:color w:val="000000"/>
          <w:sz w:val="20"/>
        </w:rPr>
        <w:t xml:space="preserve"> </w:t>
      </w:r>
      <w:r>
        <w:rPr>
          <w:rFonts w:ascii="Times New Roman" w:hAnsi="Times New Roman"/>
          <w:color w:val="000000"/>
          <w:sz w:val="22"/>
        </w:rPr>
        <w:t>held by them; and</w:t>
      </w:r>
    </w:p>
    <w:p>
      <w:pPr>
        <w:pStyle w:val="TextBody"/>
        <w:bidi w:val="0"/>
        <w:spacing w:before="0" w:after="240"/>
        <w:jc w:val="both"/>
        <w:rPr>
          <w:rFonts w:ascii="Times New Roman" w:hAnsi="Times New Roman"/>
          <w:sz w:val="20"/>
        </w:rPr>
      </w:pPr>
      <w:r>
        <w:rPr>
          <w:rFonts w:ascii="Times New Roman" w:hAnsi="Times New Roman"/>
          <w:color w:val="000000"/>
          <w:sz w:val="22"/>
          <w:u w:val="single"/>
        </w:rPr>
        <w:t>Last</w:t>
      </w:r>
      <w:r>
        <w:rPr>
          <w:rFonts w:ascii="Times New Roman" w:hAnsi="Times New Roman"/>
          <w:color w:val="000000"/>
          <w:sz w:val="22"/>
        </w:rPr>
        <w:t>, the balance, if any, after all of the Obligations have been indefeasibly paid in full, to the Borrower or as otherwise required by Law.</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Subject to </w:t>
      </w:r>
      <w:r>
        <w:rPr>
          <w:rFonts w:ascii="Times New Roman" w:hAnsi="Times New Roman"/>
          <w:color w:val="000000"/>
          <w:sz w:val="22"/>
          <w:u w:val="single"/>
        </w:rPr>
        <w:t>Sections 2.03(c)</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2.14</w:t>
      </w:r>
      <w:r>
        <w:rPr>
          <w:rFonts w:ascii="Times New Roman" w:hAnsi="Times New Roman"/>
          <w:color w:val="000000"/>
          <w:sz w:val="22"/>
        </w:rPr>
        <w:t xml:space="preserve">, amounts used to Cash Collateralize the aggregate undrawn amount of Letters of Credit pursuant to </w:t>
      </w:r>
      <w:r>
        <w:rPr>
          <w:rFonts w:ascii="Times New Roman" w:hAnsi="Times New Roman"/>
          <w:color w:val="000000"/>
          <w:sz w:val="22"/>
          <w:u w:val="single"/>
        </w:rPr>
        <w:t>clause Fourth</w:t>
      </w:r>
      <w:r>
        <w:rPr>
          <w:rFonts w:ascii="Times New Roman" w:hAnsi="Times New Roman"/>
          <w:color w:val="000000"/>
          <w:sz w:val="20"/>
        </w:rPr>
        <w:t xml:space="preserve"> </w:t>
      </w:r>
      <w:r>
        <w:rPr>
          <w:rFonts w:ascii="Times New Roman" w:hAnsi="Times New Roman"/>
          <w:color w:val="000000"/>
          <w:sz w:val="22"/>
        </w:rPr>
        <w:t>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Excluded Swap Obligations with respect to any Guarantor shall not be paid with amounts received from such Guarantor or such Guarantor’s assets, but appropriate adjustments shall be made with respect to payments from other Loan Parties to preserve the allocation to Obligations otherwise set forth above in this Section.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the foregoing,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(other than the Administrative Agent or an Affiliate of the Administrative Agent) or Hedge Bank (other than the Administrative Agent or an Affiliate of the Administrative Agent),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hAnsi="Times New Roman"/>
          <w:color w:val="000000"/>
          <w:sz w:val="22"/>
          <w:u w:val="single"/>
        </w:rPr>
        <w:t>Article X</w:t>
      </w:r>
      <w:r>
        <w:rPr>
          <w:rFonts w:ascii="Times New Roman" w:hAnsi="Times New Roman"/>
          <w:color w:val="000000"/>
          <w:sz w:val="20"/>
        </w:rPr>
        <w:t xml:space="preserve"> </w:t>
      </w:r>
      <w:r>
        <w:rPr>
          <w:rFonts w:ascii="Times New Roman" w:hAnsi="Times New Roman"/>
          <w:color w:val="000000"/>
          <w:sz w:val="22"/>
        </w:rPr>
        <w:t>for itself and its Affiliates as if a “Lender” party hereto.</w:t>
      </w:r>
    </w:p>
    <w:p>
      <w:pPr>
        <w:pStyle w:val="TextBody"/>
        <w:bidi w:val="0"/>
        <w:jc w:val="center"/>
        <w:rPr>
          <w:rFonts w:ascii="Times New Roman" w:hAnsi="Times New Roman"/>
          <w:color w:val="000000"/>
          <w:sz w:val="22"/>
        </w:rPr>
      </w:pPr>
      <w:r>
        <w:rPr>
          <w:rFonts w:ascii="Times New Roman" w:hAnsi="Times New Roman"/>
          <w:color w:val="000000"/>
          <w:sz w:val="22"/>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b w:val="false"/>
          <w:caps/>
          <w:color w:val="000000"/>
          <w:sz w:val="22"/>
        </w:rPr>
      </w:pPr>
      <w:r>
        <w:rPr>
          <w:rFonts w:ascii="Times New Roman" w:hAnsi="Times New Roman"/>
          <w:b w:val="false"/>
          <w:caps/>
          <w:color w:val="000000"/>
          <w:sz w:val="22"/>
        </w:rPr>
        <w:t>Article X.</w:t>
        <w:br/>
        <w:br/>
        <w:t>ADMINISTRATIVE AGENT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10.01 </w:t>
      </w:r>
      <w:r>
        <w:rPr>
          <w:rFonts w:ascii="Times New Roman" w:hAnsi="Times New Roman"/>
          <w:b w:val="false"/>
          <w:color w:val="000000"/>
          <w:sz w:val="22"/>
          <w:u w:val="single"/>
        </w:rPr>
        <w:t>Appointment and Authority</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of the Lenders and the L/C Issuers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no Loan Party shall have rights as a third party beneficiary of any of such provisions. It is understood and agreed that the use of the term “agent” herein or in any other Loan Document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240"/>
        <w:jc w:val="both"/>
        <w:rPr>
          <w:rFonts w:ascii="Times New Roman" w:hAnsi="Times New Roman"/>
          <w:sz w:val="20"/>
        </w:rPr>
      </w:pPr>
      <w:r>
        <w:rPr>
          <w:rFonts w:ascii="Times New Roman" w:hAnsi="Times New Roman"/>
          <w:color w:val="000000"/>
          <w:sz w:val="22"/>
        </w:rPr>
        <w:t>The Administrative Agent shall also act as the “</w:t>
      </w:r>
      <w:r>
        <w:rPr>
          <w:rFonts w:ascii="Times New Roman" w:hAnsi="Times New Roman"/>
          <w:color w:val="000000"/>
          <w:sz w:val="22"/>
          <w:u w:val="single"/>
        </w:rPr>
        <w:t>collateral agent</w:t>
      </w:r>
      <w:r>
        <w:rPr>
          <w:rFonts w:ascii="Times New Roman" w:hAnsi="Times New Roman"/>
          <w:color w:val="000000"/>
          <w:sz w:val="20"/>
        </w:rPr>
        <w:t xml:space="preserve">” </w:t>
      </w:r>
      <w:r>
        <w:rPr>
          <w:rFonts w:ascii="Times New Roman" w:hAnsi="Times New Roman"/>
          <w:color w:val="000000"/>
          <w:sz w:val="22"/>
        </w:rPr>
        <w:t xml:space="preserve">under the Loan Documents, and each of the Lenders (in its capacities as a Lender, potential Hedge Bank and potential Cash Management Bank) and each of the L/C Issuers hereby irrevocably appoints and authorizes the Administrative Agent to act as the agent of such Lender and such L/C Issuer for purposes of acquiring, holding and enforcing any and all Liens on Collateral,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hAnsi="Times New Roman"/>
          <w:color w:val="000000"/>
          <w:sz w:val="22"/>
          <w:u w:val="single"/>
        </w:rPr>
        <w:t>Section 10.05</w:t>
      </w:r>
      <w:r>
        <w:rPr>
          <w:rFonts w:ascii="Times New Roman" w:hAnsi="Times New Roman"/>
          <w:color w:val="000000"/>
          <w:sz w:val="20"/>
        </w:rPr>
        <w:t xml:space="preserve"> </w:t>
      </w:r>
      <w:r>
        <w:rPr>
          <w:rFonts w:ascii="Times New Roman" w:hAnsi="Times New Roman"/>
          <w:color w:val="000000"/>
          <w:sz w:val="22"/>
        </w:rPr>
        <w:t xml:space="preserve">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hAnsi="Times New Roman"/>
          <w:color w:val="000000"/>
          <w:sz w:val="22"/>
          <w:u w:val="single"/>
        </w:rPr>
        <w:t>Article X</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Article XI</w:t>
      </w:r>
      <w:r>
        <w:rPr>
          <w:rFonts w:ascii="Times New Roman" w:hAnsi="Times New Roman"/>
          <w:color w:val="000000"/>
          <w:sz w:val="20"/>
        </w:rPr>
        <w:t xml:space="preserve"> </w:t>
      </w:r>
      <w:r>
        <w:rPr>
          <w:rFonts w:ascii="Times New Roman" w:hAnsi="Times New Roman"/>
          <w:color w:val="000000"/>
          <w:sz w:val="22"/>
        </w:rPr>
        <w:t xml:space="preserve">(including </w:t>
      </w:r>
      <w:r>
        <w:rPr>
          <w:rFonts w:ascii="Times New Roman" w:hAnsi="Times New Roman"/>
          <w:color w:val="000000"/>
          <w:sz w:val="22"/>
          <w:u w:val="single"/>
        </w:rPr>
        <w:t>Section 11.04(c)</w:t>
      </w:r>
      <w:r>
        <w:rPr>
          <w:rFonts w:ascii="Times New Roman" w:hAnsi="Times New Roman"/>
          <w:color w:val="000000"/>
          <w:sz w:val="22"/>
        </w:rPr>
        <w:t>, as though such co-agents, sub-agents and attorneys-in-fact were the “collateral agent” under the Loan Documents) as if set forth in full herein with respect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of the Lenders (in its capacities as a Lender, potential Hedge Bank and potential Cash Management Bank) and each of the L/C Issuers authorizes the Administrative Agent to enter into any Intercreditor Agreement or any subordination agreement required pursuant to the terms of this Agreement.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10.02 </w:t>
      </w:r>
      <w:r>
        <w:rPr>
          <w:rFonts w:ascii="Times New Roman" w:hAnsi="Times New Roman"/>
          <w:b w:val="false"/>
          <w:color w:val="000000"/>
          <w:sz w:val="22"/>
          <w:u w:val="single"/>
        </w:rPr>
        <w:t>Rights as a Lender</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 or to provide notice to or consent of the Lenders with respect thereto.</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10.03 </w:t>
      </w:r>
      <w:r>
        <w:rPr>
          <w:rFonts w:ascii="Times New Roman" w:hAnsi="Times New Roman"/>
          <w:b w:val="false"/>
          <w:color w:val="000000"/>
          <w:sz w:val="22"/>
          <w:u w:val="single"/>
        </w:rPr>
        <w:t>Exculpatory Provisions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Neither the Administrative Agent nor any Arranger shall have any duties or obligations except those expressly set forth herein and in the other Loan Documents, and its duties hereunder shall be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administrative in nature. Without limiting the generality of the foregoing, none of the Administrative Agent, any Arranger or any of their respective Related Parties: (a) shall be subject to any fiduciary or other implied duties, regardless of whether a Default has occurred and is continuing; (b) shall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(c) except as expressly set forth herein and in the other Loan Documents, shall have any duty or responsibility to disclose to any Lender or any L/C Issuer any credit or other information concerning the business, prospects, operations, property, financial and other condition or creditworthiness of any of the Loan Parties or any of their respective Affiliates that is communicated to, obtained or in the possession of, the Administrative Agent, such Arranger or any of their respective Related Parties in any capacity; (d) shall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color w:val="000000"/>
          <w:sz w:val="22"/>
          <w:u w:val="single"/>
        </w:rPr>
        <w:t>Sections 11.01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9.02</w:t>
      </w:r>
      <w:r>
        <w:rPr>
          <w:rFonts w:ascii="Times New Roman" w:hAnsi="Times New Roman"/>
          <w:color w:val="000000"/>
          <w:sz w:val="22"/>
        </w:rPr>
        <w:t xml:space="preserve">) or (ii) in the absence of its own gross negligence or willful misconduct as determined by a court of competent jurisdiction by final and nonappealable judgment (it being understood and agreed that the Administrative Agent shall be deemed not to have knowledge of any Default unless and until notice describing such Default is given in writing to the Administrative Agent by a Loan Party, a Lender or an L/C Issuer); and (e)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sufficiency of any Collateral or (vi) the satisfaction of any condition set forth in </w:t>
      </w:r>
      <w:r>
        <w:rPr>
          <w:rFonts w:ascii="Times New Roman" w:hAnsi="Times New Roman"/>
          <w:color w:val="000000"/>
          <w:sz w:val="22"/>
          <w:u w:val="single"/>
        </w:rPr>
        <w:t>Article V</w:t>
      </w:r>
      <w:r>
        <w:rPr>
          <w:rFonts w:ascii="Times New Roman" w:hAnsi="Times New Roman"/>
          <w:color w:val="000000"/>
          <w:sz w:val="20"/>
        </w:rPr>
        <w:t xml:space="preserve"> </w:t>
      </w:r>
      <w:r>
        <w:rPr>
          <w:rFonts w:ascii="Times New Roman" w:hAnsi="Times New Roman"/>
          <w:color w:val="000000"/>
          <w:sz w:val="22"/>
        </w:rPr>
        <w:t>or elsewhere herein, other than to confirm receipt of items expressly required to be delivered to the Administrative Agent.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10.04 </w:t>
      </w:r>
      <w:r>
        <w:rPr>
          <w:rFonts w:ascii="Times New Roman" w:hAnsi="Times New Roman"/>
          <w:b w:val="false"/>
          <w:color w:val="000000"/>
          <w:sz w:val="22"/>
          <w:u w:val="single"/>
        </w:rPr>
        <w:t>Reliance by Administrative Agent</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The Administrative Agent shall be entitled to rely upon, and shall be fully protected in relying, and shall not incur any liability for relying upon, any notice, request, communication,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extension, renewal or increase of such Letter of Credit. The Administrative Agent may consult with legal counsel (who may be counsel for the Loan Parties), independent accountants and other experts selected by it, and shall not be liable for any action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taken or not taken by it in accordance with the advice of any such counsel, accountants or experts. For purposes of determining compliance with the conditions specified in </w:t>
      </w:r>
      <w:r>
        <w:rPr>
          <w:rFonts w:ascii="Times New Roman" w:hAnsi="Times New Roman"/>
          <w:color w:val="000000"/>
          <w:sz w:val="22"/>
          <w:u w:val="single"/>
        </w:rPr>
        <w:t>Section 5.01</w:t>
      </w:r>
      <w:r>
        <w:rPr>
          <w:rFonts w:ascii="Times New Roman" w:hAnsi="Times New Roman"/>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10.05 </w:t>
      </w:r>
      <w:r>
        <w:rPr>
          <w:rFonts w:ascii="Times New Roman" w:hAnsi="Times New Roman"/>
          <w:b w:val="false"/>
          <w:color w:val="000000"/>
          <w:sz w:val="22"/>
          <w:u w:val="single"/>
        </w:rPr>
        <w:t>Delegation of Duties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10.06 </w:t>
      </w:r>
      <w:r>
        <w:rPr>
          <w:rFonts w:ascii="Times New Roman" w:hAnsi="Times New Roman"/>
          <w:b w:val="false"/>
          <w:color w:val="000000"/>
          <w:sz w:val="22"/>
          <w:u w:val="single"/>
        </w:rPr>
        <w:t>Resignation of Administrative Agent</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The Administrative Agent may at any time give notice of its resignation to the Lenders, the L/C Issuers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days after the retiring Administrative Agent gives notice of its resignation (or such earlier day as shall be agreed by the Required Lenders) (the “</w:t>
      </w:r>
      <w:r>
        <w:rPr>
          <w:rFonts w:ascii="Times New Roman" w:hAnsi="Times New Roman"/>
          <w:color w:val="000000"/>
          <w:sz w:val="22"/>
          <w:u w:val="single"/>
        </w:rPr>
        <w:t>Resignation Effective Date</w:t>
      </w:r>
      <w:r>
        <w:rPr>
          <w:rFonts w:ascii="Times New Roman" w:hAnsi="Times New Roman"/>
          <w:color w:val="000000"/>
          <w:sz w:val="20"/>
        </w:rPr>
        <w:t>”</w:t>
      </w:r>
      <w:r>
        <w:rPr>
          <w:rFonts w:ascii="Times New Roman" w:hAnsi="Times New Roman"/>
          <w:color w:val="000000"/>
          <w:sz w:val="22"/>
        </w:rPr>
        <w:t>), then the retiring Administrative Agent may (but shall not be obligated to) on behalf of the Lenders and the L/C Issuers, appoint a successor Administrative Agent meeting the qualifications set forth above. Whether or not a successor has been appointed, such resignation shall become effective in accordance with such notice on the Resignation Effective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If the Person serving as Administrative Agent is a Defaulting Lender pursuant to </w:t>
      </w:r>
      <w:r>
        <w:rPr>
          <w:rFonts w:ascii="Times New Roman" w:hAnsi="Times New Roman"/>
          <w:color w:val="000000"/>
          <w:sz w:val="22"/>
          <w:u w:val="single"/>
        </w:rPr>
        <w:t>clause (d)</w:t>
      </w:r>
      <w:r>
        <w:rPr>
          <w:rFonts w:ascii="Times New Roman" w:hAnsi="Times New Roman"/>
          <w:color w:val="000000"/>
          <w:sz w:val="20"/>
        </w:rPr>
        <w:t xml:space="preserve"> </w:t>
      </w:r>
      <w:r>
        <w:rPr>
          <w:rFonts w:ascii="Times New Roman" w:hAnsi="Times New Roman"/>
          <w:color w:val="000000"/>
          <w:sz w:val="22"/>
        </w:rPr>
        <w:t>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thirty days (or such earlier day as shall be agreed by the Required Lenders) (the “</w:t>
      </w:r>
      <w:r>
        <w:rPr>
          <w:rFonts w:ascii="Times New Roman" w:hAnsi="Times New Roman"/>
          <w:color w:val="000000"/>
          <w:sz w:val="22"/>
          <w:u w:val="single"/>
        </w:rPr>
        <w:t>Removal Effective Date</w:t>
      </w:r>
      <w:r>
        <w:rPr>
          <w:rFonts w:ascii="Times New Roman" w:hAnsi="Times New Roman"/>
          <w:color w:val="000000"/>
          <w:sz w:val="20"/>
        </w:rPr>
        <w:t>”</w:t>
      </w:r>
      <w:r>
        <w:rPr>
          <w:rFonts w:ascii="Times New Roman" w:hAnsi="Times New Roman"/>
          <w:color w:val="000000"/>
          <w:sz w:val="22"/>
        </w:rPr>
        <w:t>), then such removal shall nonetheless become effective in accordance with such notice on the Removal Effective Date.</w:t>
      </w:r>
    </w:p>
    <w:p>
      <w:pPr>
        <w:pStyle w:val="TextBody"/>
        <w:bidi w:val="0"/>
        <w:spacing w:before="0" w:after="240"/>
        <w:jc w:val="both"/>
        <w:rPr>
          <w:rFonts w:ascii="Times New Roman" w:hAnsi="Times New Roman"/>
          <w:sz w:val="20"/>
        </w:rPr>
      </w:pPr>
      <w:r>
        <w:rPr>
          <w:rFonts w:ascii="Times New Roman" w:hAnsi="Times New Roman"/>
          <w:color w:val="000000"/>
          <w:sz w:val="22"/>
        </w:rPr>
        <w:t>(c)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or removed Administrative Agent shall continue to hold such collateral security until such time as a successor Administrative Agent is appointed) 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hAnsi="Times New Roman"/>
          <w:color w:val="000000"/>
          <w:sz w:val="22"/>
          <w:u w:val="single"/>
        </w:rPr>
        <w:t>Section 3.01(g)</w:t>
      </w:r>
      <w:r>
        <w:rPr>
          <w:rFonts w:ascii="Times New Roman" w:hAnsi="Times New Roman"/>
          <w:color w:val="000000"/>
          <w:sz w:val="20"/>
        </w:rPr>
        <w:t xml:space="preserve"> </w:t>
      </w:r>
      <w:r>
        <w:rPr>
          <w:rFonts w:ascii="Times New Roman" w:hAnsi="Times New Roman"/>
          <w:color w:val="000000"/>
          <w:sz w:val="22"/>
        </w:rPr>
        <w:t xml:space="preserve">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Times New Roman" w:hAnsi="Times New Roman"/>
          <w:color w:val="000000"/>
          <w:sz w:val="22"/>
          <w:u w:val="single"/>
        </w:rPr>
        <w:t>Section 11.04</w:t>
      </w:r>
      <w:r>
        <w:rPr>
          <w:rFonts w:ascii="Times New Roman" w:hAnsi="Times New Roman"/>
          <w:color w:val="000000"/>
          <w:sz w:val="20"/>
        </w:rPr>
        <w:t xml:space="preserve"> </w:t>
      </w:r>
      <w:r>
        <w:rPr>
          <w:rFonts w:ascii="Times New Roman" w:hAnsi="Times New Roman"/>
          <w:color w:val="000000"/>
          <w:sz w:val="22"/>
        </w:rPr>
        <w:t>shall continue in effect for the benefit of such retiring or removed Administrative Agent, its sub-agents and their respective Related Parties in respect of any actions taken or omitted to be taken by any of them (A) while the retiring or removed Administrative Agent was acting as Administrative Agent and (B) after such resignation or removal for as long as any of them continues to act in any capacity hereunder or under the other Loan Documents, including (1) acting as collateral agent or otherwise holding any collateral security on behalf of any of the Lenders and (2) in respect of any actions taken in connection with transferring the agency to any successor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Any resignation by Bank of America as Administrative Agent pursuant to this Section shall also constitute its resignation as an L/C Issuer.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with Revolving Commitments to make Revolving Loans that are Base Rate Loans or fund risk participations in Unreimbursed Amounts pursuant to </w:t>
      </w:r>
      <w:r>
        <w:rPr>
          <w:rFonts w:ascii="Times New Roman" w:hAnsi="Times New Roman"/>
          <w:color w:val="000000"/>
          <w:sz w:val="22"/>
          <w:u w:val="single"/>
        </w:rPr>
        <w:t>Section 2.03(c)</w:t>
      </w:r>
      <w:r>
        <w:rPr>
          <w:rFonts w:ascii="Times New Roman" w:hAnsi="Times New Roman"/>
          <w:color w:val="000000"/>
          <w:sz w:val="22"/>
        </w:rPr>
        <w:t>. Upon the appointment by the Borrower of a successor L/C Issuer hereunder (which successor shall in all cases be a Lender other than a Defaulting Lender) and the acceptance of such appointment by the applicable Lender, (i) such successor shall succeed to and become vested with all of the rights, powers, privileges and duties of the retiring L/C Issuer, (ii) the retiring L/C Issuer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10.07 </w:t>
      </w:r>
      <w:r>
        <w:rPr>
          <w:rFonts w:ascii="Times New Roman" w:hAnsi="Times New Roman"/>
          <w:b w:val="false"/>
          <w:color w:val="000000"/>
          <w:sz w:val="22"/>
          <w:u w:val="single"/>
        </w:rPr>
        <w:t>Non-Reliance on Administrative Agent, Arrangers and Other Lenders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Each Lender and each L/C Issuer acknowledges that neither the Administrative Agent nor any Arranger has made any representation or warranty to it, and that no act by the Administrative Agent or any Arranger hereafter taken, including any consent to, and acceptance of any assignment or review of the affairs of any Loan Party of any Affiliate thereof, shall be deemed to constitute any representation or warranty by the Administrative Agent or such Arranger to any Lender or any L/C Issuer as to any matter, including whether the Administrative Agent or such Arranger have disclosed material information in their (or their Related Parties’) possession. Each Lender and each L/C Issuer represents to the Administrative Agent and each Arranger that it has, independently and without reliance upon the Administrative Agent,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Arranger, any other Lender or any of their respective Related Parties, and based on such documents and information as it has deemed appropriate, made its own credit analysis of, appraisal of, and investigation into, the business, prospects, operations, property, financial and other condition and creditworthiness of the Borrower and its Subsidiaries, and all applicable bank or other regulatory Laws relating to the transactions contemplated hereby, and made its own decision to enter into this Agreement and to extend credit to the Borrower hereunder. Each Lender and each L/C Issuer also acknowledges that it will, independently and without reliance upon the Administrative Agent, any Arranger, any other Lender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Borrower and its Subsidiaries. Each Lender and each L/C Issuer represents and warrants that (a) the Loan Documents set forth the terms of a commercial lending facility and (b) it is engaged in making, acquiring or holding commercial loans in the ordinary course and is entering into this Agreement as a Lender or an L/C Issuer for the purpose of making, acquiring or holding commercial loans and providing other facilities set forth herein as may be applicable to such Lender or such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10.08 </w:t>
      </w:r>
      <w:r>
        <w:rPr>
          <w:rFonts w:ascii="Times New Roman" w:hAnsi="Times New Roman"/>
          <w:b w:val="false"/>
          <w:color w:val="000000"/>
          <w:sz w:val="22"/>
          <w:u w:val="single"/>
        </w:rPr>
        <w:t>No Other Duties; Etc.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Anything herein to the contrary notwithstanding, none of the bookrunners, arrangers, syndication agents, documentation agents or other co-agents listed on the cover page hereof shall have any powers, duties or responsibilities under this Agreement or any of the other Loan Documents, except in its capacity, as applicable, as the Administrative Agent, a Lender or an L/C Issuer hereunder.</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10.09 </w:t>
      </w:r>
      <w:r>
        <w:rPr>
          <w:rFonts w:ascii="Times New Roman" w:hAnsi="Times New Roman"/>
          <w:b w:val="false"/>
          <w:color w:val="000000"/>
          <w:sz w:val="22"/>
          <w:u w:val="single"/>
        </w:rPr>
        <w:t>Administrative Agent May File Proofs of Claim; Credit Bidding</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 (a) 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Times New Roman" w:hAnsi="Times New Roman"/>
          <w:color w:val="000000"/>
          <w:sz w:val="22"/>
          <w:u w:val="single"/>
        </w:rPr>
        <w:t>Sections 2.03(h)</w:t>
      </w:r>
      <w:r>
        <w:rPr>
          <w:rFonts w:ascii="Times New Roman" w:hAnsi="Times New Roman"/>
          <w:color w:val="000000"/>
          <w:sz w:val="22"/>
        </w:rPr>
        <w:t xml:space="preserve">, </w:t>
      </w:r>
      <w:r>
        <w:rPr>
          <w:rFonts w:ascii="Times New Roman" w:hAnsi="Times New Roman"/>
          <w:color w:val="000000"/>
          <w:sz w:val="22"/>
          <w:u w:val="single"/>
        </w:rPr>
        <w:t>2.03(i)</w:t>
      </w:r>
      <w:r>
        <w:rPr>
          <w:rFonts w:ascii="Times New Roman" w:hAnsi="Times New Roman"/>
          <w:color w:val="000000"/>
          <w:sz w:val="22"/>
        </w:rPr>
        <w:t xml:space="preserve">, </w:t>
      </w:r>
      <w:r>
        <w:rPr>
          <w:rFonts w:ascii="Times New Roman" w:hAnsi="Times New Roman"/>
          <w:color w:val="000000"/>
          <w:sz w:val="22"/>
          <w:u w:val="single"/>
        </w:rPr>
        <w:t>2.09</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11.04</w:t>
      </w:r>
      <w:r>
        <w:rPr>
          <w:rFonts w:ascii="Times New Roman" w:hAnsi="Times New Roman"/>
          <w:color w:val="000000"/>
          <w:sz w:val="22"/>
        </w:rPr>
        <w:t>)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expenses, disbursements and advances of the Administrative Agent and its agents and counsel, and any other amounts due the Administrative Agent under </w:t>
      </w:r>
      <w:r>
        <w:rPr>
          <w:rFonts w:ascii="Times New Roman" w:hAnsi="Times New Roman"/>
          <w:color w:val="000000"/>
          <w:sz w:val="22"/>
          <w:u w:val="single"/>
        </w:rPr>
        <w:t>Sections 2.09</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11.04</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in any such proceeding.</w:t>
      </w:r>
    </w:p>
    <w:p>
      <w:pPr>
        <w:pStyle w:val="TextBody"/>
        <w:bidi w:val="0"/>
        <w:spacing w:before="0" w:after="240"/>
        <w:jc w:val="both"/>
        <w:rPr>
          <w:rFonts w:ascii="Times New Roman" w:hAnsi="Times New Roman"/>
          <w:sz w:val="20"/>
        </w:rPr>
      </w:pPr>
      <w:r>
        <w:rPr>
          <w:rFonts w:ascii="Times New Roman" w:hAnsi="Times New Roman"/>
          <w:color w:val="000000"/>
          <w:sz w:val="22"/>
        </w:rPr>
        <w:t>The holders of the Obligations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holders thereof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the Administrative Agent shall be authorized to adopt documents providing for the governance of the acquisition vehicle or vehicles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hAnsi="Times New Roman"/>
          <w:color w:val="000000"/>
          <w:sz w:val="22"/>
          <w:u w:val="single"/>
        </w:rPr>
        <w:t>Section 11.01(a)</w:t>
      </w:r>
      <w:r>
        <w:rPr>
          <w:rFonts w:ascii="Times New Roman" w:hAnsi="Times New Roman"/>
          <w:color w:val="000000"/>
          <w:sz w:val="22"/>
        </w:rPr>
        <w: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holder of the Obligations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holder of the Obligations or any acquisition vehicle to take any further action.</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10.10 </w:t>
      </w:r>
      <w:r>
        <w:rPr>
          <w:rFonts w:ascii="Times New Roman" w:hAnsi="Times New Roman"/>
          <w:b w:val="false"/>
          <w:color w:val="000000"/>
          <w:sz w:val="22"/>
          <w:u w:val="single"/>
        </w:rPr>
        <w:t>Collateral and Guaranty Matters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 Without limiting the provisions of </w:t>
      </w:r>
      <w:r>
        <w:rPr>
          <w:rFonts w:ascii="Times New Roman" w:hAnsi="Times New Roman"/>
          <w:color w:val="000000"/>
          <w:sz w:val="22"/>
          <w:u w:val="single"/>
        </w:rPr>
        <w:t>Section 10.09</w:t>
      </w:r>
      <w:r>
        <w:rPr>
          <w:rFonts w:ascii="Times New Roman" w:hAnsi="Times New Roman"/>
          <w:color w:val="000000"/>
          <w:sz w:val="22"/>
        </w:rPr>
        <w:t>, each of the Lenders (including in its capacities as a potential Cash Management Bank and a potential Hedge Bank) and each of the L/C Issuers irrevocably authorize the Administrative Agent, at its option and in its discretion:</w:t>
      </w:r>
    </w:p>
    <w:p>
      <w:pPr>
        <w:pStyle w:val="TextBody"/>
        <w:bidi w:val="0"/>
        <w:jc w:val="center"/>
        <w:rPr>
          <w:rFonts w:ascii="Times New Roman" w:hAnsi="Times New Roman"/>
          <w:color w:val="000000"/>
          <w:sz w:val="22"/>
        </w:rPr>
      </w:pPr>
      <w:r>
        <w:rPr>
          <w:rFonts w:ascii="Times New Roman" w:hAnsi="Times New Roman"/>
          <w:color w:val="000000"/>
          <w:sz w:val="22"/>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to release any Lien on any property granted to or held by the Administrative Agent under any Loan Document (i) upon the Facility Termination Date, (ii) that is sold or otherwise disposed of as part of or in connection with any sale or other disposition permitted hereunder or under any other Loan Document or any Recovery Event or (iii) as approved in accordance with </w:t>
      </w:r>
      <w:r>
        <w:rPr>
          <w:rFonts w:ascii="Times New Roman" w:hAnsi="Times New Roman"/>
          <w:color w:val="000000"/>
          <w:sz w:val="22"/>
          <w:u w:val="single"/>
        </w:rPr>
        <w:t>Section 11.01</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to subordinate any Lien on any property granted to or held by the Administrative Agent under any Loan Document to the holder of any Lien on such property that is permitted by </w:t>
      </w:r>
      <w:r>
        <w:rPr>
          <w:rFonts w:ascii="Times New Roman" w:hAnsi="Times New Roman"/>
          <w:color w:val="000000"/>
          <w:sz w:val="22"/>
          <w:u w:val="single"/>
        </w:rPr>
        <w:t>Section 8.01(i)</w:t>
      </w:r>
      <w:r>
        <w:rPr>
          <w:rFonts w:ascii="Times New Roman" w:hAnsi="Times New Roman"/>
          <w:color w:val="000000"/>
          <w:sz w:val="22"/>
        </w:rPr>
        <w: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to release any Guarantor from its obligations under the Guaranty if such Person ceases to be a Subsidiary as a result of a transaction permitted under the Loan Documents.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 Notwithstanding anything to the contrary contained herein or in any other Loan Document, upon the commencement of an Investment Grade Period, (i) any Guarantor shall be automatically released from its obligations under any Guaranty if such Guarantor, (A) is an Immaterial Domestic Subsidiary or (B) does not guarantee any Material Indebtedness of the Borrower or any Subsidiary and (ii) the security interests of the Administrative Agent in the Collateral shall be automatically and unconditionally released, and the Administrative Agent shall (without notice to, or vote or consent of, any Lender, any Affiliate of any Lender that is party to any Secured Cash Management Agreements or Secured Hedge Agreements) take such actions as the Borrower may reasonably request to effect or evidence such release. Any release of Guarantors or Collateral contemplated by this </w:t>
      </w:r>
      <w:r>
        <w:rPr>
          <w:rFonts w:ascii="Times New Roman" w:hAnsi="Times New Roman"/>
          <w:color w:val="000000"/>
          <w:sz w:val="22"/>
          <w:u w:val="single"/>
        </w:rPr>
        <w:t>Section 10.10(2)</w:t>
      </w:r>
      <w:r>
        <w:rPr>
          <w:rFonts w:ascii="Times New Roman" w:hAnsi="Times New Roman"/>
          <w:color w:val="000000"/>
          <w:sz w:val="20"/>
        </w:rPr>
        <w:t xml:space="preserve"> </w:t>
      </w:r>
      <w:r>
        <w:rPr>
          <w:rFonts w:ascii="Times New Roman" w:hAnsi="Times New Roman"/>
          <w:color w:val="000000"/>
          <w:sz w:val="22"/>
        </w:rPr>
        <w:t>shall be at the sole cost and expense of the Borrower, and any such release shall be without recourse or warranty to the Administrative Agent, any Lender or any L/C Issuer.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hAnsi="Times New Roman"/>
          <w:color w:val="000000"/>
          <w:sz w:val="22"/>
          <w:u w:val="single"/>
        </w:rPr>
        <w:t>Section 10.10</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10.11 </w:t>
      </w:r>
      <w:r>
        <w:rPr>
          <w:rFonts w:ascii="Times New Roman" w:hAnsi="Times New Roman"/>
          <w:b w:val="false"/>
          <w:color w:val="000000"/>
          <w:sz w:val="22"/>
          <w:u w:val="single"/>
        </w:rPr>
        <w:t>Secured Cash Management Agreements and Secured Hedge Agreements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 Cash Management Bank or Hedge Bank that obtains the benefit of </w:t>
      </w:r>
      <w:r>
        <w:rPr>
          <w:rFonts w:ascii="Times New Roman" w:hAnsi="Times New Roman"/>
          <w:color w:val="000000"/>
          <w:sz w:val="22"/>
          <w:u w:val="single"/>
        </w:rPr>
        <w:t>Section 9.03</w:t>
      </w:r>
      <w:r>
        <w:rPr>
          <w:rFonts w:ascii="Times New Roman" w:hAnsi="Times New Roman"/>
          <w:color w:val="000000"/>
          <w:sz w:val="22"/>
        </w:rPr>
        <w:t xml:space="preserve">,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Times New Roman" w:hAnsi="Times New Roman"/>
          <w:color w:val="000000"/>
          <w:sz w:val="22"/>
          <w:u w:val="single"/>
        </w:rPr>
        <w:t>Article X</w:t>
      </w:r>
      <w:r>
        <w:rPr>
          <w:rFonts w:ascii="Times New Roman" w:hAnsi="Times New Roman"/>
          <w:color w:val="000000"/>
          <w:sz w:val="20"/>
        </w:rPr>
        <w:t xml:space="preserve"> </w:t>
      </w:r>
      <w:r>
        <w:rPr>
          <w:rFonts w:ascii="Times New Roman" w:hAnsi="Times New Roman"/>
          <w:color w:val="000000"/>
          <w:sz w:val="22"/>
        </w:rPr>
        <w:t>to the contrary, the Administrative Agent shall not be required to verify the payment of, or that other satisfactory arrangements have been made with respect to, Obligations arising under Secured Cash Management Agreements and Secured Hedge Agreements except to the extent expressly provided herein and unless the Administrative Agent has received a Secured Party Designation Notice of such Obligations, together with such supporting documentation as the Administrative Agent may request, from the applicable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Cash Management Bank or Hedge Bank, as the case may be;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notwithstanding the foregoing, the Administrative Agent shall not be required to verify the payment of, or that other satisfactory arrangements have been made with respect to, Obligations arising under Secured Cash Management Agreements and Secured Hedge Agreements in the case of the Facility Termination Date.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10.12 </w:t>
      </w:r>
      <w:r>
        <w:rPr>
          <w:rFonts w:ascii="Times New Roman" w:hAnsi="Times New Roman"/>
          <w:b w:val="false"/>
          <w:color w:val="000000"/>
          <w:sz w:val="22"/>
          <w:u w:val="single"/>
        </w:rPr>
        <w:t>Recovery of Erroneous Payments.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Without limitation of any other provision in this Agreement, if at any time the Administrative Agent 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pStyle w:val="Heading1"/>
        <w:bidi w:val="0"/>
        <w:spacing w:before="0" w:after="240"/>
        <w:jc w:val="center"/>
        <w:rPr>
          <w:rFonts w:ascii="Times New Roman" w:hAnsi="Times New Roman"/>
          <w:b w:val="false"/>
          <w:caps/>
          <w:color w:val="000000"/>
          <w:sz w:val="22"/>
        </w:rPr>
      </w:pPr>
      <w:r>
        <w:rPr>
          <w:rFonts w:ascii="Times New Roman" w:hAnsi="Times New Roman"/>
          <w:b w:val="false"/>
          <w:caps/>
          <w:color w:val="000000"/>
          <w:sz w:val="22"/>
        </w:rPr>
        <w:t>Article XI.</w:t>
        <w:br/>
        <w:br/>
        <w:t>MISCELLANEOUS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11.01 </w:t>
      </w:r>
      <w:r>
        <w:rPr>
          <w:rFonts w:ascii="Times New Roman" w:hAnsi="Times New Roman"/>
          <w:b w:val="false"/>
          <w:color w:val="000000"/>
          <w:sz w:val="22"/>
          <w:u w:val="single"/>
        </w:rPr>
        <w:t>Amendments, Etc.</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Subject to </w:t>
      </w:r>
      <w:r>
        <w:rPr>
          <w:rFonts w:ascii="Times New Roman" w:hAnsi="Times New Roman"/>
          <w:color w:val="000000"/>
          <w:sz w:val="22"/>
          <w:u w:val="single"/>
        </w:rPr>
        <w:t>Section 3.03</w:t>
      </w:r>
      <w:r>
        <w:rPr>
          <w:rFonts w:ascii="Times New Roman" w:hAnsi="Times New Roman"/>
          <w:color w:val="000000"/>
          <w:sz w:val="22"/>
        </w:rPr>
        <w:t xml:space="preserve">, no amendment or waiver of any provision of this Agreement or any other Loan Document, and no consent to any departure by any Loan Party therefrom, shall be effective unless in writing signed by the Required Lenders and the applicable Loan Party, and acknowledged by the Administrative Agent, and each such waiver or consent shall be effective only in the specific instance and for the specific purpose for which given;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no such amendment, waiver or consent shall: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extend or increase any Commitment of any Lender (or reinstate any Commitment terminated pursuant to </w:t>
      </w:r>
      <w:r>
        <w:rPr>
          <w:rFonts w:ascii="Times New Roman" w:hAnsi="Times New Roman"/>
          <w:color w:val="000000"/>
          <w:sz w:val="22"/>
          <w:u w:val="single"/>
        </w:rPr>
        <w:t>Section 9.02</w:t>
      </w:r>
      <w:r>
        <w:rPr>
          <w:rFonts w:ascii="Times New Roman" w:hAnsi="Times New Roman"/>
          <w:color w:val="000000"/>
          <w:sz w:val="22"/>
        </w:rPr>
        <w:t xml:space="preserve">) without the written consent of such Lender (it being understood and agreed that a waiver of any condition precedent set forth in </w:t>
      </w:r>
      <w:r>
        <w:rPr>
          <w:rFonts w:ascii="Times New Roman" w:hAnsi="Times New Roman"/>
          <w:color w:val="000000"/>
          <w:sz w:val="22"/>
          <w:u w:val="single"/>
        </w:rPr>
        <w:t>Section 5.02</w:t>
      </w:r>
      <w:r>
        <w:rPr>
          <w:rFonts w:ascii="Times New Roman" w:hAnsi="Times New Roman"/>
          <w:color w:val="000000"/>
          <w:sz w:val="20"/>
        </w:rPr>
        <w:t xml:space="preserve"> </w:t>
      </w:r>
      <w:r>
        <w:rPr>
          <w:rFonts w:ascii="Times New Roman" w:hAnsi="Times New Roman"/>
          <w:color w:val="000000"/>
          <w:sz w:val="22"/>
        </w:rPr>
        <w:t>or of any Default or a mandatory reduction in Commitments is not considered an extension or increase in any Commitment of any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postpone any date fixed by this Agreement or any other Loan Document for any payment (excluding mandatory prepayments) of principal, interest, fees or other amounts due to the Lenders (or any of them) or any scheduled reduction, if any, of the Commitments hereunder or under any other Loan Document without the written consent of each Lender entitled to receive such payment or whose Commitments are to be reduced;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only the consent of the Required Lenders shall be necessary to amend, waive or otherwise modify clause (ii) of the definition of the Maturity Date;</w:t>
      </w:r>
    </w:p>
    <w:p>
      <w:pPr>
        <w:pStyle w:val="TextBody"/>
        <w:bidi w:val="0"/>
        <w:jc w:val="center"/>
        <w:rPr>
          <w:rFonts w:ascii="Times New Roman" w:hAnsi="Times New Roman"/>
          <w:color w:val="000000"/>
          <w:sz w:val="22"/>
        </w:rPr>
      </w:pPr>
      <w:r>
        <w:rPr>
          <w:rFonts w:ascii="Times New Roman" w:hAnsi="Times New Roman"/>
          <w:color w:val="000000"/>
          <w:sz w:val="22"/>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reduce the principal of, or the rate of interest specified herein on, any Loan or L/C Borrowing, or (subject to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 xml:space="preserve">of the final proviso to this </w:t>
      </w:r>
      <w:r>
        <w:rPr>
          <w:rFonts w:ascii="Times New Roman" w:hAnsi="Times New Roman"/>
          <w:color w:val="000000"/>
          <w:sz w:val="22"/>
          <w:u w:val="single"/>
        </w:rPr>
        <w:t>Section 11.01</w:t>
      </w:r>
      <w:r>
        <w:rPr>
          <w:rFonts w:ascii="Times New Roman" w:hAnsi="Times New Roman"/>
          <w:color w:val="000000"/>
          <w:sz w:val="22"/>
        </w:rPr>
        <w:t xml:space="preserve">) any fees or other amounts payable hereunder or under any other Loan Document without the written consent of each Lender entitled to receive such amount;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only the consent of the Required Lenders shall be necessary (A) to amend the definition of “Default Rate” or to waive any obligation of the Borrower to pay interest or Letter of Credit Fees at the Default Rate or (B) to amend any financial covenant hereunder (or any defined term used therein) even if the effect of such amendment would be to reduce the rate of interest on any Loan or L/C Borrowing or to reduce any fee payable hereunder;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change </w:t>
      </w:r>
      <w:r>
        <w:rPr>
          <w:rFonts w:ascii="Times New Roman" w:hAnsi="Times New Roman"/>
          <w:color w:val="000000"/>
          <w:sz w:val="22"/>
          <w:u w:val="single"/>
        </w:rPr>
        <w:t>Section 2.12(f)</w:t>
      </w:r>
      <w:r>
        <w:rPr>
          <w:rFonts w:ascii="Times New Roman" w:hAnsi="Times New Roman"/>
          <w:color w:val="000000"/>
          <w:sz w:val="22"/>
        </w:rPr>
        <w:t xml:space="preserve">, </w:t>
      </w:r>
      <w:r>
        <w:rPr>
          <w:rFonts w:ascii="Times New Roman" w:hAnsi="Times New Roman"/>
          <w:color w:val="000000"/>
          <w:sz w:val="22"/>
          <w:u w:val="single"/>
        </w:rPr>
        <w:t>Section 2.13</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9.03</w:t>
      </w:r>
      <w:r>
        <w:rPr>
          <w:rFonts w:ascii="Times New Roman" w:hAnsi="Times New Roman"/>
          <w:color w:val="000000"/>
          <w:sz w:val="20"/>
        </w:rPr>
        <w:t xml:space="preserve"> </w:t>
      </w:r>
      <w:r>
        <w:rPr>
          <w:rFonts w:ascii="Times New Roman" w:hAnsi="Times New Roman"/>
          <w:color w:val="000000"/>
          <w:sz w:val="22"/>
        </w:rPr>
        <w:t>in a manner that would alter the pro rata sharing of payments or the order of payments required thereby without the written consent of each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change any provision of this </w:t>
      </w:r>
      <w:r>
        <w:rPr>
          <w:rFonts w:ascii="Times New Roman" w:hAnsi="Times New Roman"/>
          <w:color w:val="000000"/>
          <w:sz w:val="22"/>
          <w:u w:val="single"/>
        </w:rPr>
        <w:t>Section 11.01(a)</w:t>
      </w:r>
      <w:r>
        <w:rPr>
          <w:rFonts w:ascii="Times New Roman" w:hAnsi="Times New Roman"/>
          <w:color w:val="000000"/>
          <w:sz w:val="20"/>
        </w:rPr>
        <w:t xml:space="preserve"> </w:t>
      </w:r>
      <w:r>
        <w:rPr>
          <w:rFonts w:ascii="Times New Roman" w:hAnsi="Times New Roman"/>
          <w:color w:val="000000"/>
          <w:sz w:val="22"/>
        </w:rPr>
        <w:t>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 release all or substantially all of the Collateral without the written consent of each Lender whose Obligations are secured by such Collateral (except as set forth in </w:t>
      </w:r>
      <w:r>
        <w:rPr>
          <w:rFonts w:ascii="Times New Roman" w:hAnsi="Times New Roman"/>
          <w:color w:val="000000"/>
          <w:sz w:val="22"/>
          <w:u w:val="single"/>
        </w:rPr>
        <w:t>Section 10.10</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(vii) release the Borrower without the consent of each Lender, or, except in connection with a transaction permitted under </w:t>
      </w:r>
      <w:r>
        <w:rPr>
          <w:rFonts w:ascii="Times New Roman" w:hAnsi="Times New Roman"/>
          <w:color w:val="000000"/>
          <w:sz w:val="22"/>
          <w:u w:val="single"/>
        </w:rPr>
        <w:t>Section 8.04</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8.05</w:t>
      </w:r>
      <w:r>
        <w:rPr>
          <w:rFonts w:ascii="Times New Roman" w:hAnsi="Times New Roman"/>
          <w:color w:val="000000"/>
          <w:sz w:val="20"/>
        </w:rPr>
        <w:t xml:space="preserve"> </w:t>
      </w:r>
      <w:r>
        <w:rPr>
          <w:rFonts w:ascii="Times New Roman" w:hAnsi="Times New Roman"/>
          <w:color w:val="000000"/>
          <w:sz w:val="22"/>
        </w:rPr>
        <w:t xml:space="preserve">as in effect as of the Effective Date, all or substantially all of the value of the Guaranty without the written consent of each Lender whose Obligations are guaranteed thereby, except to the extent such release is permitted pursuant to </w:t>
      </w:r>
      <w:r>
        <w:rPr>
          <w:rFonts w:ascii="Times New Roman" w:hAnsi="Times New Roman"/>
          <w:color w:val="000000"/>
          <w:sz w:val="22"/>
          <w:u w:val="single"/>
        </w:rPr>
        <w:t>Section 10.10</w:t>
      </w:r>
      <w:r>
        <w:rPr>
          <w:rFonts w:ascii="Times New Roman" w:hAnsi="Times New Roman"/>
          <w:color w:val="000000"/>
          <w:sz w:val="20"/>
        </w:rPr>
        <w:t xml:space="preserve"> </w:t>
      </w:r>
      <w:r>
        <w:rPr>
          <w:rFonts w:ascii="Times New Roman" w:hAnsi="Times New Roman"/>
          <w:color w:val="000000"/>
          <w:sz w:val="22"/>
        </w:rPr>
        <w:t>(in which case such release may be made by the Administrative Agent acting alone);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(viii) waive any condition set forth in </w:t>
      </w:r>
      <w:r>
        <w:rPr>
          <w:rFonts w:ascii="Times New Roman" w:hAnsi="Times New Roman"/>
          <w:color w:val="000000"/>
          <w:sz w:val="22"/>
          <w:u w:val="single"/>
        </w:rPr>
        <w:t>Section 5.01</w:t>
      </w:r>
      <w:r>
        <w:rPr>
          <w:rFonts w:ascii="Times New Roman" w:hAnsi="Times New Roman"/>
          <w:color w:val="000000"/>
          <w:sz w:val="20"/>
        </w:rPr>
        <w:t xml:space="preserve"> </w:t>
      </w:r>
      <w:r>
        <w:rPr>
          <w:rFonts w:ascii="Times New Roman" w:hAnsi="Times New Roman"/>
          <w:color w:val="000000"/>
          <w:sz w:val="22"/>
        </w:rPr>
        <w:t>without the written consent of each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(ix) amend the definition of “Alternative Currency” without the written consent of each Lender directly affected thereby;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 during any Non-Investment Grade Period, contractually subordinate or have the effect of contractually subordinating the Obligations (including any guarantee thereof), or the Liens on all or substantially all of the Collateral granted under the Loan Documents, to any other Indebtedness or Lien (including, without limitation, any other Indebtedness or Lien issued under this Agreement or any other agreement), in each case, without the written consent of all Lenders;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prior to the termination of the Aggregate Revolving Commitments, unless also signed by Lenders (other than Defaulting Lenders) holding a majority of the Revolving Credit Exposure, no such amendment, waiver or consent shall (i) waive any Default for purposes of </w:t>
      </w:r>
      <w:r>
        <w:rPr>
          <w:rFonts w:ascii="Times New Roman" w:hAnsi="Times New Roman"/>
          <w:color w:val="000000"/>
          <w:sz w:val="22"/>
          <w:u w:val="single"/>
        </w:rPr>
        <w:t>Section 5.02(b)</w:t>
      </w:r>
      <w:r>
        <w:rPr>
          <w:rFonts w:ascii="Times New Roman" w:hAnsi="Times New Roman"/>
          <w:color w:val="000000"/>
          <w:sz w:val="22"/>
        </w:rPr>
        <w:t xml:space="preserve">, (ii) amend, change, waive, discharge or terminate </w:t>
      </w:r>
      <w:r>
        <w:rPr>
          <w:rFonts w:ascii="Times New Roman" w:hAnsi="Times New Roman"/>
          <w:color w:val="000000"/>
          <w:sz w:val="22"/>
          <w:u w:val="single"/>
        </w:rPr>
        <w:t>Section 5.02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9.01</w:t>
      </w:r>
      <w:r>
        <w:rPr>
          <w:rFonts w:ascii="Times New Roman" w:hAnsi="Times New Roman"/>
          <w:color w:val="000000"/>
          <w:sz w:val="20"/>
        </w:rPr>
        <w:t xml:space="preserve"> </w:t>
      </w:r>
      <w:r>
        <w:rPr>
          <w:rFonts w:ascii="Times New Roman" w:hAnsi="Times New Roman"/>
          <w:color w:val="000000"/>
          <w:sz w:val="22"/>
        </w:rPr>
        <w:t xml:space="preserve">in a manner adverse to such Lenders or (iii) amend, change, waive, discharge or terminate </w:t>
      </w:r>
      <w:r>
        <w:rPr>
          <w:rFonts w:ascii="Times New Roman" w:hAnsi="Times New Roman"/>
          <w:color w:val="000000"/>
          <w:sz w:val="22"/>
          <w:u w:val="single"/>
        </w:rPr>
        <w:t>Section 8.11</w:t>
      </w:r>
      <w:r>
        <w:rPr>
          <w:rFonts w:ascii="Times New Roman" w:hAnsi="Times New Roman"/>
          <w:color w:val="000000"/>
          <w:sz w:val="20"/>
        </w:rPr>
        <w:t xml:space="preserve"> </w:t>
      </w:r>
      <w:r>
        <w:rPr>
          <w:rFonts w:ascii="Times New Roman" w:hAnsi="Times New Roman"/>
          <w:color w:val="000000"/>
          <w:sz w:val="22"/>
        </w:rPr>
        <w:t xml:space="preserve">(or any defined term used therein) or this </w:t>
      </w:r>
      <w:r>
        <w:rPr>
          <w:rFonts w:ascii="Times New Roman" w:hAnsi="Times New Roman"/>
          <w:color w:val="000000"/>
          <w:sz w:val="22"/>
          <w:u w:val="single"/>
        </w:rPr>
        <w:t>Section 11.01(b)</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no amendment, waiver or consent shall affect the rights or duties of any L/C Issuer under this Agreement or any Issuer Document relating to any Letter of Credit issued or to be issued by it without the consent of such L/C Issuer;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unless also signed by the Administrative Agent, no amendment, waiver or consent shall affect the rights or duties of the Administrative Agent under this Agreement or any other Loan Document;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notwithstanding anything in this Agreement or any other Loan Document to the contrary herein, (i) the Fee Letter may be amended, or rights or privileges thereunder waived, in a writing executed only by the parties thereto, (ii) no Defaulting Lender shall have any right to approve or disapprove any amendment, waiver or consent hereunder (any amendment, waiver or consent which by its terms requires the consent of all Lenders or each affected Lender may be effected with the consent of the applicable Lenders other than Defaulting Lenders), except that (A) the Commitments of such Defaulting Lender may not be increased or extended without the consent of such Lender and (B) any waiver, amendment or modification requiring the consent of all Lenders or each affected Lender that by its terms affects such Defaulting Lender disproportionately adversely relative to other affected Lenders shall require the consent of such Defaulting Lender, (iii)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(iv) the Required Lenders shall determine whether or not to allow a Loan Party to use cash collateral in the context of a bankruptcy or insolvency proceeding and such determination shall be binding on all of the Lenders, (v) this Agreement may be amended with the written consent of the Required Lenders, the Administrative Agent and the Loan Parties (A) to add one or more additional revolving credit or term loan facilities to this Agreement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 (B)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 (vi) the Administrative Agent and the Borrower may amend, modify or supplement this Agreement or any other Loan Document to cure or correct administrative errors or omissions, any ambiguity, omission, defect or inconsistency or to effect administrative changes, and such amendment shall become effective without any further consent of any other party to such Loan Document so long as (A) such amendment, modification or supplement does not adversely affect the rights of any Lender or other holder of Obligations in any material respect and (B)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(vii) the L/C Commitment of any L/C Issuer may be modified pursuant to any agreement solely among such L/C Issuer, the Borrower, and the Administrative Agent and (viii) the Borrower and the Administrative Agent may enter into any Incremental Amendment in accordance with </w:t>
      </w:r>
      <w:r>
        <w:rPr>
          <w:rFonts w:ascii="Times New Roman" w:hAnsi="Times New Roman"/>
          <w:color w:val="000000"/>
          <w:sz w:val="22"/>
          <w:u w:val="single"/>
        </w:rPr>
        <w:t>Section 2.16</w:t>
      </w:r>
      <w:r>
        <w:rPr>
          <w:rFonts w:ascii="Times New Roman" w:hAnsi="Times New Roman"/>
          <w:color w:val="000000"/>
          <w:sz w:val="20"/>
        </w:rPr>
        <w:t xml:space="preserve"> </w:t>
      </w:r>
      <w:r>
        <w:rPr>
          <w:rFonts w:ascii="Times New Roman" w:hAnsi="Times New Roman"/>
          <w:color w:val="000000"/>
          <w:sz w:val="22"/>
        </w:rPr>
        <w:t>and such Incremental Amendments shall be effective to amend the terms of this Agreement and the other applicable Loan Documents, in each case, without any further action or consent of any other party to any Loan Document.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11.02 </w:t>
      </w:r>
      <w:r>
        <w:rPr>
          <w:rFonts w:ascii="Times New Roman" w:hAnsi="Times New Roman"/>
          <w:b w:val="false"/>
          <w:color w:val="000000"/>
          <w:sz w:val="22"/>
          <w:u w:val="single"/>
        </w:rPr>
        <w:t>Notices; Effectiveness; Electronic Communications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Notices Generally</w:t>
      </w:r>
      <w:r>
        <w:rPr>
          <w:rFonts w:ascii="Times New Roman" w:hAnsi="Times New Roman"/>
          <w:color w:val="000000"/>
          <w:sz w:val="22"/>
        </w:rPr>
        <w:t xml:space="preserve">. Except in the case of notices and other communications expressly permitted to be given by telephone (and except as provided in </w:t>
      </w:r>
      <w:r>
        <w:rPr>
          <w:rFonts w:ascii="Times New Roman" w:hAnsi="Times New Roman"/>
          <w:color w:val="000000"/>
          <w:sz w:val="22"/>
          <w:u w:val="single"/>
        </w:rPr>
        <w:t>Section 11.02(b)</w:t>
      </w:r>
      <w:r>
        <w:rPr>
          <w:rFonts w:ascii="Times New Roman" w:hAnsi="Times New Roman"/>
          <w:color w:val="000000"/>
          <w:sz w:val="22"/>
        </w:rPr>
        <w:t>), all notices and other communications provided for herein shall be in writing and shall be delivered by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hand or overnight courier service, mailed by certified or registered mail or sent by facsimile or e-mail as follows, and all notices and other communications expressly permitted hereunder to be given by telephone shall be made to the applicable telephone number, as follows: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if to any Loan Party, the Administrative Agent or Bank of America in its capacity as an L/C Issuer, to the address, facsimile number, e-mail address or telephone number specified for such Person on </w:t>
      </w:r>
      <w:r>
        <w:rPr>
          <w:rFonts w:ascii="Times New Roman" w:hAnsi="Times New Roman"/>
          <w:color w:val="000000"/>
          <w:sz w:val="22"/>
          <w:u w:val="single"/>
        </w:rPr>
        <w:t>Schedule 11.02</w:t>
      </w:r>
      <w:r>
        <w:rPr>
          <w:rFonts w:ascii="Times New Roman" w:hAnsi="Times New Roman"/>
          <w:color w:val="000000"/>
          <w:sz w:val="22"/>
        </w:rPr>
        <w: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if to any other Lender (including in such Lender’s capacity as an L/C Issuer), to the address, facsimile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Notices and other communications sent by hand or overnight courier service, or mailed by certified or registered mail, shall be deemed to have been given when received; notices and other communications sent by facsimile or e-mail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hAnsi="Times New Roman"/>
          <w:color w:val="000000"/>
          <w:sz w:val="22"/>
          <w:u w:val="single"/>
        </w:rPr>
        <w:t>Section 11.02(b)</w:t>
      </w:r>
      <w:r>
        <w:rPr>
          <w:rFonts w:ascii="Times New Roman" w:hAnsi="Times New Roman"/>
          <w:color w:val="000000"/>
          <w:sz w:val="22"/>
        </w:rPr>
        <w:t xml:space="preserve">, shall be effective as provided in such </w:t>
      </w:r>
      <w:r>
        <w:rPr>
          <w:rFonts w:ascii="Times New Roman" w:hAnsi="Times New Roman"/>
          <w:color w:val="000000"/>
          <w:sz w:val="22"/>
          <w:u w:val="single"/>
        </w:rPr>
        <w:t>Section 11.02(b)</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Electronic Communications</w:t>
      </w:r>
      <w:r>
        <w:rPr>
          <w:rFonts w:ascii="Times New Roman" w:hAnsi="Times New Roman"/>
          <w:color w:val="000000"/>
          <w:sz w:val="22"/>
        </w:rPr>
        <w:t xml:space="preserve">. Notices and other communications to the Lenders and the L/C Issuers hereunder may be delivered or furnished by electronic communication (including e-mail address, FpML messaging and Internet or intranet websites) pursuant to procedures approved by the Administrative Agent;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foregoing shall not apply to notices to any Lender or any L/C Issuer pursuant to </w:t>
      </w:r>
      <w:r>
        <w:rPr>
          <w:rFonts w:ascii="Times New Roman" w:hAnsi="Times New Roman"/>
          <w:color w:val="000000"/>
          <w:sz w:val="22"/>
          <w:u w:val="single"/>
        </w:rPr>
        <w:t>Article II</w:t>
      </w:r>
      <w:r>
        <w:rPr>
          <w:rFonts w:ascii="Times New Roman" w:hAnsi="Times New Roman"/>
          <w:color w:val="000000"/>
          <w:sz w:val="20"/>
        </w:rPr>
        <w:t xml:space="preserve"> </w:t>
      </w:r>
      <w:r>
        <w:rPr>
          <w:rFonts w:ascii="Times New Roman" w:hAnsi="Times New Roman"/>
          <w:color w:val="000000"/>
          <w:sz w:val="22"/>
        </w:rPr>
        <w:t xml:space="preserve">if such Lender or such L/C Issuer, as applicable, has notified the Administrative Agent that it is incapable of receiving notices under such Article by electronic communication. The Administrative Agent, any L/C Issuer or the Borrower may each, in its discretion, agree to accept notices and other communications to it hereunder by electronic communications pursuant to procedures approved by 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approval of such procedures may be limited to particular notices or communications.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 xml:space="preserve">of notification that such notice or communication is available and identifying the website address therefor;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that</w:t>
      </w:r>
      <w:r>
        <w:rPr>
          <w:rFonts w:ascii="Times New Roman" w:hAnsi="Times New Roman"/>
          <w:color w:val="000000"/>
          <w:sz w:val="22"/>
        </w:rPr>
        <w:t xml:space="preserve">, for both </w:t>
      </w:r>
      <w:r>
        <w:rPr>
          <w:rFonts w:ascii="Times New Roman" w:hAnsi="Times New Roman"/>
          <w:color w:val="000000"/>
          <w:sz w:val="22"/>
          <w:u w:val="single"/>
        </w:rPr>
        <w:t>clauses (i)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(ii)</w:t>
      </w:r>
      <w:r>
        <w:rPr>
          <w:rFonts w:ascii="Times New Roman" w:hAnsi="Times New Roman"/>
          <w:color w:val="000000"/>
          <w:sz w:val="22"/>
        </w:rPr>
        <w:t>, if such notice, email or other communication is not sent during the normal business hours of the recipient, such notice, email or communication shall be deemed to have been sent at the opening of business on the next Business Day for the recipient.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The Platform</w:t>
      </w:r>
      <w:r>
        <w:rPr>
          <w:rFonts w:ascii="Times New Roman" w:hAnsi="Times New Roman"/>
          <w:color w:val="000000"/>
          <w:sz w:val="22"/>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MERCHANTABILITY, FITNESS FOR A PARTICULAR PURPOSE, NON-INFRINGEMENT OF THIRD PARTY RIGHTS OR FREEDOM FROM VIRUSES OR OTHER CODE DEFECTS, IS MADE BY ANY AGENT PARTY IN CONNECTION WITH THE BORROWER MATERIALS OR THE PLATFORM. In no event shall any of the Administrative Agent or any of its Related Parties (each an “</w:t>
      </w:r>
      <w:r>
        <w:rPr>
          <w:rFonts w:ascii="Times New Roman" w:hAnsi="Times New Roman"/>
          <w:color w:val="000000"/>
          <w:sz w:val="22"/>
          <w:u w:val="single"/>
        </w:rPr>
        <w:t>Agent Party</w:t>
      </w:r>
      <w:r>
        <w:rPr>
          <w:rFonts w:ascii="Times New Roman" w:hAnsi="Times New Roman"/>
          <w:color w:val="000000"/>
          <w:sz w:val="20"/>
        </w:rPr>
        <w:t>”</w:t>
      </w:r>
      <w:r>
        <w:rPr>
          <w:rFonts w:ascii="Times New Roman" w:hAnsi="Times New Roman"/>
          <w:color w:val="000000"/>
          <w:sz w:val="22"/>
        </w:rPr>
        <w:t>) have any liability to any Loan Party, any Lender, any L/C Issuer or any other Person for losses, claims, damages, liabilities or expenses of any kind (whether in tort, contract or otherwise) arising out of any Loan Party’s or the Administrative Agent’s transmission of Borrower Materials or any other Information through the Internet or any telecommunications, electronic or other information transmission systems except to the extent that such losses, claims, damages, liabilities or expenses are determined by a court of competent jurisdiction by a final nonappealable judgment to have resulted from the gross negligence or willful misconduct of such Agent Party.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Change of Address, Etc.</w:t>
      </w:r>
      <w:r>
        <w:rPr>
          <w:rFonts w:ascii="Times New Roman" w:hAnsi="Times New Roman"/>
          <w:color w:val="000000"/>
          <w:sz w:val="20"/>
        </w:rPr>
        <w:t xml:space="preserve"> </w:t>
      </w:r>
      <w:r>
        <w:rPr>
          <w:rFonts w:ascii="Times New Roman" w:hAnsi="Times New Roman"/>
          <w:color w:val="000000"/>
          <w:sz w:val="22"/>
        </w:rPr>
        <w:t>Each Loan Party, the Administrative Agent and any L/C Issuer may change its address, facsimile or telephone number for notices and other communications hereunder by notice to the other parties hereto. Each other Lender may change its address, facsimile or telephone number or e-mail address for notices and other communications hereunder by notice to each Loan Party, the Administrative Agent and any L/C Issuer. In addition, each Lender agrees to notify the Administrative Agent from time to time to ensure that the Administrative Agent has on record (i) an effective address, contact name, telephone number, facsimile number and e-mail address to which notices and other communications may be sent and (ii) accurate wire instructions for such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Reliance by Administrative Agent, L/C Issuer and Lenders</w:t>
      </w:r>
      <w:r>
        <w:rPr>
          <w:rFonts w:ascii="Times New Roman" w:hAnsi="Times New Roman"/>
          <w:color w:val="000000"/>
          <w:sz w:val="22"/>
        </w:rPr>
        <w:t>. The Administrative Agent, the L/C Issuers and the Lenders shall be entitled to rely and act upon any notices (including telephonic or electronic notices, Loan Notices, Letter of Credit Applications and Notice of Loan Prepayment)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each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11.03 </w:t>
      </w:r>
      <w:r>
        <w:rPr>
          <w:rFonts w:ascii="Times New Roman" w:hAnsi="Times New Roman"/>
          <w:b w:val="false"/>
          <w:color w:val="000000"/>
          <w:sz w:val="22"/>
          <w:u w:val="single"/>
        </w:rPr>
        <w:t>No Waiver; Cumulative Remedies; Enforcement</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before="0" w:after="240"/>
        <w:jc w:val="both"/>
        <w:rPr>
          <w:rFonts w:ascii="Times New Roman" w:hAnsi="Times New Roman"/>
          <w:sz w:val="20"/>
        </w:rPr>
      </w:pPr>
      <w:r>
        <w:rPr>
          <w:rFonts w:ascii="Times New Roman" w:hAnsi="Times New Roman"/>
          <w:color w:val="000000"/>
          <w:sz w:val="22"/>
        </w:rPr>
        <w:t>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accordance with </w:t>
      </w:r>
      <w:r>
        <w:rPr>
          <w:rFonts w:ascii="Times New Roman" w:hAnsi="Times New Roman"/>
          <w:color w:val="000000"/>
          <w:sz w:val="22"/>
          <w:u w:val="single"/>
        </w:rPr>
        <w:t>Section 9.02</w:t>
      </w:r>
      <w:r>
        <w:rPr>
          <w:rFonts w:ascii="Times New Roman" w:hAnsi="Times New Roman"/>
          <w:color w:val="000000"/>
          <w:sz w:val="20"/>
        </w:rPr>
        <w:t xml:space="preserve"> </w:t>
      </w:r>
      <w:r>
        <w:rPr>
          <w:rFonts w:ascii="Times New Roman" w:hAnsi="Times New Roman"/>
          <w:color w:val="000000"/>
          <w:sz w:val="22"/>
        </w:rPr>
        <w:t xml:space="preserve">for the benefit of all the Lenders and the L/C Issuers;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foregoing shall not prohibit (a) the Administrative Agent from exercising on its own behalf the rights and remedies that inure to its benefit (solely in its capacity as Administrative Agent) hereunder and under the other Loan Documents, (b) any L/C Issuer from exercising the rights and remedies that inure to its benefit (solely in its capacity as an L/C Issuer) hereunder and under the other Loan Documents, (c) any Lender from exercising setoff rights in accordance with </w:t>
      </w:r>
      <w:r>
        <w:rPr>
          <w:rFonts w:ascii="Times New Roman" w:hAnsi="Times New Roman"/>
          <w:color w:val="000000"/>
          <w:sz w:val="22"/>
          <w:u w:val="single"/>
        </w:rPr>
        <w:t>Section 11.08</w:t>
      </w:r>
      <w:r>
        <w:rPr>
          <w:rFonts w:ascii="Times New Roman" w:hAnsi="Times New Roman"/>
          <w:color w:val="000000"/>
          <w:sz w:val="20"/>
        </w:rPr>
        <w:t xml:space="preserve"> </w:t>
      </w:r>
      <w:r>
        <w:rPr>
          <w:rFonts w:ascii="Times New Roman" w:hAnsi="Times New Roman"/>
          <w:color w:val="000000"/>
          <w:sz w:val="22"/>
        </w:rPr>
        <w:t xml:space="preserve">(subject to the terms of </w:t>
      </w:r>
      <w:r>
        <w:rPr>
          <w:rFonts w:ascii="Times New Roman" w:hAnsi="Times New Roman"/>
          <w:color w:val="000000"/>
          <w:sz w:val="22"/>
          <w:u w:val="single"/>
        </w:rPr>
        <w:t>Section 2.13</w:t>
      </w:r>
      <w:r>
        <w:rPr>
          <w:rFonts w:ascii="Times New Roman" w:hAnsi="Times New Roman"/>
          <w:color w:val="000000"/>
          <w:sz w:val="22"/>
        </w:rPr>
        <w:t xml:space="preserve">), or (d) any Lender from filing proofs of claim or appearing and filing pleadings on its own behalf during the pendency of a proceeding relative to any Loan Party under any Debtor Relief Law;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at any time there is no Person acting as Administrative Agent hereunder and under the other Loan Documents, then (i) the Required Lenders shall have the rights otherwise ascribed to the Administrative Agent pursuant to </w:t>
      </w:r>
      <w:r>
        <w:rPr>
          <w:rFonts w:ascii="Times New Roman" w:hAnsi="Times New Roman"/>
          <w:color w:val="000000"/>
          <w:sz w:val="22"/>
          <w:u w:val="single"/>
        </w:rPr>
        <w:t>Section 9.02</w:t>
      </w:r>
      <w:r>
        <w:rPr>
          <w:rFonts w:ascii="Times New Roman" w:hAnsi="Times New Roman"/>
          <w:color w:val="000000"/>
          <w:sz w:val="20"/>
        </w:rPr>
        <w:t xml:space="preserve"> </w:t>
      </w:r>
      <w:r>
        <w:rPr>
          <w:rFonts w:ascii="Times New Roman" w:hAnsi="Times New Roman"/>
          <w:color w:val="000000"/>
          <w:sz w:val="22"/>
        </w:rPr>
        <w:t xml:space="preserve">and (ii) in addition to the matters set forth in </w:t>
      </w:r>
      <w:r>
        <w:rPr>
          <w:rFonts w:ascii="Times New Roman" w:hAnsi="Times New Roman"/>
          <w:color w:val="000000"/>
          <w:sz w:val="22"/>
          <w:u w:val="single"/>
        </w:rPr>
        <w:t>clauses (b)</w:t>
      </w:r>
      <w:r>
        <w:rPr>
          <w:rFonts w:ascii="Times New Roman" w:hAnsi="Times New Roman"/>
          <w:color w:val="000000"/>
          <w:sz w:val="22"/>
        </w:rPr>
        <w:t xml:space="preserve">,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(d)</w:t>
      </w:r>
      <w:r>
        <w:rPr>
          <w:rFonts w:ascii="Times New Roman" w:hAnsi="Times New Roman"/>
          <w:color w:val="000000"/>
          <w:sz w:val="20"/>
        </w:rPr>
        <w:t xml:space="preserve"> </w:t>
      </w:r>
      <w:r>
        <w:rPr>
          <w:rFonts w:ascii="Times New Roman" w:hAnsi="Times New Roman"/>
          <w:color w:val="000000"/>
          <w:sz w:val="22"/>
        </w:rPr>
        <w:t xml:space="preserve">of the preceding proviso and subject to </w:t>
      </w:r>
      <w:r>
        <w:rPr>
          <w:rFonts w:ascii="Times New Roman" w:hAnsi="Times New Roman"/>
          <w:color w:val="000000"/>
          <w:sz w:val="22"/>
          <w:u w:val="single"/>
        </w:rPr>
        <w:t>Section 2.13</w:t>
      </w:r>
      <w:r>
        <w:rPr>
          <w:rFonts w:ascii="Times New Roman" w:hAnsi="Times New Roman"/>
          <w:color w:val="000000"/>
          <w:sz w:val="22"/>
        </w:rPr>
        <w:t>, any Lender may, with the consent of the Required Lenders, enforce any rights and remedies available to it and as authorized by the Required Lenders.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11.04 </w:t>
      </w:r>
      <w:r>
        <w:rPr>
          <w:rFonts w:ascii="Times New Roman" w:hAnsi="Times New Roman"/>
          <w:b w:val="false"/>
          <w:color w:val="000000"/>
          <w:sz w:val="22"/>
          <w:u w:val="single"/>
        </w:rPr>
        <w:t>Expenses; Indemnity; Damage Waiver</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Costs and Expenses</w:t>
      </w:r>
      <w:r>
        <w:rPr>
          <w:rFonts w:ascii="Times New Roman" w:hAnsi="Times New Roman"/>
          <w:color w:val="000000"/>
          <w:sz w:val="22"/>
        </w:rPr>
        <w:t>. The Loan Parties shall pay (i) all reasonable and documented out-of-pocket expenses incurred by the Administrative Agent and its Affiliates (including the reasonable and documented fees, charges and disbursements of one primary outside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any L/C Issuer in connection with the issuance, amendment, renewal or extension of any Letter of Credit or any demand for payment thereunder and (iii) all reasonable and documented out-of-pocket expenses incurred by the Administrative Agent, any Lender or any L/C Issuer (including the reasonable and documented fees, charges, disbursements and other charges of (A) one primary outside counsel and one additional local counsel in each relevant jurisdiction for the Administrative Agent, (B) one additional primary counsel, and one additional counsel in each relevant jurisdiction, for all other Indemnitees (taken as a whole) and (C) solely in the case of an actual or potential conflict of interest, as determined by the affected Indemnitees, one additional counsel in each relevant jurisdiction to the affected Indemnitees (similarly situated taken as a whole)), in connection with the enforcement or protection of its rights (1) in connection with this Agreement and the other Loan Documents, including its rights under this Section, or (2) in connection with the Loans made or Letters of Credit issued hereunder, including all such reasonable and documented out-of-pocket expenses incurred during any workout, restructuring or negotiations in respect of such Loans or Letters of Credit.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Indemnification by the Loan Parties</w:t>
      </w:r>
      <w:r>
        <w:rPr>
          <w:rFonts w:ascii="Times New Roman" w:hAnsi="Times New Roman"/>
          <w:color w:val="000000"/>
          <w:sz w:val="22"/>
        </w:rPr>
        <w:t>. The Loan Parties shall indemnify the Administrative Agent (and any sub-agent thereof), each Lender and each L/C Issuer, and each Related Party of any of the foregoing Persons (each such Person being called an “</w:t>
      </w:r>
      <w:r>
        <w:rPr>
          <w:rFonts w:ascii="Times New Roman" w:hAnsi="Times New Roman"/>
          <w:color w:val="000000"/>
          <w:sz w:val="22"/>
          <w:u w:val="single"/>
        </w:rPr>
        <w:t>Indemnitee</w:t>
      </w:r>
      <w:r>
        <w:rPr>
          <w:rFonts w:ascii="Times New Roman" w:hAnsi="Times New Roman"/>
          <w:color w:val="000000"/>
          <w:sz w:val="20"/>
        </w:rPr>
        <w:t>”</w:t>
      </w:r>
      <w:r>
        <w:rPr>
          <w:rFonts w:ascii="Times New Roman" w:hAnsi="Times New Roman"/>
          <w:color w:val="000000"/>
          <w:sz w:val="22"/>
        </w:rPr>
        <w:t>) against, and hold each Indemnitee harmless from, any and all losses, claims, damages, liabilities and related expenses (including the fees, charges and disbursements of any counsel for any Indemnitee (which, in the case of counsel, shall be limited to the reasonable and documented fees, disbursements and other charges of (i) one primary counsel and one additional local counsel in each relevant jurisdiction for the Administrative Agent, (ii) one additional primary counsel, and one additional counsel in each applicable jurisdiction, for all other Indemnitees (taken as a whole) and (iii) solely in the case of an actual or potential conflict of interest, as determined by the affected Indemnitees, one additional counsel in each relevant jurisdiction to the affected Indemnitees (similarly situated taken as a whole)) incurred by any Indemnitee or asserted against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Indemnitee by any Person (including any Loan Party) arising out of, in connection with, or as a result of (A)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hAnsi="Times New Roman"/>
          <w:color w:val="000000"/>
          <w:sz w:val="22"/>
          <w:u w:val="single"/>
        </w:rPr>
        <w:t>Section 3.01</w:t>
      </w:r>
      <w:r>
        <w:rPr>
          <w:rFonts w:ascii="Times New Roman" w:hAnsi="Times New Roman"/>
          <w:color w:val="000000"/>
          <w:sz w:val="22"/>
        </w:rPr>
        <w:t xml:space="preserve">), (B) any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(C) any actual or alleged presence or release of Hazardous Materials on or from any property owned or operated by the Borrower or any Subsidiary, or any Environmental Liability related in any way to the Borrower or any Subsidiary, or (D) any actual or prospective claim, litigation, investigation or proceeding relating to any of the foregoing, whether based on contract, tort or any other theory, whether brought by a third party or by any Loan Party, and regardless of whether any Indemnitee is a party thereto;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any Loan Party against an Indemnitee for breach in bad faith of such Indemnitee’s obligations hereunder or under any other Loan Document, if such Loan Party has obtained a final and nonappealable judgment in its favor on such claim as determined by a court of competent jurisdiction or (z) arise solely from claims of any Indemnitee against one or more other Indemnitees that do not involve or have not resulted from (1) an act or omission of an Indemnitee in its capacity as Administrative Agent, Lender, L/C Issuer, or Arranger and (2) an act or omission (or an alleged act or omission) by any Loan Party or any Subsidiary. Without limiting the provisions of </w:t>
      </w:r>
      <w:r>
        <w:rPr>
          <w:rFonts w:ascii="Times New Roman" w:hAnsi="Times New Roman"/>
          <w:color w:val="000000"/>
          <w:sz w:val="22"/>
          <w:u w:val="single"/>
        </w:rPr>
        <w:t>Section 3.01(c)</w:t>
      </w:r>
      <w:r>
        <w:rPr>
          <w:rFonts w:ascii="Times New Roman" w:hAnsi="Times New Roman"/>
          <w:color w:val="000000"/>
          <w:sz w:val="22"/>
        </w:rPr>
        <w:t xml:space="preserve">, this </w:t>
      </w:r>
      <w:r>
        <w:rPr>
          <w:rFonts w:ascii="Times New Roman" w:hAnsi="Times New Roman"/>
          <w:color w:val="000000"/>
          <w:sz w:val="22"/>
          <w:u w:val="single"/>
        </w:rPr>
        <w:t>Section 11.04(b)</w:t>
      </w:r>
      <w:r>
        <w:rPr>
          <w:rFonts w:ascii="Times New Roman" w:hAnsi="Times New Roman"/>
          <w:color w:val="000000"/>
          <w:sz w:val="20"/>
        </w:rPr>
        <w:t xml:space="preserve"> </w:t>
      </w:r>
      <w:r>
        <w:rPr>
          <w:rFonts w:ascii="Times New Roman" w:hAnsi="Times New Roman"/>
          <w:color w:val="000000"/>
          <w:sz w:val="22"/>
        </w:rPr>
        <w:t>shall not apply with respect to Taxes other than any Taxes that represent losses, claims, damages, etc. arising from any non-Tax claim.</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Reimbursement by Lenders</w:t>
      </w:r>
      <w:r>
        <w:rPr>
          <w:rFonts w:ascii="Times New Roman" w:hAnsi="Times New Roman"/>
          <w:color w:val="000000"/>
          <w:sz w:val="22"/>
        </w:rPr>
        <w:t xml:space="preserve">. To the extent that the Loan Parties for any reason fail to indefeasibly pay any amount required under </w:t>
      </w:r>
      <w:r>
        <w:rPr>
          <w:rFonts w:ascii="Times New Roman" w:hAnsi="Times New Roman"/>
          <w:color w:val="000000"/>
          <w:sz w:val="22"/>
          <w:u w:val="single"/>
        </w:rPr>
        <w:t>Section 11.04(a)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to be paid by them to the Administrative Agent (or any sub-agent thereof), any L/C Issuer or any Related Party of any of the foregoing, each Lender severally agrees to pay to the Administrative Agent (or any such sub-agent), each L/C Issuer or such Related Party, as the case may be, such Lender’s pro rata share (determined as of the time that the applicable unreimbursed expense or indemnity payment is sought based on each Lender’s share of the Total Credit Exposures of all Lenders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unreimbursed expense or indemnified loss, claim, damage, liability or related expense, as the case may be, was incurred by or asserted against the Administrative Agent (or any such sub-agent), any L/C Issuer in its capacity as such, or against any Related Party of any of the foregoing acting for the Administrative Agent (or any such sub-agent), any L/C Issuer in connection with such capacity. The obligations of the Lenders under this </w:t>
      </w:r>
      <w:r>
        <w:rPr>
          <w:rFonts w:ascii="Times New Roman" w:hAnsi="Times New Roman"/>
          <w:color w:val="000000"/>
          <w:sz w:val="22"/>
          <w:u w:val="single"/>
        </w:rPr>
        <w:t>Section 11.04(c)</w:t>
      </w:r>
      <w:r>
        <w:rPr>
          <w:rFonts w:ascii="Times New Roman" w:hAnsi="Times New Roman"/>
          <w:color w:val="000000"/>
          <w:sz w:val="20"/>
        </w:rPr>
        <w:t xml:space="preserve"> </w:t>
      </w:r>
      <w:r>
        <w:rPr>
          <w:rFonts w:ascii="Times New Roman" w:hAnsi="Times New Roman"/>
          <w:color w:val="000000"/>
          <w:sz w:val="22"/>
        </w:rPr>
        <w:t xml:space="preserve">are subject to the provisions of </w:t>
      </w:r>
      <w:r>
        <w:rPr>
          <w:rFonts w:ascii="Times New Roman" w:hAnsi="Times New Roman"/>
          <w:color w:val="000000"/>
          <w:sz w:val="22"/>
          <w:u w:val="single"/>
        </w:rPr>
        <w:t>Section 2.12(d)</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Waiver of Consequential Damages, Etc.</w:t>
      </w:r>
      <w:r>
        <w:rPr>
          <w:rFonts w:ascii="Times New Roman" w:hAnsi="Times New Roman"/>
          <w:color w:val="000000"/>
          <w:sz w:val="20"/>
        </w:rPr>
        <w:t xml:space="preserve"> </w:t>
      </w:r>
      <w:r>
        <w:rPr>
          <w:rFonts w:ascii="Times New Roman" w:hAnsi="Times New Roman"/>
          <w:color w:val="000000"/>
          <w:sz w:val="22"/>
        </w:rPr>
        <w:t>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agreement or instrument contemplated hereby, the transactions contemplated hereby or thereby, any Loan or Letter of Credit or the use of the proceeds thereof, and, for the avoidance of doubt, the Loan Parties shall indemnify any Indemnitee from such claims.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Payments</w:t>
      </w:r>
      <w:r>
        <w:rPr>
          <w:rFonts w:ascii="Times New Roman" w:hAnsi="Times New Roman"/>
          <w:color w:val="000000"/>
          <w:sz w:val="22"/>
        </w:rPr>
        <w:t xml:space="preserve">. All amounts due under this </w:t>
      </w:r>
      <w:r>
        <w:rPr>
          <w:rFonts w:ascii="Times New Roman" w:hAnsi="Times New Roman"/>
          <w:color w:val="000000"/>
          <w:sz w:val="22"/>
          <w:u w:val="single"/>
        </w:rPr>
        <w:t>Section 11.04</w:t>
      </w:r>
      <w:r>
        <w:rPr>
          <w:rFonts w:ascii="Times New Roman" w:hAnsi="Times New Roman"/>
          <w:color w:val="000000"/>
          <w:sz w:val="20"/>
        </w:rPr>
        <w:t xml:space="preserve"> </w:t>
      </w:r>
      <w:r>
        <w:rPr>
          <w:rFonts w:ascii="Times New Roman" w:hAnsi="Times New Roman"/>
          <w:color w:val="000000"/>
          <w:sz w:val="22"/>
        </w:rPr>
        <w:t>shall be payable not later than ten Business Days after demand therefor.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Survival</w:t>
      </w:r>
      <w:r>
        <w:rPr>
          <w:rFonts w:ascii="Times New Roman" w:hAnsi="Times New Roman"/>
          <w:color w:val="000000"/>
          <w:sz w:val="22"/>
        </w:rPr>
        <w:t xml:space="preserve">. The agreements in this </w:t>
      </w:r>
      <w:r>
        <w:rPr>
          <w:rFonts w:ascii="Times New Roman" w:hAnsi="Times New Roman"/>
          <w:color w:val="000000"/>
          <w:sz w:val="22"/>
          <w:u w:val="single"/>
        </w:rPr>
        <w:t>Section 11.04</w:t>
      </w:r>
      <w:r>
        <w:rPr>
          <w:rFonts w:ascii="Times New Roman" w:hAnsi="Times New Roman"/>
          <w:color w:val="000000"/>
          <w:sz w:val="20"/>
        </w:rPr>
        <w:t xml:space="preserve"> </w:t>
      </w:r>
      <w:r>
        <w:rPr>
          <w:rFonts w:ascii="Times New Roman" w:hAnsi="Times New Roman"/>
          <w:color w:val="000000"/>
          <w:sz w:val="22"/>
        </w:rPr>
        <w:t xml:space="preserve">and the indemnity provisions of </w:t>
      </w:r>
      <w:r>
        <w:rPr>
          <w:rFonts w:ascii="Times New Roman" w:hAnsi="Times New Roman"/>
          <w:color w:val="000000"/>
          <w:sz w:val="22"/>
          <w:u w:val="single"/>
        </w:rPr>
        <w:t>Section 11.02(e)</w:t>
      </w:r>
      <w:r>
        <w:rPr>
          <w:rFonts w:ascii="Times New Roman" w:hAnsi="Times New Roman"/>
          <w:color w:val="000000"/>
          <w:sz w:val="20"/>
        </w:rPr>
        <w:t xml:space="preserve"> </w:t>
      </w:r>
      <w:r>
        <w:rPr>
          <w:rFonts w:ascii="Times New Roman" w:hAnsi="Times New Roman"/>
          <w:color w:val="000000"/>
          <w:sz w:val="22"/>
        </w:rPr>
        <w:t>shall survive the resignation of the Administrative Agent and any L/C Issuer, the replacement of any Lender, the termination of the Aggregate Revolving Commitments, the termination of the Loan Documents and the Facility Termination Date.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11.05 </w:t>
      </w:r>
      <w:r>
        <w:rPr>
          <w:rFonts w:ascii="Times New Roman" w:hAnsi="Times New Roman"/>
          <w:b w:val="false"/>
          <w:color w:val="000000"/>
          <w:sz w:val="22"/>
          <w:u w:val="single"/>
        </w:rPr>
        <w:t>Payments Set Aside</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To the extent that any payment by or on behalf of any Loan Party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interest thereon from the date of such demand to the date such payment is made at a rate per annum equal to the Federal Funds Rate from time to time in effect. The obligations of the Lenders and the L/C Issuers under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of the preceding sentence shall survive the Facility Termination Date and the termination of this Agreement.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11.06 </w:t>
      </w:r>
      <w:r>
        <w:rPr>
          <w:rFonts w:ascii="Times New Roman" w:hAnsi="Times New Roman"/>
          <w:b w:val="false"/>
          <w:color w:val="000000"/>
          <w:sz w:val="22"/>
          <w:u w:val="single"/>
        </w:rPr>
        <w:t>Successors and Assigns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Successors and Assigns Generally</w:t>
      </w:r>
      <w:r>
        <w:rPr>
          <w:rFonts w:ascii="Times New Roman" w:hAnsi="Times New Roman"/>
          <w:color w:val="000000"/>
          <w:sz w:val="22"/>
        </w:rPr>
        <w:t xml:space="preserve">. The provisions of this Agreement and the other Loan Documents shall be binding upon and inure to the benefit of the parties hereto and thereto and their respective successors and assigns permitted hereby, except that the Borrower may not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hAnsi="Times New Roman"/>
          <w:color w:val="000000"/>
          <w:sz w:val="22"/>
          <w:u w:val="single"/>
        </w:rPr>
        <w:t>Section 11.06(b)</w:t>
      </w:r>
      <w:r>
        <w:rPr>
          <w:rFonts w:ascii="Times New Roman" w:hAnsi="Times New Roman"/>
          <w:color w:val="000000"/>
          <w:sz w:val="22"/>
        </w:rPr>
        <w:t xml:space="preserve">, (ii) by way of participation in accordance with the provisions of </w:t>
      </w:r>
      <w:r>
        <w:rPr>
          <w:rFonts w:ascii="Times New Roman" w:hAnsi="Times New Roman"/>
          <w:color w:val="000000"/>
          <w:sz w:val="22"/>
          <w:u w:val="single"/>
        </w:rPr>
        <w:t>Section 11.06(d)</w:t>
      </w:r>
      <w:r>
        <w:rPr>
          <w:rFonts w:ascii="Times New Roman" w:hAnsi="Times New Roman"/>
          <w:color w:val="000000"/>
          <w:sz w:val="20"/>
        </w:rPr>
        <w:t xml:space="preserve"> </w:t>
      </w:r>
      <w:r>
        <w:rPr>
          <w:rFonts w:ascii="Times New Roman" w:hAnsi="Times New Roman"/>
          <w:color w:val="000000"/>
          <w:sz w:val="22"/>
        </w:rPr>
        <w:t xml:space="preserve">or (iii) by way of pledge or assignment of a security interest subject to the restrictions of </w:t>
      </w:r>
      <w:r>
        <w:rPr>
          <w:rFonts w:ascii="Times New Roman" w:hAnsi="Times New Roman"/>
          <w:color w:val="000000"/>
          <w:sz w:val="22"/>
          <w:u w:val="single"/>
        </w:rPr>
        <w:t>Section 11.06(f)</w:t>
      </w:r>
      <w:r>
        <w:rPr>
          <w:rFonts w:ascii="Times New Roman" w:hAnsi="Times New Roman"/>
          <w:color w:val="000000"/>
          <w:sz w:val="20"/>
        </w:rPr>
        <w:t xml:space="preserve"> </w:t>
      </w:r>
      <w:r>
        <w:rPr>
          <w:rFonts w:ascii="Times New Roman" w:hAnsi="Times New Roman"/>
          <w:color w:val="000000"/>
          <w:sz w:val="22"/>
        </w:rPr>
        <w:t xml:space="preserve">(and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hAnsi="Times New Roman"/>
          <w:color w:val="000000"/>
          <w:sz w:val="22"/>
          <w:u w:val="single"/>
        </w:rPr>
        <w:t>Section 11.06(d)</w:t>
      </w:r>
      <w:r>
        <w:rPr>
          <w:rFonts w:ascii="Times New Roman" w:hAnsi="Times New Roman"/>
          <w:color w:val="000000"/>
          <w:sz w:val="20"/>
        </w:rPr>
        <w:t xml:space="preserve"> </w:t>
      </w:r>
      <w:r>
        <w:rPr>
          <w:rFonts w:ascii="Times New Roman" w:hAnsi="Times New Roman"/>
          <w:color w:val="000000"/>
          <w:sz w:val="22"/>
        </w:rPr>
        <w:t>and, to the extent expressly contemplated hereby, the Related Parties of each of the Administrative Agent, the L/C Issuers and the Lenders) any legal or equitable right, remedy or claim under or by reason of this Agreement.</w:t>
      </w:r>
    </w:p>
    <w:p>
      <w:pPr>
        <w:pStyle w:val="TextBody"/>
        <w:bidi w:val="0"/>
        <w:jc w:val="center"/>
        <w:rPr>
          <w:rFonts w:ascii="Times New Roman" w:hAnsi="Times New Roman"/>
          <w:color w:val="000000"/>
          <w:sz w:val="22"/>
        </w:rPr>
      </w:pPr>
      <w:r>
        <w:rPr>
          <w:rFonts w:ascii="Times New Roman" w:hAnsi="Times New Roman"/>
          <w:color w:val="000000"/>
          <w:sz w:val="22"/>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Assignments by Lenders</w:t>
      </w:r>
      <w:r>
        <w:rPr>
          <w:rFonts w:ascii="Times New Roman" w:hAnsi="Times New Roman"/>
          <w:color w:val="000000"/>
          <w:sz w:val="22"/>
        </w:rPr>
        <w:t xml:space="preserve">. Any Lender may at any time assign to one or more assignees all or a portion of its rights and obligations under this Agreement and the other Loan Documents (including all or a portion of its Commitments and the Loans (including for purposes of this </w:t>
      </w:r>
      <w:r>
        <w:rPr>
          <w:rFonts w:ascii="Times New Roman" w:hAnsi="Times New Roman"/>
          <w:color w:val="000000"/>
          <w:sz w:val="22"/>
          <w:u w:val="single"/>
        </w:rPr>
        <w:t>Section 11.06(b)</w:t>
      </w:r>
      <w:r>
        <w:rPr>
          <w:rFonts w:ascii="Times New Roman" w:hAnsi="Times New Roman"/>
          <w:color w:val="000000"/>
          <w:sz w:val="22"/>
        </w:rPr>
        <w:t xml:space="preserve">, participations in L/C Obligations) at the time owing to 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 such assignment shall be subject to the following conditions: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Minimum Amounts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w:t>
      </w:r>
      <w:r>
        <w:rPr>
          <w:rFonts w:ascii="Times New Roman" w:hAnsi="Times New Roman"/>
          <w:color w:val="000000"/>
          <w:sz w:val="22"/>
          <w:u w:val="single"/>
        </w:rPr>
        <w:t>Section 11.06(b)(i)(B)</w:t>
      </w:r>
      <w:r>
        <w:rPr>
          <w:rFonts w:ascii="Times New Roman" w:hAnsi="Times New Roman"/>
          <w:color w:val="000000"/>
          <w:sz w:val="20"/>
        </w:rPr>
        <w:t xml:space="preserve"> </w:t>
      </w:r>
      <w:r>
        <w:rPr>
          <w:rFonts w:ascii="Times New Roman" w:hAnsi="Times New Roman"/>
          <w:color w:val="000000"/>
          <w:sz w:val="22"/>
        </w:rPr>
        <w:t>in the aggregate, or in the case of an assignment to a Lender, an Affiliate of a Lender or an Approved Fund, no minimum amount need be assigned.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In any case not described in </w:t>
      </w:r>
      <w:r>
        <w:rPr>
          <w:rFonts w:ascii="Times New Roman" w:hAnsi="Times New Roman"/>
          <w:color w:val="000000"/>
          <w:sz w:val="22"/>
          <w:u w:val="single"/>
        </w:rPr>
        <w:t>Section 11.06(b)(i)(A)</w:t>
      </w:r>
      <w:r>
        <w:rPr>
          <w:rFonts w:ascii="Times New Roman" w:hAnsi="Times New Roman"/>
          <w:color w:val="000000"/>
          <w:sz w:val="22"/>
        </w:rPr>
        <w:t>,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a Revolving Commitment (and the related Revolving Loans thereunder) and $1,000,000 in the case of any assignment in respect of any Term Loan, unless each of the Administrative Agent and, so long as no Event of Default has occurred and is continuing, the Borrower otherwise consents (each such consent not to be unreasonably withheld or delayed).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t>
      </w:r>
      <w:r>
        <w:rPr>
          <w:rFonts w:ascii="Times New Roman" w:hAnsi="Times New Roman"/>
          <w:color w:val="000000"/>
          <w:sz w:val="22"/>
          <w:u w:val="single"/>
        </w:rPr>
        <w:t>Proportionate Amounts</w:t>
      </w:r>
      <w:r>
        <w:rPr>
          <w:rFonts w:ascii="Times New Roman" w:hAnsi="Times New Roman"/>
          <w:color w:val="000000"/>
          <w:sz w:val="22"/>
        </w:rPr>
        <w:t xml:space="preserve">. Each partial assignment shall be made as an assignment of a proportionate part of all the assigning Lender’s Loans and Commitments, and rights and obligations with respect thereto assigned, except that this </w:t>
      </w:r>
      <w:r>
        <w:rPr>
          <w:rFonts w:ascii="Times New Roman" w:hAnsi="Times New Roman"/>
          <w:color w:val="000000"/>
          <w:sz w:val="22"/>
          <w:u w:val="single"/>
        </w:rPr>
        <w:t>Section 11.06(b)(ii)</w:t>
      </w:r>
      <w:r>
        <w:rPr>
          <w:rFonts w:ascii="Times New Roman" w:hAnsi="Times New Roman"/>
          <w:color w:val="000000"/>
          <w:sz w:val="20"/>
        </w:rPr>
        <w:t xml:space="preserve"> </w:t>
      </w:r>
      <w:r>
        <w:rPr>
          <w:rFonts w:ascii="Times New Roman" w:hAnsi="Times New Roman"/>
          <w:color w:val="000000"/>
          <w:sz w:val="22"/>
        </w:rPr>
        <w:t>shall not prohibit any Lender from assigning all or a portion of its rights and obligations in respect of its Revolving Commitment (and the related Revolving Loans thereunder) and its outstanding Term Loans on a non-pro rata basis.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w:t>
      </w:r>
      <w:r>
        <w:rPr>
          <w:rFonts w:ascii="Times New Roman" w:hAnsi="Times New Roman"/>
          <w:color w:val="000000"/>
          <w:sz w:val="22"/>
          <w:u w:val="single"/>
        </w:rPr>
        <w:t>Required Consents</w:t>
      </w:r>
      <w:r>
        <w:rPr>
          <w:rFonts w:ascii="Times New Roman" w:hAnsi="Times New Roman"/>
          <w:color w:val="000000"/>
          <w:sz w:val="22"/>
        </w:rPr>
        <w:t xml:space="preserve">. No consent shall be required for any assignment except to the extent required by </w:t>
      </w:r>
      <w:r>
        <w:rPr>
          <w:rFonts w:ascii="Times New Roman" w:hAnsi="Times New Roman"/>
          <w:color w:val="000000"/>
          <w:sz w:val="22"/>
          <w:u w:val="single"/>
        </w:rPr>
        <w:t>Section 11.06(b)(i)(B)</w:t>
      </w:r>
      <w:r>
        <w:rPr>
          <w:rFonts w:ascii="Times New Roman" w:hAnsi="Times New Roman"/>
          <w:color w:val="000000"/>
          <w:sz w:val="20"/>
        </w:rPr>
        <w:t xml:space="preserve"> </w:t>
      </w:r>
      <w:r>
        <w:rPr>
          <w:rFonts w:ascii="Times New Roman" w:hAnsi="Times New Roman"/>
          <w:color w:val="000000"/>
          <w:sz w:val="22"/>
        </w:rPr>
        <w:t>and, in addition: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other than for Term Loans, 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Borrower shall be deemed to have consented to any such assignment unless it shall object thereto by written notice to the Administrative Agent within ten (10) Business Days after having received notice thereof;</w:t>
      </w:r>
    </w:p>
    <w:p>
      <w:pPr>
        <w:pStyle w:val="TextBody"/>
        <w:bidi w:val="0"/>
        <w:spacing w:before="0" w:after="240"/>
        <w:jc w:val="both"/>
        <w:rPr>
          <w:rFonts w:ascii="Times New Roman" w:hAnsi="Times New Roman"/>
          <w:sz w:val="20"/>
        </w:rPr>
      </w:pPr>
      <w:r>
        <w:rPr>
          <w:rFonts w:ascii="Times New Roman" w:hAnsi="Times New Roman"/>
          <w:color w:val="000000"/>
          <w:sz w:val="22"/>
        </w:rPr>
        <w:t>(B) the consent of the Administrative Agent (such consent not to be unreasonably withheld or delayed) shall be required for assignments in respect of (1) any unfunded Commitment if such assignment is to a Person that is not a</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Lender with a Commitment in respect of the applicable credit facility subject to such assignment, an Affiliate of such Lender or an Approved Fund with respect to such Lender or (2) any Term Loan to a Person that is not a Lender, an Affiliate of a Lender or an Approved Fund;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consent of the L/C Issuers (not to be unreasonably withheld or delayed) shall be required for any assignment in respect of Revolving Commitments and/or Revolving Loans.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w:t>
      </w:r>
      <w:r>
        <w:rPr>
          <w:rFonts w:ascii="Times New Roman" w:hAnsi="Times New Roman"/>
          <w:color w:val="000000"/>
          <w:sz w:val="22"/>
          <w:u w:val="single"/>
        </w:rPr>
        <w:t>Assignment and Assumption</w:t>
      </w:r>
      <w:r>
        <w:rPr>
          <w:rFonts w:ascii="Times New Roman" w:hAnsi="Times New Roman"/>
          <w:color w:val="000000"/>
          <w:sz w:val="22"/>
        </w:rPr>
        <w:t xml:space="preserve">. The parties to each assignment shall execute and deliver to the Administrative Agent an Assignment and Assumption, together with a processing and recordation fee in the amount of $3,500;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Administrative Agent may, in its sole discretion, elect to waive such processing and recordation fee in the case of any assignment. The assignee, if it is not a Lender, shall deliver to the Administrative Agent an Administrative Questionnaire.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w:t>
      </w:r>
      <w:r>
        <w:rPr>
          <w:rFonts w:ascii="Times New Roman" w:hAnsi="Times New Roman"/>
          <w:color w:val="000000"/>
          <w:sz w:val="22"/>
          <w:u w:val="single"/>
        </w:rPr>
        <w:t>No Assignment to Certain Persons</w:t>
      </w:r>
      <w:r>
        <w:rPr>
          <w:rFonts w:ascii="Times New Roman" w:hAnsi="Times New Roman"/>
          <w:color w:val="000000"/>
          <w:sz w:val="22"/>
        </w:rPr>
        <w:t xml:space="preserve">. No such assignment shall be made (A) to the Borrower or any of the Borrower’s Affiliates or Subsidiaries, (B) to any Defaulting Lender or any of its Affiliates or Subsidiaries, or any Person who, upon becoming a Lender hereunder, would constitute any of the foregoing Persons described in this </w:t>
      </w:r>
      <w:r>
        <w:rPr>
          <w:rFonts w:ascii="Times New Roman" w:hAnsi="Times New Roman"/>
          <w:color w:val="000000"/>
          <w:sz w:val="22"/>
          <w:u w:val="single"/>
        </w:rPr>
        <w:t>Section 11.06(b)(v)(B)</w:t>
      </w:r>
      <w:r>
        <w:rPr>
          <w:rFonts w:ascii="Times New Roman" w:hAnsi="Times New Roman"/>
          <w:color w:val="000000"/>
          <w:sz w:val="20"/>
        </w:rPr>
        <w:t xml:space="preserve"> </w:t>
      </w:r>
      <w:r>
        <w:rPr>
          <w:rFonts w:ascii="Times New Roman" w:hAnsi="Times New Roman"/>
          <w:color w:val="000000"/>
          <w:sz w:val="22"/>
        </w:rPr>
        <w:t>or (C) to a natural Person (or a holding company, investment vehicle or trust for, or owned and operated by or for the primary benefit of one or more natural Persons).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 </w:t>
      </w:r>
      <w:r>
        <w:rPr>
          <w:rFonts w:ascii="Times New Roman" w:hAnsi="Times New Roman"/>
          <w:color w:val="000000"/>
          <w:sz w:val="22"/>
          <w:u w:val="single"/>
        </w:rPr>
        <w:t>Certain Additional Payments</w:t>
      </w:r>
      <w:r>
        <w:rPr>
          <w:rFonts w:ascii="Times New Roman" w:hAnsi="Times New Roman"/>
          <w:color w:val="000000"/>
          <w:sz w:val="22"/>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Subject to acceptance and recording thereof by the Administrative Agent pursuant to </w:t>
      </w:r>
      <w:r>
        <w:rPr>
          <w:rFonts w:ascii="Times New Roman" w:hAnsi="Times New Roman"/>
          <w:color w:val="000000"/>
          <w:sz w:val="22"/>
          <w:u w:val="single"/>
        </w:rPr>
        <w:t>Section 11.06(c)</w:t>
      </w:r>
      <w:r>
        <w:rPr>
          <w:rFonts w:ascii="Times New Roman" w:hAnsi="Times New Roman"/>
          <w:color w:val="000000"/>
          <w:sz w:val="22"/>
        </w:rPr>
        <w:t>,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to the benefits of </w:t>
      </w:r>
      <w:r>
        <w:rPr>
          <w:rFonts w:ascii="Times New Roman" w:hAnsi="Times New Roman"/>
          <w:color w:val="000000"/>
          <w:sz w:val="22"/>
          <w:u w:val="single"/>
        </w:rPr>
        <w:t>Sections 3.01</w:t>
      </w:r>
      <w:r>
        <w:rPr>
          <w:rFonts w:ascii="Times New Roman" w:hAnsi="Times New Roman"/>
          <w:color w:val="000000"/>
          <w:sz w:val="22"/>
        </w:rPr>
        <w:t xml:space="preserve">, </w:t>
      </w:r>
      <w:r>
        <w:rPr>
          <w:rFonts w:ascii="Times New Roman" w:hAnsi="Times New Roman"/>
          <w:color w:val="000000"/>
          <w:sz w:val="22"/>
          <w:u w:val="single"/>
        </w:rPr>
        <w:t>3.04</w:t>
      </w:r>
      <w:r>
        <w:rPr>
          <w:rFonts w:ascii="Times New Roman" w:hAnsi="Times New Roman"/>
          <w:color w:val="000000"/>
          <w:sz w:val="22"/>
        </w:rPr>
        <w:t xml:space="preserve">, </w:t>
      </w:r>
      <w:r>
        <w:rPr>
          <w:rFonts w:ascii="Times New Roman" w:hAnsi="Times New Roman"/>
          <w:color w:val="000000"/>
          <w:sz w:val="22"/>
          <w:u w:val="single"/>
        </w:rPr>
        <w:t>3.05</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11.04</w:t>
      </w:r>
      <w:r>
        <w:rPr>
          <w:rFonts w:ascii="Times New Roman" w:hAnsi="Times New Roman"/>
          <w:color w:val="000000"/>
          <w:sz w:val="20"/>
        </w:rPr>
        <w:t xml:space="preserve"> </w:t>
      </w:r>
      <w:r>
        <w:rPr>
          <w:rFonts w:ascii="Times New Roman" w:hAnsi="Times New Roman"/>
          <w:color w:val="000000"/>
          <w:sz w:val="22"/>
        </w:rPr>
        <w:t xml:space="preserve">with respect to facts and circumstances occurring prior to the effective date of such assignment);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hAnsi="Times New Roman"/>
          <w:color w:val="000000"/>
          <w:sz w:val="22"/>
          <w:u w:val="single"/>
        </w:rPr>
        <w:t>Section 11.06(d)</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Register</w:t>
      </w:r>
      <w:r>
        <w:rPr>
          <w:rFonts w:ascii="Times New Roman" w:hAnsi="Times New Roman"/>
          <w:color w:val="000000"/>
          <w:sz w:val="22"/>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hAnsi="Times New Roman"/>
          <w:color w:val="000000"/>
          <w:sz w:val="22"/>
          <w:u w:val="single"/>
        </w:rPr>
        <w:t>Register</w:t>
      </w:r>
      <w:r>
        <w:rPr>
          <w:rFonts w:ascii="Times New Roman" w:hAnsi="Times New Roman"/>
          <w:color w:val="000000"/>
          <w:sz w:val="20"/>
        </w:rPr>
        <w:t>”</w:t>
      </w:r>
      <w:r>
        <w:rPr>
          <w:rFonts w:ascii="Times New Roman" w:hAnsi="Times New Roman"/>
          <w:color w:val="000000"/>
          <w:sz w:val="22"/>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Participations</w:t>
      </w:r>
      <w:r>
        <w:rPr>
          <w:rFonts w:ascii="Times New Roman" w:hAnsi="Times New Roman"/>
          <w:color w:val="000000"/>
          <w:sz w:val="22"/>
        </w:rPr>
        <w:t>. Any Lender may at any time, without the consent of, or notice to, the Borrower, the Administrative Agent or L/C Issuers, sell participations to any Person (other than a natural Person (or a holding company, investment vehicle or trust for, or owned and operated by or for the primary benefit of one or more natural Persons), a Defaulting Lender, the Borrower or any of the Borrower’s Affiliates or Subsidiaries or any holder of Subordinated Indebtedness or such holder’s Affiliates or Subsidiaries) (each, a “</w:t>
      </w:r>
      <w:r>
        <w:rPr>
          <w:rFonts w:ascii="Times New Roman" w:hAnsi="Times New Roman"/>
          <w:color w:val="000000"/>
          <w:sz w:val="22"/>
          <w:u w:val="single"/>
        </w:rPr>
        <w:t>Participant</w:t>
      </w:r>
      <w:r>
        <w:rPr>
          <w:rFonts w:ascii="Times New Roman" w:hAnsi="Times New Roman"/>
          <w:color w:val="000000"/>
          <w:sz w:val="20"/>
        </w:rPr>
        <w:t>”</w:t>
      </w:r>
      <w:r>
        <w:rPr>
          <w:rFonts w:ascii="Times New Roman" w:hAnsi="Times New Roman"/>
          <w:color w:val="000000"/>
          <w:sz w:val="22"/>
        </w:rPr>
        <w:t xml:space="preserve">) in all or a portion of such Lender’s rights and/or obligations under this Agreement (including all or a portion of its Commitment(s) and/or the Loans (including such Lender’s participations in L/C Obligations) owing to 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such Lender’s obligations under this Agreement shall remain unchanged, (ii) such Lender shall remain solely responsible to the other parties hereto for the performance of such obligations and (iii) the Borrower,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Times New Roman" w:hAnsi="Times New Roman"/>
          <w:color w:val="000000"/>
          <w:sz w:val="22"/>
          <w:u w:val="single"/>
        </w:rPr>
        <w:t>Section 11.04(c)</w:t>
      </w:r>
      <w:r>
        <w:rPr>
          <w:rFonts w:ascii="Times New Roman" w:hAnsi="Times New Roman"/>
          <w:color w:val="000000"/>
          <w:sz w:val="20"/>
        </w:rPr>
        <w:t xml:space="preserve"> </w:t>
      </w:r>
      <w:r>
        <w:rPr>
          <w:rFonts w:ascii="Times New Roman" w:hAnsi="Times New Roman"/>
          <w:color w:val="000000"/>
          <w:sz w:val="22"/>
        </w:rPr>
        <w:t>without regard to the existence of any participation.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agreement or instrument may provide that such Lender will not, without the consent of the Participant, agree to any amendment, waiver or other modification described in </w:t>
      </w:r>
      <w:r>
        <w:rPr>
          <w:rFonts w:ascii="Times New Roman" w:hAnsi="Times New Roman"/>
          <w:color w:val="000000"/>
          <w:sz w:val="22"/>
          <w:u w:val="single"/>
        </w:rPr>
        <w:t>Section 11.01(a)</w:t>
      </w:r>
      <w:r>
        <w:rPr>
          <w:rFonts w:ascii="Times New Roman" w:hAnsi="Times New Roman"/>
          <w:color w:val="000000"/>
          <w:sz w:val="20"/>
        </w:rPr>
        <w:t xml:space="preserve"> </w:t>
      </w:r>
      <w:r>
        <w:rPr>
          <w:rFonts w:ascii="Times New Roman" w:hAnsi="Times New Roman"/>
          <w:color w:val="000000"/>
          <w:sz w:val="22"/>
        </w:rPr>
        <w:t xml:space="preserve">that affects such Participant. The Borrower agrees that each Participant shall be entitled to the benefits of </w:t>
      </w:r>
      <w:r>
        <w:rPr>
          <w:rFonts w:ascii="Times New Roman" w:hAnsi="Times New Roman"/>
          <w:color w:val="000000"/>
          <w:sz w:val="22"/>
          <w:u w:val="single"/>
        </w:rPr>
        <w:t>Sections 3.01</w:t>
      </w:r>
      <w:r>
        <w:rPr>
          <w:rFonts w:ascii="Times New Roman" w:hAnsi="Times New Roman"/>
          <w:color w:val="000000"/>
          <w:sz w:val="22"/>
        </w:rPr>
        <w:t xml:space="preserve">, </w:t>
      </w:r>
      <w:r>
        <w:rPr>
          <w:rFonts w:ascii="Times New Roman" w:hAnsi="Times New Roman"/>
          <w:color w:val="000000"/>
          <w:sz w:val="22"/>
          <w:u w:val="single"/>
        </w:rPr>
        <w:t>3.04</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3.05</w:t>
      </w:r>
      <w:r>
        <w:rPr>
          <w:rFonts w:ascii="Times New Roman" w:hAnsi="Times New Roman"/>
          <w:color w:val="000000"/>
          <w:sz w:val="20"/>
        </w:rPr>
        <w:t xml:space="preserve"> </w:t>
      </w:r>
      <w:r>
        <w:rPr>
          <w:rFonts w:ascii="Times New Roman" w:hAnsi="Times New Roman"/>
          <w:color w:val="000000"/>
          <w:sz w:val="22"/>
        </w:rPr>
        <w:t xml:space="preserve">to the same extent as if it were a Lender and had acquired its interest by assignment pursuant to </w:t>
      </w:r>
      <w:r>
        <w:rPr>
          <w:rFonts w:ascii="Times New Roman" w:hAnsi="Times New Roman"/>
          <w:color w:val="000000"/>
          <w:sz w:val="22"/>
          <w:u w:val="single"/>
        </w:rPr>
        <w:t>Section 11.06(b)</w:t>
      </w:r>
      <w:r>
        <w:rPr>
          <w:rFonts w:ascii="Times New Roman" w:hAnsi="Times New Roman"/>
          <w:color w:val="000000"/>
          <w:sz w:val="20"/>
        </w:rPr>
        <w:t xml:space="preserve"> </w:t>
      </w:r>
      <w:r>
        <w:rPr>
          <w:rFonts w:ascii="Times New Roman" w:hAnsi="Times New Roman"/>
          <w:color w:val="000000"/>
          <w:sz w:val="22"/>
        </w:rPr>
        <w:t xml:space="preserve">(it being understood that the documentation required under </w:t>
      </w:r>
      <w:r>
        <w:rPr>
          <w:rFonts w:ascii="Times New Roman" w:hAnsi="Times New Roman"/>
          <w:color w:val="000000"/>
          <w:sz w:val="22"/>
          <w:u w:val="single"/>
        </w:rPr>
        <w:t>Section 3.01(e)</w:t>
      </w:r>
      <w:r>
        <w:rPr>
          <w:rFonts w:ascii="Times New Roman" w:hAnsi="Times New Roman"/>
          <w:color w:val="000000"/>
          <w:sz w:val="20"/>
        </w:rPr>
        <w:t xml:space="preserve"> </w:t>
      </w:r>
      <w:r>
        <w:rPr>
          <w:rFonts w:ascii="Times New Roman" w:hAnsi="Times New Roman"/>
          <w:color w:val="000000"/>
          <w:sz w:val="22"/>
        </w:rPr>
        <w:t xml:space="preserve">shall be delivered to the Lender who sells the participation) to the same extent as if it were a Lender and had acquired its interest by assignment pursuant to </w:t>
      </w:r>
      <w:r>
        <w:rPr>
          <w:rFonts w:ascii="Times New Roman" w:hAnsi="Times New Roman"/>
          <w:color w:val="000000"/>
          <w:sz w:val="22"/>
          <w:u w:val="single"/>
        </w:rPr>
        <w:t>Section 11.06(b)</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Participant (A) agrees to be subject to the provisions of </w:t>
      </w:r>
      <w:r>
        <w:rPr>
          <w:rFonts w:ascii="Times New Roman" w:hAnsi="Times New Roman"/>
          <w:color w:val="000000"/>
          <w:sz w:val="22"/>
          <w:u w:val="single"/>
        </w:rPr>
        <w:t>Sections 3.06</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11.13</w:t>
      </w:r>
      <w:r>
        <w:rPr>
          <w:rFonts w:ascii="Times New Roman" w:hAnsi="Times New Roman"/>
          <w:color w:val="000000"/>
          <w:sz w:val="20"/>
        </w:rPr>
        <w:t xml:space="preserve"> </w:t>
      </w:r>
      <w:r>
        <w:rPr>
          <w:rFonts w:ascii="Times New Roman" w:hAnsi="Times New Roman"/>
          <w:color w:val="000000"/>
          <w:sz w:val="22"/>
        </w:rPr>
        <w:t xml:space="preserve">as if it were an assignee under </w:t>
      </w:r>
      <w:r>
        <w:rPr>
          <w:rFonts w:ascii="Times New Roman" w:hAnsi="Times New Roman"/>
          <w:color w:val="000000"/>
          <w:sz w:val="22"/>
          <w:u w:val="single"/>
        </w:rPr>
        <w:t>Section 11.06(b)</w:t>
      </w:r>
      <w:r>
        <w:rPr>
          <w:rFonts w:ascii="Times New Roman" w:hAnsi="Times New Roman"/>
          <w:color w:val="000000"/>
          <w:sz w:val="20"/>
        </w:rPr>
        <w:t xml:space="preserve"> </w:t>
      </w:r>
      <w:r>
        <w:rPr>
          <w:rFonts w:ascii="Times New Roman" w:hAnsi="Times New Roman"/>
          <w:color w:val="000000"/>
          <w:sz w:val="22"/>
        </w:rPr>
        <w:t xml:space="preserve">and (B) shall not be entitled to receive any greater payment under </w:t>
      </w:r>
      <w:r>
        <w:rPr>
          <w:rFonts w:ascii="Times New Roman" w:hAnsi="Times New Roman"/>
          <w:color w:val="000000"/>
          <w:sz w:val="22"/>
          <w:u w:val="single"/>
        </w:rPr>
        <w:t>Section 3.01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3.04</w:t>
      </w:r>
      <w:r>
        <w:rPr>
          <w:rFonts w:ascii="Times New Roman" w:hAnsi="Times New Roman"/>
          <w:color w:val="000000"/>
          <w:sz w:val="22"/>
        </w:rPr>
        <w:t>, with respect to any participation, than the Lender from whom it acquired the applicable participation would have been entitled to receive, except to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hAnsi="Times New Roman"/>
          <w:color w:val="000000"/>
          <w:sz w:val="22"/>
          <w:u w:val="single"/>
        </w:rPr>
        <w:t>Section 3.06</w:t>
      </w:r>
      <w:r>
        <w:rPr>
          <w:rFonts w:ascii="Times New Roman" w:hAnsi="Times New Roman"/>
          <w:color w:val="000000"/>
          <w:sz w:val="20"/>
        </w:rPr>
        <w:t xml:space="preserve"> </w:t>
      </w:r>
      <w:r>
        <w:rPr>
          <w:rFonts w:ascii="Times New Roman" w:hAnsi="Times New Roman"/>
          <w:color w:val="000000"/>
          <w:sz w:val="22"/>
        </w:rPr>
        <w:t xml:space="preserve">with respect to any Participant. To the extent permitted by Law, each Participant also shall be entitled to the benefits of </w:t>
      </w:r>
      <w:r>
        <w:rPr>
          <w:rFonts w:ascii="Times New Roman" w:hAnsi="Times New Roman"/>
          <w:color w:val="000000"/>
          <w:sz w:val="22"/>
          <w:u w:val="single"/>
        </w:rPr>
        <w:t>Section 11.08</w:t>
      </w:r>
      <w:r>
        <w:rPr>
          <w:rFonts w:ascii="Times New Roman" w:hAnsi="Times New Roman"/>
          <w:color w:val="000000"/>
          <w:sz w:val="20"/>
        </w:rPr>
        <w:t xml:space="preserve"> </w:t>
      </w:r>
      <w:r>
        <w:rPr>
          <w:rFonts w:ascii="Times New Roman" w:hAnsi="Times New Roman"/>
          <w:color w:val="000000"/>
          <w:sz w:val="22"/>
        </w:rPr>
        <w:t xml:space="preserve">as though it were a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Participant agrees to be subject to </w:t>
      </w:r>
      <w:r>
        <w:rPr>
          <w:rFonts w:ascii="Times New Roman" w:hAnsi="Times New Roman"/>
          <w:color w:val="000000"/>
          <w:sz w:val="22"/>
          <w:u w:val="single"/>
        </w:rPr>
        <w:t>Section 2.13</w:t>
      </w:r>
      <w:r>
        <w:rPr>
          <w:rFonts w:ascii="Times New Roman" w:hAnsi="Times New Roman"/>
          <w:color w:val="000000"/>
          <w:sz w:val="20"/>
        </w:rPr>
        <w:t xml:space="preserve"> </w:t>
      </w:r>
      <w:r>
        <w:rPr>
          <w:rFonts w:ascii="Times New Roman" w:hAnsi="Times New Roman"/>
          <w:color w:val="000000"/>
          <w:sz w:val="22"/>
        </w:rPr>
        <w:t>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color w:val="000000"/>
          <w:sz w:val="22"/>
          <w:u w:val="single"/>
        </w:rPr>
        <w:t>Participant Register</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Certain Pledges</w:t>
      </w:r>
      <w:r>
        <w:rPr>
          <w:rFonts w:ascii="Times New Roman" w:hAnsi="Times New Roman"/>
          <w:color w:val="000000"/>
          <w:sz w:val="22"/>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or other central banking authority;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 such pledge or assignment shall release such Lender from any of its obligations hereunder or substitute any such pledgee or assignee for such Lender as a party 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Resignation as L/C Issuer after Assignment</w:t>
      </w:r>
      <w:r>
        <w:rPr>
          <w:rFonts w:ascii="Times New Roman" w:hAnsi="Times New Roman"/>
          <w:color w:val="000000"/>
          <w:sz w:val="22"/>
        </w:rPr>
        <w:t xml:space="preserve">. Notwithstanding anything to the contrary contained herein, if at any time an L/C Issuer assigns all of its Revolving Commitment and Revolving Loans pursuant to </w:t>
      </w:r>
      <w:r>
        <w:rPr>
          <w:rFonts w:ascii="Times New Roman" w:hAnsi="Times New Roman"/>
          <w:color w:val="000000"/>
          <w:sz w:val="22"/>
          <w:u w:val="single"/>
        </w:rPr>
        <w:t>Section 11.06(b)</w:t>
      </w:r>
      <w:r>
        <w:rPr>
          <w:rFonts w:ascii="Times New Roman" w:hAnsi="Times New Roman"/>
          <w:color w:val="000000"/>
          <w:sz w:val="22"/>
        </w:rPr>
        <w:t xml:space="preserve">, such L/C Issuer may, upon thirty days’ notice to the Borrower and the Lenders, resign as an L/C Issuer. In the event of any such resignation as an L/C Issuer, the Borrower shall be entitled to appoint from among the Lenders a successor L/C Issuer hereunder;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 failure by the Borrower to appoint any such successor shall affect the resignation of such L/C Issuer as an L/C Issuer. Any resigning L/C Issuer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with Revolving Commitments to make Revolving Loans that are Base Rate Loans or fund risk participations in Unreimbursed Amounts pursuant to </w:t>
      </w:r>
      <w:r>
        <w:rPr>
          <w:rFonts w:ascii="Times New Roman" w:hAnsi="Times New Roman"/>
          <w:color w:val="000000"/>
          <w:sz w:val="22"/>
          <w:u w:val="single"/>
        </w:rPr>
        <w:t>Section 2.03(c)</w:t>
      </w:r>
      <w:r>
        <w:rPr>
          <w:rFonts w:ascii="Times New Roman" w:hAnsi="Times New Roman"/>
          <w:color w:val="000000"/>
          <w:sz w:val="22"/>
        </w:rPr>
        <w:t>). Upon the appointment and acceptance of a successor L/C Issuer, (A) such successor shall succeed to and become vested with all of the rights, powers, privileges and duties of the retiring L/C Issuer, and (B) the successor L/C Issuer shall issue letters of credit in substitution for the Letters of Credit, if any, outstanding at the time of such succession or make other arrangements satisfactory to such resigning L/C Issuer to effectively assume the obligations of such resigning L/C Issuer with respect to such Letters of Credit.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11.07 </w:t>
      </w:r>
      <w:r>
        <w:rPr>
          <w:rFonts w:ascii="Times New Roman" w:hAnsi="Times New Roman"/>
          <w:b w:val="false"/>
          <w:color w:val="000000"/>
          <w:sz w:val="22"/>
          <w:u w:val="single"/>
        </w:rPr>
        <w:t>Treatment of Certain Information; Confidentiality</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Treatment of Confidential Information</w:t>
      </w:r>
      <w:r>
        <w:rPr>
          <w:rFonts w:ascii="Times New Roman" w:hAnsi="Times New Roman"/>
          <w:color w:val="000000"/>
          <w:sz w:val="22"/>
        </w:rPr>
        <w:t>. The Administrative Agent, each Lender and each L/C Issuer agrees to maintain the confidentiality of the Information (as defined below), except that Information may be disclosed (i) to the Administrative Agent’s, such Lender’s and such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L/C Issuer’s respective Affiliates, auditors and Related Parties who need to know such Information (it being understood that the Persons to whom such disclosure is made will be informed of the confidential nature of such Information;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Administrative Agent, such Lender or such L/C Issuer shall be responsible for its respective auditors’ and Related Parties’ compliance with this </w:t>
      </w:r>
      <w:r>
        <w:rPr>
          <w:rFonts w:ascii="Times New Roman" w:hAnsi="Times New Roman"/>
          <w:color w:val="000000"/>
          <w:sz w:val="22"/>
          <w:u w:val="single"/>
        </w:rPr>
        <w:t>Section 11.07</w:t>
      </w:r>
      <w:r>
        <w:rPr>
          <w:rFonts w:ascii="Times New Roman" w:hAnsi="Times New Roman"/>
          <w:color w:val="000000"/>
          <w:sz w:val="20"/>
        </w:rPr>
        <w:t xml:space="preserve"> </w:t>
      </w:r>
      <w:r>
        <w:rPr>
          <w:rFonts w:ascii="Times New Roman" w:hAnsi="Times New Roman"/>
          <w:color w:val="000000"/>
          <w:sz w:val="22"/>
        </w:rPr>
        <w:t xml:space="preserve">and, to the extent not prohibited by, or in violation of, applicable Laws, its Affiliates’ compliance with this </w:t>
      </w:r>
      <w:r>
        <w:rPr>
          <w:rFonts w:ascii="Times New Roman" w:hAnsi="Times New Roman"/>
          <w:color w:val="000000"/>
          <w:sz w:val="22"/>
          <w:u w:val="single"/>
        </w:rPr>
        <w:t>Section 11.07</w:t>
      </w:r>
      <w:r>
        <w:rPr>
          <w:rFonts w:ascii="Times New Roman" w:hAnsi="Times New Roman"/>
          <w:color w:val="000000"/>
          <w:sz w:val="22"/>
        </w:rPr>
        <w:t xml:space="preserve">), (ii) upon the request or demand of any regulatory authority having jurisdiction over the Administrative Agent, such Lender, such L/C Issuer or any of their respective Related Parties (in which case the Administrative Agent, such Lender or such L/C Issuer, as applicable, agrees to inform the Borrower promptly thereof to the extent not prohibited by law, rule or regulation, and except with respect to any audit or examination conducted by bank accountants or any regulatory authority exercising supervisory, examination or regulation authority), (iii) pursuant to the order of any court or administrative agency or in any pending legal or administrative proceeding, or otherwise as required by applicable law or compulsory legal process (in which case the Administrative Agent, such Lender or such L/C Issuer, as applicable, agrees to inform the Borrower promptly thereof to the extent not prohibited by law, rule or regulation),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w:t>
      </w:r>
      <w:r>
        <w:rPr>
          <w:rFonts w:ascii="Times New Roman" w:hAnsi="Times New Roman"/>
          <w:color w:val="000000"/>
          <w:sz w:val="22"/>
          <w:u w:val="single"/>
        </w:rPr>
        <w:t>Section 11.07</w:t>
      </w:r>
      <w:r>
        <w:rPr>
          <w:rFonts w:ascii="Times New Roman" w:hAnsi="Times New Roman"/>
          <w:color w:val="000000"/>
          <w:sz w:val="22"/>
        </w:rPr>
        <w:t xml:space="preserve">, to (A) any assignee of or Participant in, or any prospective assignee of or Participant in, any of its rights and obligations under this Agreement or any Eligible Assignee invited to become a Lender pursuant to </w:t>
      </w:r>
      <w:r>
        <w:rPr>
          <w:rFonts w:ascii="Times New Roman" w:hAnsi="Times New Roman"/>
          <w:color w:val="000000"/>
          <w:sz w:val="22"/>
          <w:u w:val="single"/>
        </w:rPr>
        <w:t>Section 2.16</w:t>
      </w:r>
      <w:r>
        <w:rPr>
          <w:rFonts w:ascii="Times New Roman" w:hAnsi="Times New Roman"/>
          <w:color w:val="000000"/>
          <w:sz w:val="20"/>
        </w:rPr>
        <w:t xml:space="preserve"> </w:t>
      </w:r>
      <w:r>
        <w:rPr>
          <w:rFonts w:ascii="Times New Roman" w:hAnsi="Times New Roman"/>
          <w:color w:val="000000"/>
          <w:sz w:val="22"/>
        </w:rPr>
        <w:t xml:space="preserve">or (B) any actual or prospective party (or its Related Parties) to any swap, derivative or other transaction under which payments are to be made by reference to the Borrower and its obligations, this Agreement or payments hereunder, (vii) on a confidential basis to (A) any rating agency in connection with rating the Borrower or its Subsidiaries or the credit facilities provided hereunder or (B) the CUSIP Service Bureau or any similar agency in connection with the application, issuance, publishing and monitoring of CUSIP numbers or other market identifiers with respect to the credit facilities provided hereunder, (viii) with the written consent of the Borrower, (ix) to the extent such Information (A) becomes publicly available other than by reason of disclosure in violation of this </w:t>
      </w:r>
      <w:r>
        <w:rPr>
          <w:rFonts w:ascii="Times New Roman" w:hAnsi="Times New Roman"/>
          <w:color w:val="000000"/>
          <w:sz w:val="22"/>
          <w:u w:val="single"/>
        </w:rPr>
        <w:t>Section 11.07</w:t>
      </w:r>
      <w:r>
        <w:rPr>
          <w:rFonts w:ascii="Times New Roman" w:hAnsi="Times New Roman"/>
          <w:color w:val="000000"/>
          <w:sz w:val="20"/>
        </w:rPr>
        <w:t xml:space="preserve"> </w:t>
      </w:r>
      <w:r>
        <w:rPr>
          <w:rFonts w:ascii="Times New Roman" w:hAnsi="Times New Roman"/>
          <w:color w:val="000000"/>
          <w:sz w:val="22"/>
        </w:rPr>
        <w:t xml:space="preserve">by the Administrative Agent, any Lender or any L/C Issuer or (B) becomes available to the Administrative Agent, any Lender, any L/C Issuer or any of their respective Affiliates from a third party that is not to the Administrative Agent, such Lender or such L/C Issuer’s knowledge subject to confidentiality obligations to the Borrower, (x) for purposes of establishing a “due diligence” defense in any suit, action or proceeding relating to this Agreement, any other Loan Document or the transactions contemplated hereby or thereby or the enforcement of rights hereunder or thereunder or (xi) to the extent such Information is independently discovered or developed the Administrative Agent, any Lender, or any L/C Issuer without utilizing any Information received from the Borrower or violating the terms of this </w:t>
      </w:r>
      <w:r>
        <w:rPr>
          <w:rFonts w:ascii="Times New Roman" w:hAnsi="Times New Roman"/>
          <w:color w:val="000000"/>
          <w:sz w:val="22"/>
          <w:u w:val="single"/>
        </w:rPr>
        <w:t>Section 11.07</w:t>
      </w:r>
      <w:r>
        <w:rPr>
          <w:rFonts w:ascii="Times New Roman" w:hAnsi="Times New Roman"/>
          <w:color w:val="000000"/>
          <w:sz w:val="22"/>
        </w:rPr>
        <w:t xml:space="preserve">. In addition, the Administrative Agent and the Lenders may (A)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such information is limited to the existence of the Agreement and information of a type routinely provided to such persons, including information regarding the closing date, size, type, purpose of, and parties to, the Agreement and (B) use any information (not constituting Information subject to the foregoing confidentiality restrictions) related to the syndication and arrangement of the credit facilities contemplated by this Agreement in connection with marketing, press releases, or other transactional announcements or updates provided to investor or trade publications, including the placement of “tombstone” advertisements in publications of its choice at its own expense. Notwithstanding anything to the contrary herein, the Borrowers hereby authorize each Lender and its respective affiliates, at their respective sole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expense, and without any prior approval by the Borrowers, to include the Borrowers’ names and logos in advertising, marketing, tombstones, case studies, and training materials, and to give such other publicity to this Agreement as the Lenders may from time to time determine in their sole discretion. The foregoing authorization shall remain in effect until the Borrowers notify the Administrative Agent in writing that such authorization is revoked.</w:t>
      </w:r>
    </w:p>
    <w:p>
      <w:pPr>
        <w:pStyle w:val="TextBody"/>
        <w:bidi w:val="0"/>
        <w:spacing w:before="0" w:after="240"/>
        <w:jc w:val="both"/>
        <w:rPr>
          <w:rFonts w:ascii="Times New Roman" w:hAnsi="Times New Roman"/>
          <w:sz w:val="20"/>
        </w:rPr>
      </w:pPr>
      <w:r>
        <w:rPr>
          <w:rFonts w:ascii="Times New Roman" w:hAnsi="Times New Roman"/>
          <w:color w:val="000000"/>
          <w:sz w:val="22"/>
        </w:rPr>
        <w:t>For purposes of this Section, “</w:t>
      </w:r>
      <w:r>
        <w:rPr>
          <w:rFonts w:ascii="Times New Roman" w:hAnsi="Times New Roman"/>
          <w:color w:val="000000"/>
          <w:sz w:val="22"/>
          <w:u w:val="single"/>
        </w:rPr>
        <w:t>Information</w:t>
      </w:r>
      <w:r>
        <w:rPr>
          <w:rFonts w:ascii="Times New Roman" w:hAnsi="Times New Roman"/>
          <w:color w:val="000000"/>
          <w:sz w:val="20"/>
        </w:rPr>
        <w:t xml:space="preserve">” </w:t>
      </w:r>
      <w:r>
        <w:rPr>
          <w:rFonts w:ascii="Times New Roman" w:hAnsi="Times New Roman"/>
          <w:color w:val="000000"/>
          <w:sz w:val="22"/>
        </w:rPr>
        <w:t xml:space="preserve">means all information received from the Borrower or any Subsidiary relating to the Borrower or any Subsidiary or any of their respective businesses, other than any such information that is available to the Administrative Agent, any Lender or any L/C Issuer on a nonconfidential basis prior to disclosure by the Borrower or any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the case of information received from the Borrower or any Subsidiary after the Effective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For the avoidance of doubt, nothing herein prohibits any individual from communicating or disclosing information regarding suspected violations of laws, rules or regulations to a governmental, regulatory or self-regulatory authority without notification to any Person.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Non-Public Information</w:t>
      </w:r>
      <w:r>
        <w:rPr>
          <w:rFonts w:ascii="Times New Roman" w:hAnsi="Times New Roman"/>
          <w:color w:val="000000"/>
          <w:sz w:val="22"/>
        </w:rPr>
        <w:t>. Each of the Administrative Agent, the Lenders and the L/C Issuers acknowledges that (i) the Information may include material non-public information concerning the Borrower or a Subsidiary, as the case may be, (ii) it has developed compliance procedures regarding the use of material non-public information and (iii) it will handle such material non-public information in accordance with applicable Law, including United States federal and state securities Laws.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11.08 </w:t>
      </w:r>
      <w:r>
        <w:rPr>
          <w:rFonts w:ascii="Times New Roman" w:hAnsi="Times New Roman"/>
          <w:b w:val="false"/>
          <w:color w:val="000000"/>
          <w:sz w:val="22"/>
          <w:u w:val="single"/>
        </w:rPr>
        <w:t>Right of Setoff</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If an Event of Default shall have occurred and be continuing, each Lender, each L/C Issuer and each of their 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any Loan Party against any and all of the obligations of such Loan Party now or hereafter existing under this Agreement or any other Loan Document to such Lender or such L/C Issuer or their respective Affiliates, irrespective of whether or not such Lender, such L/C Issuer or such Affiliate shall have made any demand under this Agreement or any other Loan Document and although such obligations of such Loan Party may be contingent or unmatured or are owed to a branch, office or Affiliate of such Lender or such L/C Issuer different from the branch, office or Affiliate holding such deposit or obligated on such indebtedness;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event that any Defaulting Lender shall exercise any such right of setoff, (x) all amounts so set off shall be paid over immediately to the Administrative Agent for further application in accordance with the provisions of </w:t>
      </w:r>
      <w:r>
        <w:rPr>
          <w:rFonts w:ascii="Times New Roman" w:hAnsi="Times New Roman"/>
          <w:color w:val="000000"/>
          <w:sz w:val="22"/>
          <w:u w:val="single"/>
        </w:rPr>
        <w:t>Section 2.15</w:t>
      </w:r>
      <w:r>
        <w:rPr>
          <w:rFonts w:ascii="Times New Roman" w:hAnsi="Times New Roman"/>
          <w:color w:val="000000"/>
          <w:sz w:val="20"/>
        </w:rPr>
        <w:t xml:space="preserve"> </w:t>
      </w:r>
      <w:r>
        <w:rPr>
          <w:rFonts w:ascii="Times New Roman" w:hAnsi="Times New Roman"/>
          <w:color w:val="000000"/>
          <w:sz w:val="22"/>
        </w:rPr>
        <w:t>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Borrower 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Administrative Agent promptly after any such setoff and application;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failure to give such notice shall not affect the validity of such setoff and application.</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11.09 </w:t>
      </w:r>
      <w:r>
        <w:rPr>
          <w:rFonts w:ascii="Times New Roman" w:hAnsi="Times New Roman"/>
          <w:b w:val="false"/>
          <w:color w:val="000000"/>
          <w:sz w:val="22"/>
          <w:u w:val="single"/>
        </w:rPr>
        <w:t>Interest Rate Limitation</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Notwithstanding anything to the contrary contained in any Loan Document, the interest paid or agreed to be paid under the Loan Documents shall not exceed the maximum rate of non-usurious interest permitted by applicable Law (the “</w:t>
      </w:r>
      <w:r>
        <w:rPr>
          <w:rFonts w:ascii="Times New Roman" w:hAnsi="Times New Roman"/>
          <w:color w:val="000000"/>
          <w:sz w:val="22"/>
          <w:u w:val="single"/>
        </w:rPr>
        <w:t>Maximum Rate</w:t>
      </w:r>
      <w:r>
        <w:rPr>
          <w:rFonts w:ascii="Times New Roman" w:hAnsi="Times New Roman"/>
          <w:color w:val="000000"/>
          <w:sz w:val="20"/>
        </w:rPr>
        <w:t>”</w:t>
      </w:r>
      <w:r>
        <w:rPr>
          <w:rFonts w:ascii="Times New Roman" w:hAnsi="Times New Roman"/>
          <w:color w:val="000000"/>
          <w:sz w:val="22"/>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11.10 </w:t>
      </w:r>
      <w:r>
        <w:rPr>
          <w:rFonts w:ascii="Times New Roman" w:hAnsi="Times New Roman"/>
          <w:b w:val="false"/>
          <w:color w:val="000000"/>
          <w:sz w:val="22"/>
          <w:u w:val="single"/>
        </w:rPr>
        <w:t>Counterparts; Integration; Effectiveness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or the L/C Issuers,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color w:val="000000"/>
          <w:sz w:val="22"/>
          <w:u w:val="single"/>
        </w:rPr>
        <w:t>Section 5.01</w:t>
      </w:r>
      <w:r>
        <w:rPr>
          <w:rFonts w:ascii="Times New Roman" w:hAnsi="Times New Roman"/>
          <w:color w:val="000000"/>
          <w:sz w:val="22"/>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or any other Loan Document, or any certificate delivered thereunder, by fax transmission or e-mail transmission (e.g., “pdf” or “tif”) shall be effective as delivery of a manually executed counterpart of this Agreement or such other Loan Document or certificate.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11.11 </w:t>
      </w:r>
      <w:r>
        <w:rPr>
          <w:rFonts w:ascii="Times New Roman" w:hAnsi="Times New Roman"/>
          <w:b w:val="false"/>
          <w:color w:val="000000"/>
          <w:sz w:val="22"/>
          <w:u w:val="single"/>
        </w:rPr>
        <w:t>Survival of Representations and Warranties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11.12 </w:t>
      </w:r>
      <w:r>
        <w:rPr>
          <w:rFonts w:ascii="Times New Roman" w:hAnsi="Times New Roman"/>
          <w:b w:val="false"/>
          <w:color w:val="000000"/>
          <w:sz w:val="22"/>
          <w:u w:val="single"/>
        </w:rPr>
        <w:t>Severability</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11.12</w:t>
      </w:r>
      <w:r>
        <w:rPr>
          <w:rFonts w:ascii="Times New Roman" w:hAnsi="Times New Roman"/>
          <w:color w:val="000000"/>
          <w:sz w:val="22"/>
        </w:rPr>
        <w:t>, if and to the extent that the enforceability of any provisions in this Agreement relating to Defaulting Lenders shall be limited by Debtor Relief Laws, as determined in good faith by the Administrative Agent, an L/C Issuer, then such provisions shall be deemed to be in effect only to the extent not so limited.</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11.13 </w:t>
      </w:r>
      <w:r>
        <w:rPr>
          <w:rFonts w:ascii="Times New Roman" w:hAnsi="Times New Roman"/>
          <w:b w:val="false"/>
          <w:color w:val="000000"/>
          <w:sz w:val="22"/>
          <w:u w:val="single"/>
        </w:rPr>
        <w:t>Replacement of Lenders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If the Borrower is entitled to replace a Lender pursuant to the provisions of </w:t>
      </w:r>
      <w:r>
        <w:rPr>
          <w:rFonts w:ascii="Times New Roman" w:hAnsi="Times New Roman"/>
          <w:color w:val="000000"/>
          <w:sz w:val="22"/>
          <w:u w:val="single"/>
        </w:rPr>
        <w:t>Section 3.06</w:t>
      </w:r>
      <w:r>
        <w:rPr>
          <w:rFonts w:ascii="Times New Roman" w:hAnsi="Times New Roman"/>
          <w:color w:val="000000"/>
          <w:sz w:val="22"/>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hAnsi="Times New Roman"/>
          <w:color w:val="000000"/>
          <w:sz w:val="22"/>
          <w:u w:val="single"/>
        </w:rPr>
        <w:t>Section 11.06</w:t>
      </w:r>
      <w:r>
        <w:rPr>
          <w:rFonts w:ascii="Times New Roman" w:hAnsi="Times New Roman"/>
          <w:color w:val="000000"/>
          <w:sz w:val="22"/>
        </w:rPr>
        <w:t xml:space="preserve">), all of its interests, rights (other than its existing rights to payments pursuant to </w:t>
      </w:r>
      <w:r>
        <w:rPr>
          <w:rFonts w:ascii="Times New Roman" w:hAnsi="Times New Roman"/>
          <w:color w:val="000000"/>
          <w:sz w:val="22"/>
          <w:u w:val="single"/>
        </w:rPr>
        <w:t>Sections 3.01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3.04</w:t>
      </w:r>
      <w:r>
        <w:rPr>
          <w:rFonts w:ascii="Times New Roman" w:hAnsi="Times New Roman"/>
          <w:color w:val="000000"/>
          <w:sz w:val="22"/>
        </w:rPr>
        <w:t xml:space="preserve">) and obligations under this Agreement and the related Loan Documents to an Eligible Assignee that shall assume such obligations (which assignee may be another Lender, if a Lender accepts such assignment);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Borrower shall have paid to the Administrative Agent the assignment fee (if any) specified in </w:t>
      </w:r>
      <w:r>
        <w:rPr>
          <w:rFonts w:ascii="Times New Roman" w:hAnsi="Times New Roman"/>
          <w:color w:val="000000"/>
          <w:sz w:val="22"/>
          <w:u w:val="single"/>
        </w:rPr>
        <w:t>Section 11.06(b)</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such Lender shall have received payment of an amount equal to the outstanding principal of its Loans and L/C Advances that, in the case of a Defaulting Lender, such Defaulting Lender actually funded, accrued interest thereon, and accrued fees and all other amounts payable to it hereunder (other than such amounts not required to be paid hereunder to a Defaulting Lender) and under the other Loan Documents (including any amounts under </w:t>
      </w:r>
      <w:r>
        <w:rPr>
          <w:rFonts w:ascii="Times New Roman" w:hAnsi="Times New Roman"/>
          <w:color w:val="000000"/>
          <w:sz w:val="22"/>
          <w:u w:val="single"/>
        </w:rPr>
        <w:t>Section 3.05</w:t>
      </w:r>
      <w:r>
        <w:rPr>
          <w:rFonts w:ascii="Times New Roman" w:hAnsi="Times New Roman"/>
          <w:color w:val="000000"/>
          <w:sz w:val="22"/>
        </w:rPr>
        <w:t>) from the assignee (to the extent of such outstanding principal and accrued interest and fees) or the Borrower (in the case of all other amounts);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in the case of any such assignment resulting from a claim for compensation under </w:t>
      </w:r>
      <w:r>
        <w:rPr>
          <w:rFonts w:ascii="Times New Roman" w:hAnsi="Times New Roman"/>
          <w:color w:val="000000"/>
          <w:sz w:val="22"/>
          <w:u w:val="single"/>
        </w:rPr>
        <w:t>Section 3.04</w:t>
      </w:r>
      <w:r>
        <w:rPr>
          <w:rFonts w:ascii="Times New Roman" w:hAnsi="Times New Roman"/>
          <w:color w:val="000000"/>
          <w:sz w:val="20"/>
        </w:rPr>
        <w:t xml:space="preserve"> </w:t>
      </w:r>
      <w:r>
        <w:rPr>
          <w:rFonts w:ascii="Times New Roman" w:hAnsi="Times New Roman"/>
          <w:color w:val="000000"/>
          <w:sz w:val="22"/>
        </w:rPr>
        <w:t xml:space="preserve">or payments required to be made pursuant to </w:t>
      </w:r>
      <w:r>
        <w:rPr>
          <w:rFonts w:ascii="Times New Roman" w:hAnsi="Times New Roman"/>
          <w:color w:val="000000"/>
          <w:sz w:val="22"/>
          <w:u w:val="single"/>
        </w:rPr>
        <w:t>Section 3.01</w:t>
      </w:r>
      <w:r>
        <w:rPr>
          <w:rFonts w:ascii="Times New Roman" w:hAnsi="Times New Roman"/>
          <w:color w:val="000000"/>
          <w:sz w:val="22"/>
        </w:rPr>
        <w:t>, such assignment will result in a reduction in such compensation or payments thereafter;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such assignment does not conflict with applicable Laws;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in the case of an assignment resulting from a Lender becoming a Non-Consenting Lender, the applicable assignee shall have consented to the applicable amendment, waiver or consent.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Each party hereto agrees that (a) an assignment required pursuant to this </w:t>
      </w:r>
      <w:r>
        <w:rPr>
          <w:rFonts w:ascii="Times New Roman" w:hAnsi="Times New Roman"/>
          <w:color w:val="000000"/>
          <w:sz w:val="22"/>
          <w:u w:val="single"/>
        </w:rPr>
        <w:t>Section 11.13</w:t>
      </w:r>
      <w:r>
        <w:rPr>
          <w:rFonts w:ascii="Times New Roman" w:hAnsi="Times New Roman"/>
          <w:color w:val="000000"/>
          <w:sz w:val="20"/>
        </w:rPr>
        <w:t xml:space="preserve"> </w:t>
      </w:r>
      <w:r>
        <w:rPr>
          <w:rFonts w:ascii="Times New Roman" w:hAnsi="Times New Roman"/>
          <w:color w:val="000000"/>
          <w:sz w:val="22"/>
        </w:rPr>
        <w:t xml:space="preserve">may be effected pursuant to an Assignment and Assumption executed by the Borrower, the Administrative Agent and the assignee and (b) the Lender required to make such assignment need not be a party thereto in order for such assignment to be effective and shall be deemed to have consented to an be bound by the terms thereof;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following the effectiveness of any such assignment, the other parties to such assignment agree to execute and deliver such documents necessary to evidence such assignment as reasonably requested by the applicable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 such documents shall be without recourse to or warranty by the parties thereto.</w:t>
      </w:r>
    </w:p>
    <w:p>
      <w:pPr>
        <w:pStyle w:val="TextBody"/>
        <w:bidi w:val="0"/>
        <w:jc w:val="center"/>
        <w:rPr>
          <w:rFonts w:ascii="Times New Roman" w:hAnsi="Times New Roman"/>
          <w:color w:val="000000"/>
          <w:sz w:val="22"/>
        </w:rPr>
      </w:pPr>
      <w:r>
        <w:rPr>
          <w:rFonts w:ascii="Times New Roman" w:hAnsi="Times New Roman"/>
          <w:color w:val="000000"/>
          <w:sz w:val="22"/>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anything in this </w:t>
      </w:r>
      <w:r>
        <w:rPr>
          <w:rFonts w:ascii="Times New Roman" w:hAnsi="Times New Roman"/>
          <w:color w:val="000000"/>
          <w:sz w:val="22"/>
          <w:u w:val="single"/>
        </w:rPr>
        <w:t>Section 11.13</w:t>
      </w:r>
      <w:r>
        <w:rPr>
          <w:rFonts w:ascii="Times New Roman" w:hAnsi="Times New Roman"/>
          <w:color w:val="000000"/>
          <w:sz w:val="20"/>
        </w:rPr>
        <w:t xml:space="preserve"> </w:t>
      </w:r>
      <w:r>
        <w:rPr>
          <w:rFonts w:ascii="Times New Roman" w:hAnsi="Times New Roman"/>
          <w:color w:val="000000"/>
          <w:sz w:val="22"/>
        </w:rPr>
        <w:t xml:space="preserve">to the contrary, (a)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(b) the Lender that acts as the Administrative Agent may not be replaced hereunder except in accordance with the terms of </w:t>
      </w:r>
      <w:r>
        <w:rPr>
          <w:rFonts w:ascii="Times New Roman" w:hAnsi="Times New Roman"/>
          <w:color w:val="000000"/>
          <w:sz w:val="22"/>
          <w:u w:val="single"/>
        </w:rPr>
        <w:t>Section 9.06</w:t>
      </w:r>
      <w:r>
        <w:rPr>
          <w:rFonts w:ascii="Times New Roman" w:hAnsi="Times New Roman"/>
          <w:color w:val="000000"/>
          <w:sz w:val="22"/>
        </w:rPr>
        <w: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11.14 </w:t>
      </w:r>
      <w:r>
        <w:rPr>
          <w:rFonts w:ascii="Times New Roman" w:hAnsi="Times New Roman"/>
          <w:b w:val="false"/>
          <w:color w:val="000000"/>
          <w:sz w:val="22"/>
          <w:u w:val="single"/>
        </w:rPr>
        <w:t>Governing Law; Jurisdiction; Etc.</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GOVERNING LAW</w:t>
      </w:r>
      <w:r>
        <w:rPr>
          <w:rFonts w:ascii="Times New Roman" w:hAnsi="Times New Roman"/>
          <w:color w:val="000000"/>
          <w:sz w:val="22"/>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SUBMISSION TO JURISDICTION</w:t>
      </w:r>
      <w:r>
        <w:rPr>
          <w:rFonts w:ascii="Times New Roman" w:hAnsi="Times New Roman"/>
          <w:color w:val="000000"/>
          <w:sz w:val="22"/>
        </w:rPr>
        <w:t>. EACH LOAN PARTY IRREVOCABLY AND UNCONDITIONALLY AGREES THAT IT WILL NOT COMMENCE ANY ACTION, LITIGATION OR PROCEEDING (WHETHER IN TORT, LAW OR EQUITY)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SITTING IN NEW YORK COUNTY, AND ANY APPELLATE COURT FROM ANY THEREOF, AND EACH OF THE PARTIES HERETO IRREVOCABLY AND UNCONDITIONALLY SUBMITS TO THE JURISDICTION OF SUCH COURTS AND AGREES THAT ALL CLAIMS IN RESPECT OF ANY SUCH ACTION, LITIGATION OR PROCEEDING (WHETHER IN TORT, LAW OR EQUITY) MAY BE HEARD AND DETERMINED IN SUCH NEW YORK STATE COURT OR, TO THE FULLEST EXTENT PERMITTED BY APPLICABLE LAW, IN SUCH FEDERAL COURT. EACH OF THE PARTIES HERETO AGREES THAT A FINAL JUDGMENT IN ANY SUCH ACTION, LITIGATION OR PROCEEDING (WHETHER IN TORT, LAW OR EQUITY)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(WHETHER IN TORT, LAW OR EQUITY) RELATING TO THIS AGREEMENT OR ANY OTHER LOAN DOCUMENT AGAINST ANY LOAN PARTY OR ITS PROPERTIES IN THE COURTS OF ANY JURISDICTION.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WAIVER OF VENUE</w:t>
      </w:r>
      <w:r>
        <w:rPr>
          <w:rFonts w:ascii="Times New Roman" w:hAnsi="Times New Roman"/>
          <w:color w:val="000000"/>
          <w:sz w:val="22"/>
        </w:rPr>
        <w:t>. EACH LOAN PARTY IRREVOCABLY AND UNCONDITIONALLY WAIVES, TO THE FULLEST EXTENT PERMITTED BY APPLICABLE LAW, ANY OBJECTION THAT IT MAY NOW OR HEREAFTER HAVE TO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LAYING OF VENUE OF ANY ACTION OR PROCEEDING ARISING OUT OF OR RELATING TO THIS AGREEMENT OR ANY OTHER LOAN DOCUMENT IN ANY COURT REFERRED TO IN </w:t>
      </w:r>
      <w:r>
        <w:rPr>
          <w:rFonts w:ascii="Times New Roman" w:hAnsi="Times New Roman"/>
          <w:color w:val="000000"/>
          <w:sz w:val="22"/>
          <w:u w:val="single"/>
        </w:rPr>
        <w:t>SECTION 11.14(b)</w:t>
      </w:r>
      <w:r>
        <w:rPr>
          <w:rFonts w:ascii="Times New Roman" w:hAnsi="Times New Roman"/>
          <w:color w:val="000000"/>
          <w:sz w:val="22"/>
        </w:rPr>
        <w:t>. EACH OF THE PARTIES HERETO HEREBY IRREVOCABLY WAIVES, TO THE FULLEST EXTENT PERMITTED BY APPLICABLE LAW, THE DEFENSE OF AN INCONVENIENT FORUM TO THE MAINTENANCE OF SUCH ACTION OR PROCEEDING IN ANY SUCH COURT.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SERVICE OF PROCESS</w:t>
      </w:r>
      <w:r>
        <w:rPr>
          <w:rFonts w:ascii="Times New Roman" w:hAnsi="Times New Roman"/>
          <w:color w:val="000000"/>
          <w:sz w:val="22"/>
        </w:rPr>
        <w:t xml:space="preserve">. EACH PARTY HERETO IRREVOCABLY CONSENTS TO SERVICE OF PROCESS IN THE MANNER PROVIDED FOR NOTICES IN </w:t>
      </w:r>
      <w:r>
        <w:rPr>
          <w:rFonts w:ascii="Times New Roman" w:hAnsi="Times New Roman"/>
          <w:color w:val="000000"/>
          <w:sz w:val="22"/>
          <w:u w:val="single"/>
        </w:rPr>
        <w:t>SECTION 11.02</w:t>
      </w:r>
      <w:r>
        <w:rPr>
          <w:rFonts w:ascii="Times New Roman" w:hAnsi="Times New Roman"/>
          <w:color w:val="000000"/>
          <w:sz w:val="22"/>
        </w:rPr>
        <w:t>. NOTHING IN THIS AGREEMENT WILL AFFECT THE RIGHT OF ANY PARTY HERETO TO SERVE PROCESS IN ANY OTHER MANNER PERMITTED BY APPLICABLE LAW.</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11.15 </w:t>
      </w:r>
      <w:r>
        <w:rPr>
          <w:rFonts w:ascii="Times New Roman" w:hAnsi="Times New Roman"/>
          <w:b w:val="false"/>
          <w:color w:val="000000"/>
          <w:sz w:val="22"/>
          <w:u w:val="single"/>
        </w:rPr>
        <w:t>Waiver of Jury Trial</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11.16 </w:t>
      </w:r>
      <w:r>
        <w:rPr>
          <w:rFonts w:ascii="Times New Roman" w:hAnsi="Times New Roman"/>
          <w:b w:val="false"/>
          <w:color w:val="000000"/>
          <w:sz w:val="22"/>
          <w:u w:val="single"/>
        </w:rPr>
        <w:t>No Advisory or Fiduciary Responsibility</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(a)(i) the arranging and other services regarding this Agreement provided by the Administrative Agent, the Arrangers and the Lenders are arm’s-length commercial transactions between the Loan Parties and their respective Affiliates, on the one hand, and the Administrative Agent, the Arrangers, and the Lenders, on the other hand, (ii) each of the Loan Parties has consulted its own legal, accounting, regulatory and tax advisors to the extent it has deemed appropriate, and (iii) each of the Loan Parties is capable of evaluating, and understands and accepts, the terms, risks and conditions of the transactions contemplated hereby and by the other Loan Documents; (b)(i) the Administrative Agent, each Arranger and each Lender is and has been acting solely as a principal and, except as expressly agreed in writing by the relevant parties, has not been, is not, and will not be acting as an advisor, agent or fiduciary for the Loan Parties or any of their respective Affiliates, or any other Person and (ii) none of the Administrative Agent, any Arranger or any Lender has any obligation to the Loan Parties or any of their respective Affiliates with respect to the transactions contemplated hereby except those obligations expressly set forth herein and in the other Loan Documents; and (c) the Administrative Agent, the Arrangers, the Lenders and their respective Affiliates may be engaged in a broad range of transactions that involve interests that differ from those of the Loan Parties and their respective Affiliates, and none of the Administrative Agent, any Arranger or any Lender has any obligation to disclose any of such interests to the Loan Parties and their respective Affiliates. To the fullest extent permitted by Law, each of the Loan Parties hereby waives and releases any claims that it may have against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any Arranger or any Lender with respect to any breach or alleged breach of agency or fiduciary duty in connection with any aspect of any transaction contemplated hereby.</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11.17 </w:t>
      </w:r>
      <w:r>
        <w:rPr>
          <w:rFonts w:ascii="Times New Roman" w:hAnsi="Times New Roman"/>
          <w:b w:val="false"/>
          <w:color w:val="000000"/>
          <w:sz w:val="22"/>
          <w:u w:val="single"/>
        </w:rPr>
        <w:t>Electronic Execution</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This Agreement, any other Loan Document and any other document, amendment, approval, consent, information, notice, certificate, request, statement, disclosure or authorization related to this Agreement or any other Loan Document (each, a “</w:t>
      </w:r>
      <w:r>
        <w:rPr>
          <w:rFonts w:ascii="Times New Roman" w:hAnsi="Times New Roman"/>
          <w:color w:val="000000"/>
          <w:sz w:val="22"/>
          <w:u w:val="single"/>
        </w:rPr>
        <w:t>Communication</w:t>
      </w:r>
      <w:r>
        <w:rPr>
          <w:rFonts w:ascii="Times New Roman" w:hAnsi="Times New Roman"/>
          <w:color w:val="000000"/>
          <w:sz w:val="20"/>
        </w:rPr>
        <w:t>”</w:t>
      </w:r>
      <w:r>
        <w:rPr>
          <w:rFonts w:ascii="Times New Roman" w:hAnsi="Times New Roman"/>
          <w:color w:val="000000"/>
          <w:sz w:val="22"/>
        </w:rPr>
        <w:t xml:space="preserve">), including Communications required to be in writing, may be in the form of an Electronic Record and may be executed using Electronic Signatures. Each of the Loan Parties and each of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w:t>
      </w:r>
      <w:r>
        <w:rPr>
          <w:rFonts w:ascii="Times New Roman" w:hAnsi="Times New Roman"/>
          <w:color w:val="000000"/>
          <w:sz w:val="22"/>
          <w:u w:val="single"/>
        </w:rPr>
        <w:t>Section 11.17</w:t>
      </w:r>
      <w:r>
        <w:rPr>
          <w:rFonts w:ascii="Times New Roman" w:hAnsi="Times New Roman"/>
          <w:color w:val="000000"/>
          <w:sz w:val="20"/>
        </w:rPr>
        <w:t xml:space="preserve"> </w:t>
      </w:r>
      <w:r>
        <w:rPr>
          <w:rFonts w:ascii="Times New Roman" w:hAnsi="Times New Roman"/>
          <w:color w:val="000000"/>
          <w:sz w:val="22"/>
        </w:rPr>
        <w:t>may include, without limitation use or acceptance of a manually signed paper Communication which has been converted into electronic form (such as scanned into .pdf), or an electronically signed Communication converted into another format, for transmission, delivery and/or retention. The Administrative Agent and each of the Lender Parties may, at its option, create one or more copies of any Communication in the form of an imaged Electronic Record (each, an “</w:t>
      </w:r>
      <w:r>
        <w:rPr>
          <w:rFonts w:ascii="Times New Roman" w:hAnsi="Times New Roman"/>
          <w:color w:val="000000"/>
          <w:sz w:val="22"/>
          <w:u w:val="single"/>
        </w:rPr>
        <w:t>Electronic Copy</w:t>
      </w:r>
      <w:r>
        <w:rPr>
          <w:rFonts w:ascii="Times New Roman" w:hAnsi="Times New Roman"/>
          <w:color w:val="000000"/>
          <w:sz w:val="20"/>
        </w:rPr>
        <w:t>”</w:t>
      </w:r>
      <w:r>
        <w:rPr>
          <w:rFonts w:ascii="Times New Roman" w:hAnsi="Times New Roman"/>
          <w:color w:val="000000"/>
          <w:sz w:val="22"/>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nor L/C Issuer is under any obligation to accept an Electronic Signature in any form or in any format unless expressly agreed to by such Person pursuant to procedures approved by 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without limiting the foregoing, (a) to the extent the Administrative Agent and/or L/C Issuer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w:t>
      </w:r>
    </w:p>
    <w:p>
      <w:pPr>
        <w:pStyle w:val="TextBody"/>
        <w:bidi w:val="0"/>
        <w:spacing w:before="0" w:after="240"/>
        <w:jc w:val="both"/>
        <w:rPr>
          <w:rFonts w:ascii="Times New Roman" w:hAnsi="Times New Roman"/>
          <w:sz w:val="20"/>
        </w:rPr>
      </w:pPr>
      <w:r>
        <w:rPr>
          <w:rFonts w:ascii="Times New Roman" w:hAnsi="Times New Roman"/>
          <w:color w:val="000000"/>
          <w:sz w:val="22"/>
        </w:rPr>
        <w:t>Neither the Administrative Agent nor L/C Issuer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or L/C Issuer’s on any Electronic Signature transmitted by telecopy, emailed .pdf or any other electronic means). The Administrative Agent and L/C Issuer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Each Loan Party and each Lender Party hereby waives (i) any argument, defense or right to contest the legal effect, validity or enforceability of this Agreement, any other Loan Document based solely on the lack of paper original copies of this Agreement, such other Loan Document, and (ii) waives any claim against the Administrative Agent, each Lender Party and each Related Party for any liabilities arising solely from the Administrative Agent’s and/or any Lender Party’s reliance on or use of Electronic Signatures,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including any liabilities arising as a result of the failure of the Loan Parties to use any available security measures in connection with the execution, delivery or transmission of any Electronic Signature.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11.18 </w:t>
      </w:r>
      <w:r>
        <w:rPr>
          <w:rFonts w:ascii="Times New Roman" w:hAnsi="Times New Roman"/>
          <w:b w:val="false"/>
          <w:color w:val="000000"/>
          <w:sz w:val="22"/>
          <w:u w:val="single"/>
        </w:rPr>
        <w:t>Subordination of Intercompany Indebtedness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Each Loan Party (a “</w:t>
      </w:r>
      <w:r>
        <w:rPr>
          <w:rFonts w:ascii="Times New Roman" w:hAnsi="Times New Roman"/>
          <w:color w:val="000000"/>
          <w:sz w:val="22"/>
          <w:u w:val="single"/>
        </w:rPr>
        <w:t>Subordinating Loan Party</w:t>
      </w:r>
      <w:r>
        <w:rPr>
          <w:rFonts w:ascii="Times New Roman" w:hAnsi="Times New Roman"/>
          <w:color w:val="000000"/>
          <w:sz w:val="20"/>
        </w:rPr>
        <w:t>”</w:t>
      </w:r>
      <w:r>
        <w:rPr>
          <w:rFonts w:ascii="Times New Roman" w:hAnsi="Times New Roman"/>
          <w:color w:val="000000"/>
          <w:sz w:val="22"/>
        </w:rPr>
        <w:t xml:space="preserve">) agrees that the payment of all obligations and indebtedness, whether principal, interest, fees and other amounts and whether now owing or hereafter arising, owing to such Subordinating Loan Party by any other Loan Party is expressly subordinated to the payment in full in cash of the Obligations. If the Administrative Agent so requests after the occurrence of any Event of Default and during the continuation thereof, any such obligation or indebtedness shall be enforced and performance received by the Subordinating Loan Party as trustee for the holders of the Obligations and the proceeds thereof shall be paid over to the holders of the Obligations on account of the Obligations, but without reducing or affecting in any manner the liability of the Subordinating Loan Party under this Agreement or any other Loan Document. Without limitation of the foregoing, so long as no Event of Default has occurred and is continuing, the Loan Parties may make and receive payments with respect to any such obligations and indebtedness;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the event that any Loan Party receives any payment of any such obligations and indebtedness at a time when such payment is prohibited by this Section, such payment shall be held by such Loan Party, in trust for the benefit of, and shall be paid forthwith over and delivered, upon written request, to the Administrative Agent.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11.19 </w:t>
      </w:r>
      <w:r>
        <w:rPr>
          <w:rFonts w:ascii="Times New Roman" w:hAnsi="Times New Roman"/>
          <w:b w:val="false"/>
          <w:color w:val="000000"/>
          <w:sz w:val="22"/>
          <w:u w:val="single"/>
        </w:rPr>
        <w:t>USA PATRIOT Act Notice</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w:t>
      </w:r>
      <w:r>
        <w:rPr>
          <w:rFonts w:ascii="Times New Roman" w:hAnsi="Times New Roman"/>
          <w:color w:val="000000"/>
          <w:sz w:val="22"/>
          <w:u w:val="single"/>
        </w:rPr>
        <w:t>Ac</w:t>
      </w:r>
      <w:r>
        <w:rPr>
          <w:rFonts w:ascii="Times New Roman" w:hAnsi="Times New Roman"/>
          <w:color w:val="000000"/>
          <w:sz w:val="22"/>
        </w:rPr>
        <w:t>t”),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Act. The Borrower and each other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11.20 </w:t>
      </w:r>
      <w:r>
        <w:rPr>
          <w:rFonts w:ascii="Times New Roman" w:hAnsi="Times New Roman"/>
          <w:b w:val="false"/>
          <w:color w:val="000000"/>
          <w:sz w:val="22"/>
          <w:u w:val="single"/>
        </w:rPr>
        <w:t>California Judicial Reference</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If any action or proceeding is filed in a court of the State of California by or against any party hereto in connection with any of the transactions contemplated by this Agreement or any other Loan Document, (a) the court shall, and is hereby directed to, make a general reference pursuant to California Code of Civil Procedure Section 638 to a referee (who shall be a single active or retired judge) to hear and determine all of the issues in such action or proceeding (whether of fact or of law) and to report a statement of decision, provided that at the option of any party to such proceeding, any such issues pertaining to a “provisional remedy” as defined in California Code of Civil Procedure Section 1281.8 shall be heard and determined by the court, and (b) without limiting the generality of </w:t>
      </w:r>
      <w:r>
        <w:rPr>
          <w:rFonts w:ascii="Times New Roman" w:hAnsi="Times New Roman"/>
          <w:color w:val="000000"/>
          <w:sz w:val="22"/>
          <w:u w:val="single"/>
        </w:rPr>
        <w:t>Section 11.04</w:t>
      </w:r>
      <w:r>
        <w:rPr>
          <w:rFonts w:ascii="Times New Roman" w:hAnsi="Times New Roman"/>
          <w:color w:val="000000"/>
          <w:sz w:val="22"/>
        </w:rPr>
        <w:t>, the Borrower shall be solely responsible to pay all fees and expenses of any referee appointed in such action or proceeding.</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11.21 </w:t>
      </w:r>
      <w:r>
        <w:rPr>
          <w:rFonts w:ascii="Times New Roman" w:hAnsi="Times New Roman"/>
          <w:b w:val="false"/>
          <w:color w:val="000000"/>
          <w:sz w:val="22"/>
          <w:u w:val="single"/>
        </w:rPr>
        <w:t>Appointment of Borrower</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Each of the Loan Parties hereby appoints the Borrower to act as its agent for all purposes of this Agreement, the other Loan Documents and all other documents and electronic platforms entered into in connection herewith and agrees that (a) the Borrower may execute such documents and provide such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authorizations on behalf of such Loan Parties as the Borrower deems appropriate in its sole discretion and each Loan Party shall be obligated by all of the terms of any such document and/or authorization executed on its behalf, (b) any notice or communication delivered by the Administrative Agent, an L/C Issuer or a Lender to the Borrower shall be deemed delivered to each Loan Party and (c) the Administrative Agent, the L/C Issuers or the Lenders may accept, and be permitted to rely on, any document, authorization, instrument or agreement executed by the Borrower on behalf of each of the Loan Parties.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11.22 </w:t>
      </w:r>
      <w:r>
        <w:rPr>
          <w:rFonts w:ascii="Times New Roman" w:hAnsi="Times New Roman"/>
          <w:b w:val="false"/>
          <w:color w:val="000000"/>
          <w:sz w:val="22"/>
          <w:u w:val="single"/>
        </w:rPr>
        <w:t>Acknowledgement and Consent to Bail-In of Affected Financial Institutions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Solely to the extent any Lender or any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any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application of any Write-Down and Conversion Powers by the applicable Resolution Authority to any such liabilities arising hereunder which may be payable to it by any Lender or L/C Issuer that is an Affected Financial Institution;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effects of any Bail-In Action on any such liability, including, if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 reduction in full or in part or cancellation of any such liability;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the variation of the terms of such liability in connection with the exercise of the Write-Down and Conversion Powers of the applicable Resolution Authority.</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11.23 </w:t>
      </w:r>
      <w:r>
        <w:rPr>
          <w:rFonts w:ascii="Times New Roman" w:hAnsi="Times New Roman"/>
          <w:b w:val="false"/>
          <w:color w:val="000000"/>
          <w:sz w:val="22"/>
          <w:u w:val="single"/>
        </w:rPr>
        <w:t>Certain ERISA Matters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 (i)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performance of the Loans, the Letters of Credit, the Commitments and this Agreement; (iii)(A)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(iv) such other representation, warranty and covenant as may be agreed in writing between the Administrative Agent, in its sole discretion, and such Lender.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In addition, unless either (i)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 xml:space="preserve">in the immediately preceding </w:t>
      </w:r>
      <w:r>
        <w:rPr>
          <w:rFonts w:ascii="Times New Roman" w:hAnsi="Times New Roman"/>
          <w:color w:val="000000"/>
          <w:sz w:val="22"/>
          <w:u w:val="single"/>
        </w:rPr>
        <w:t>Section 11.23(a)</w:t>
      </w:r>
      <w:r>
        <w:rPr>
          <w:rFonts w:ascii="Times New Roman" w:hAnsi="Times New Roman"/>
          <w:color w:val="000000"/>
          <w:sz w:val="20"/>
        </w:rPr>
        <w:t xml:space="preserve"> </w:t>
      </w:r>
      <w:r>
        <w:rPr>
          <w:rFonts w:ascii="Times New Roman" w:hAnsi="Times New Roman"/>
          <w:color w:val="000000"/>
          <w:sz w:val="22"/>
        </w:rPr>
        <w:t xml:space="preserve">is true with respect to a Lender or (ii) a Lender has provided another representation, warranty and covenant in accordance with </w:t>
      </w:r>
      <w:r>
        <w:rPr>
          <w:rFonts w:ascii="Times New Roman" w:hAnsi="Times New Roman"/>
          <w:color w:val="000000"/>
          <w:sz w:val="22"/>
          <w:u w:val="single"/>
        </w:rPr>
        <w:t>clause (iv)</w:t>
      </w:r>
      <w:r>
        <w:rPr>
          <w:rFonts w:ascii="Times New Roman" w:hAnsi="Times New Roman"/>
          <w:color w:val="000000"/>
          <w:sz w:val="20"/>
        </w:rPr>
        <w:t xml:space="preserve"> </w:t>
      </w:r>
      <w:r>
        <w:rPr>
          <w:rFonts w:ascii="Times New Roman" w:hAnsi="Times New Roman"/>
          <w:color w:val="000000"/>
          <w:sz w:val="22"/>
        </w:rPr>
        <w:t xml:space="preserve">in the immediately preceding </w:t>
      </w:r>
      <w:r>
        <w:rPr>
          <w:rFonts w:ascii="Times New Roman" w:hAnsi="Times New Roman"/>
          <w:color w:val="000000"/>
          <w:sz w:val="22"/>
          <w:u w:val="single"/>
        </w:rPr>
        <w:t>Section 11.23(a)</w:t>
      </w:r>
      <w:r>
        <w:rPr>
          <w:rFonts w:ascii="Times New Roman" w:hAnsi="Times New Roman"/>
          <w:color w:val="000000"/>
          <w:sz w:val="22"/>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other Loan Document or any documents related hereto or thereto).</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11.24 </w:t>
      </w:r>
      <w:r>
        <w:rPr>
          <w:rFonts w:ascii="Times New Roman" w:hAnsi="Times New Roman"/>
          <w:b w:val="false"/>
          <w:color w:val="000000"/>
          <w:sz w:val="22"/>
          <w:u w:val="single"/>
        </w:rPr>
        <w:t>Intercreditor Agreement</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of any conflict between this Agreement and any other Loan Document, on the one hand, and any Intercreditor Agreement, on the other hand, such Intercreditor Agreement shall govern and control.</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11.25 </w:t>
      </w:r>
      <w:r>
        <w:rPr>
          <w:rFonts w:ascii="Times New Roman" w:hAnsi="Times New Roman"/>
          <w:b w:val="false"/>
          <w:color w:val="000000"/>
          <w:sz w:val="22"/>
          <w:u w:val="single"/>
        </w:rPr>
        <w:t>Acknowledgement Regarding Any Supported QFCs</w:t>
      </w:r>
      <w:r>
        <w:rPr>
          <w:rFonts w:ascii="Times New Roman" w:hAnsi="Times New Roman"/>
          <w:b w:val="false"/>
          <w:color w:val="000000"/>
          <w:sz w:val="22"/>
        </w:rPr>
        <w:t>.</w:t>
      </w:r>
    </w:p>
    <w:p>
      <w:pPr>
        <w:pStyle w:val="TextBody"/>
        <w:bidi w:val="0"/>
        <w:spacing w:before="0" w:after="480"/>
        <w:jc w:val="both"/>
        <w:rPr>
          <w:rFonts w:ascii="Times New Roman" w:hAnsi="Times New Roman"/>
          <w:sz w:val="20"/>
        </w:rPr>
      </w:pPr>
      <w:r>
        <w:rPr>
          <w:rFonts w:ascii="Times New Roman" w:hAnsi="Times New Roman"/>
          <w:color w:val="000000"/>
          <w:sz w:val="22"/>
        </w:rPr>
        <w:t>To the extent that the Loan Documents provide support, through a guarantee or otherwise, for any Swap Contract or any other agreement or instrument that is a QFC (such support, “</w:t>
      </w:r>
      <w:r>
        <w:rPr>
          <w:rFonts w:ascii="Times New Roman" w:hAnsi="Times New Roman"/>
          <w:color w:val="000000"/>
          <w:sz w:val="22"/>
          <w:u w:val="single"/>
        </w:rPr>
        <w:t>QFC Credit Support</w:t>
      </w:r>
      <w:r>
        <w:rPr>
          <w:rFonts w:ascii="Times New Roman" w:hAnsi="Times New Roman"/>
          <w:color w:val="000000"/>
          <w:sz w:val="20"/>
        </w:rPr>
        <w:t>”</w:t>
      </w:r>
      <w:r>
        <w:rPr>
          <w:rFonts w:ascii="Times New Roman" w:hAnsi="Times New Roman"/>
          <w:color w:val="000000"/>
          <w:sz w:val="22"/>
        </w:rPr>
        <w:t>, and each such QFC, a “</w:t>
      </w:r>
      <w:r>
        <w:rPr>
          <w:rFonts w:ascii="Times New Roman" w:hAnsi="Times New Roman"/>
          <w:color w:val="000000"/>
          <w:sz w:val="22"/>
          <w:u w:val="single"/>
        </w:rPr>
        <w:t>Supported QFC</w:t>
      </w:r>
      <w:r>
        <w:rPr>
          <w:rFonts w:ascii="Times New Roman" w:hAnsi="Times New Roman"/>
          <w:color w:val="000000"/>
          <w:sz w:val="20"/>
        </w:rPr>
        <w:t>”</w:t>
      </w:r>
      <w:r>
        <w:rPr>
          <w:rFonts w:ascii="Times New Roman" w:hAnsi="Times New Roman"/>
          <w:color w:val="000000"/>
          <w:sz w:val="22"/>
        </w:rPr>
        <w:t>), the parties acknowledge and agree that,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color w:val="000000"/>
          <w:sz w:val="22"/>
          <w:u w:val="single"/>
        </w:rPr>
        <w:t>U.S. Special Resolution Regimes</w:t>
      </w:r>
      <w:r>
        <w:rPr>
          <w:rFonts w:ascii="Times New Roman" w:hAnsi="Times New Roman"/>
          <w:color w:val="000000"/>
          <w:sz w:val="20"/>
        </w:rPr>
        <w:t>”</w:t>
      </w:r>
      <w:r>
        <w:rPr>
          <w:rFonts w:ascii="Times New Roman" w:hAnsi="Times New Roman"/>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hAnsi="Times New Roman"/>
          <w:color w:val="000000"/>
          <w:sz w:val="22"/>
          <w:u w:val="single"/>
        </w:rPr>
        <w:t>Covered Party</w:t>
      </w:r>
      <w:r>
        <w:rPr>
          <w:rFonts w:ascii="Times New Roman" w:hAnsi="Times New Roman"/>
          <w:color w:val="000000"/>
          <w:sz w:val="20"/>
        </w:rPr>
        <w:t>”</w:t>
      </w:r>
      <w:r>
        <w:rPr>
          <w:rFonts w:ascii="Times New Roman" w:hAnsi="Times New Roman"/>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11.26 </w:t>
      </w:r>
      <w:r>
        <w:rPr>
          <w:rFonts w:ascii="Times New Roman" w:hAnsi="Times New Roman"/>
          <w:b w:val="false"/>
          <w:color w:val="000000"/>
          <w:sz w:val="22"/>
          <w:u w:val="single"/>
        </w:rPr>
        <w:t>Judgment Currency</w:t>
      </w:r>
      <w:r>
        <w:rPr>
          <w:rFonts w:ascii="Times New Roman" w:hAnsi="Times New Roman"/>
          <w:b w:val="false"/>
          <w:color w:val="000000"/>
          <w:sz w:val="22"/>
        </w:rPr>
        <w:t>.</w:t>
      </w:r>
    </w:p>
    <w:p>
      <w:pPr>
        <w:pStyle w:val="TextBody"/>
        <w:bidi w:val="0"/>
        <w:spacing w:before="0" w:after="480"/>
        <w:jc w:val="both"/>
        <w:rPr>
          <w:rFonts w:ascii="Times New Roman" w:hAnsi="Times New Roman"/>
          <w:sz w:val="20"/>
        </w:rPr>
      </w:pPr>
      <w:r>
        <w:rPr>
          <w:rFonts w:ascii="Times New Roman" w:hAnsi="Times New Roman"/>
          <w:color w:val="000000"/>
          <w:sz w:val="22"/>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Loan Party in respect of any such sum due from it to the Administrative Agent or any Lender hereunder or under the other Loan Documents shall, notwithstanding any judgment in a currency (the “</w:t>
      </w:r>
      <w:r>
        <w:rPr>
          <w:rFonts w:ascii="Times New Roman" w:hAnsi="Times New Roman"/>
          <w:color w:val="000000"/>
          <w:sz w:val="22"/>
          <w:u w:val="single"/>
        </w:rPr>
        <w:t>Judgment Currency</w:t>
      </w:r>
      <w:r>
        <w:rPr>
          <w:rFonts w:ascii="Times New Roman" w:hAnsi="Times New Roman"/>
          <w:color w:val="000000"/>
          <w:sz w:val="20"/>
        </w:rPr>
        <w:t>”</w:t>
      </w:r>
      <w:r>
        <w:rPr>
          <w:rFonts w:ascii="Times New Roman" w:hAnsi="Times New Roman"/>
          <w:color w:val="000000"/>
          <w:sz w:val="22"/>
        </w:rPr>
        <w:t>) other than that in which such sum is denominated in accordance with the applicable provisions of this Agreement (the “</w:t>
      </w:r>
      <w:r>
        <w:rPr>
          <w:rFonts w:ascii="Times New Roman" w:hAnsi="Times New Roman"/>
          <w:color w:val="000000"/>
          <w:sz w:val="22"/>
          <w:u w:val="single"/>
        </w:rPr>
        <w:t>Agreement Currency</w:t>
      </w:r>
      <w:r>
        <w:rPr>
          <w:rFonts w:ascii="Times New Roman" w:hAnsi="Times New Roman"/>
          <w:color w:val="000000"/>
          <w:sz w:val="20"/>
        </w:rPr>
        <w:t>”</w:t>
      </w:r>
      <w:r>
        <w:rPr>
          <w:rFonts w:ascii="Times New Roman" w:hAnsi="Times New Roman"/>
          <w:color w:val="000000"/>
          <w:sz w:val="22"/>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Loan Party in the Agreement Currency, such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Loan Party (or to any other Person who may be entitled thereto under Applicable law).</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11.27 </w:t>
      </w:r>
      <w:r>
        <w:rPr>
          <w:rFonts w:ascii="Times New Roman" w:hAnsi="Times New Roman"/>
          <w:b w:val="false"/>
          <w:color w:val="000000"/>
          <w:sz w:val="22"/>
          <w:u w:val="single"/>
        </w:rPr>
        <w:t>Entire Agreement</w:t>
      </w:r>
      <w:r>
        <w:rPr>
          <w:rFonts w:ascii="Times New Roman" w:hAnsi="Times New Roman"/>
          <w:b w:val="false"/>
          <w:color w:val="000000"/>
          <w:sz w:val="22"/>
        </w:rPr>
        <w:t>.</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THIS AGREEMENT AND THE OTHER LOAN DOCUMENTS REPRESENT THE FINAL AGREEMENT AMONG THE PARTIES AND MAY NOT BE CONTRADICTED BY EVIDENCE OF PRIOR, CONTEMPORANEOUS, OR SUBSEQUENT ORAL AGREEMENTS OF THE PARTIES. THERE ARE NO UNWRITTEN ORAL AGREEMENTS AMONG THE PARTIES.</w:t>
      </w:r>
    </w:p>
    <w:p>
      <w:pPr>
        <w:pStyle w:val="TextBody"/>
        <w:bidi w:val="0"/>
        <w:spacing w:before="0" w:after="480"/>
        <w:jc w:val="both"/>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[Signature Pages Follow]</w:t>
      </w:r>
    </w:p>
    <w:p>
      <w:pPr>
        <w:pStyle w:val="TextBody"/>
        <w:bidi w:val="0"/>
        <w:jc w:val="center"/>
        <w:rPr>
          <w:rFonts w:ascii="Times New Roman" w:hAnsi="Times New Roman"/>
          <w:color w:val="000000"/>
          <w:sz w:val="22"/>
        </w:rPr>
      </w:pPr>
      <w:r>
        <w:rPr>
          <w:rFonts w:ascii="Times New Roman" w:hAnsi="Times New Roman"/>
          <w:color w:val="000000"/>
          <w:sz w:val="22"/>
        </w:rPr>
        <w:t>142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IN WITNESS WHEREOF</w:t>
      </w:r>
      <w:r>
        <w:rPr>
          <w:rFonts w:ascii="Times New Roman" w:hAnsi="Times New Roman"/>
          <w:i/>
          <w:color w:val="000000"/>
          <w:sz w:val="22"/>
        </w:rPr>
        <w:t xml:space="preserve">, </w:t>
      </w:r>
      <w:r>
        <w:rPr>
          <w:rFonts w:ascii="Times New Roman" w:hAnsi="Times New Roman"/>
          <w:color w:val="000000"/>
          <w:sz w:val="22"/>
        </w:rPr>
        <w:t>the parties hereto have caused this Agreement to be duly executed as of the date first above written.</w:t>
      </w:r>
    </w:p>
    <w:p>
      <w:pPr>
        <w:pStyle w:val="TextBody"/>
        <w:bidi w:val="0"/>
        <w:jc w:val="left"/>
        <w:rPr>
          <w:rFonts w:ascii="Times New Roman" w:hAnsi="Times New Roman"/>
          <w:color w:val="000000"/>
          <w:sz w:val="22"/>
        </w:rPr>
      </w:pPr>
      <w:r>
        <w:rPr>
          <w:rFonts w:ascii="Times New Roman" w:hAnsi="Times New Roman"/>
          <w:color w:val="000000"/>
          <w:sz w:val="22"/>
        </w:rPr>
        <w:t>BORROWER: HUBSPOT, INC.,</w:t>
      </w:r>
    </w:p>
    <w:p>
      <w:pPr>
        <w:pStyle w:val="TextBody"/>
        <w:bidi w:val="0"/>
        <w:spacing w:before="0" w:after="360"/>
        <w:jc w:val="left"/>
        <w:rPr>
          <w:rFonts w:ascii="Times New Roman" w:hAnsi="Times New Roman"/>
          <w:color w:val="000000"/>
          <w:sz w:val="22"/>
        </w:rPr>
      </w:pPr>
      <w:r>
        <w:rPr>
          <w:rFonts w:ascii="Times New Roman" w:hAnsi="Times New Roman"/>
          <w:color w:val="000000"/>
          <w:sz w:val="22"/>
        </w:rPr>
        <w:t>a Delaware corporation</w:t>
      </w:r>
    </w:p>
    <w:p>
      <w:pPr>
        <w:pStyle w:val="TextBody"/>
        <w:bidi w:val="0"/>
        <w:jc w:val="both"/>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Kathryn Bueker </w:t>
      </w:r>
    </w:p>
    <w:p>
      <w:pPr>
        <w:pStyle w:val="TextBody"/>
        <w:bidi w:val="0"/>
        <w:jc w:val="both"/>
        <w:rPr>
          <w:rFonts w:ascii="Times New Roman" w:hAnsi="Times New Roman"/>
          <w:color w:val="000000"/>
          <w:sz w:val="22"/>
        </w:rPr>
      </w:pPr>
      <w:r>
        <w:rPr>
          <w:rFonts w:ascii="Times New Roman" w:hAnsi="Times New Roman"/>
          <w:color w:val="000000"/>
          <w:sz w:val="22"/>
        </w:rPr>
        <w:t>Name: Kathryn Bueker</w:t>
      </w:r>
    </w:p>
    <w:p>
      <w:pPr>
        <w:pStyle w:val="TextBody"/>
        <w:bidi w:val="0"/>
        <w:jc w:val="both"/>
        <w:rPr>
          <w:rFonts w:ascii="Times New Roman" w:hAnsi="Times New Roman"/>
          <w:color w:val="000000"/>
          <w:sz w:val="22"/>
        </w:rPr>
      </w:pPr>
      <w:r>
        <w:rPr>
          <w:rFonts w:ascii="Times New Roman" w:hAnsi="Times New Roman"/>
          <w:color w:val="000000"/>
          <w:sz w:val="22"/>
        </w:rPr>
        <w:t>Title: Chief Financial Officer</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[Signature Page to HubSpot Credit Agreement]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ADMINISTRATIVE AGENT: BANK OF AMERICA, N.A.,</w:t>
      </w:r>
    </w:p>
    <w:p>
      <w:pPr>
        <w:pStyle w:val="TextBody"/>
        <w:bidi w:val="0"/>
        <w:spacing w:before="0" w:after="360"/>
        <w:jc w:val="left"/>
        <w:rPr>
          <w:rFonts w:ascii="Times New Roman" w:hAnsi="Times New Roman"/>
          <w:color w:val="000000"/>
          <w:sz w:val="22"/>
        </w:rPr>
      </w:pPr>
      <w:r>
        <w:rPr>
          <w:rFonts w:ascii="Times New Roman" w:hAnsi="Times New Roman"/>
          <w:color w:val="000000"/>
          <w:sz w:val="22"/>
        </w:rPr>
        <w:t>as Administrative Agent</w:t>
      </w:r>
    </w:p>
    <w:p>
      <w:pPr>
        <w:pStyle w:val="TextBody"/>
        <w:bidi w:val="0"/>
        <w:jc w:val="both"/>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Kelly Weaver </w:t>
      </w:r>
    </w:p>
    <w:p>
      <w:pPr>
        <w:pStyle w:val="TextBody"/>
        <w:bidi w:val="0"/>
        <w:jc w:val="both"/>
        <w:rPr>
          <w:rFonts w:ascii="Times New Roman" w:hAnsi="Times New Roman"/>
          <w:color w:val="000000"/>
          <w:sz w:val="22"/>
        </w:rPr>
      </w:pPr>
      <w:r>
        <w:rPr>
          <w:rFonts w:ascii="Times New Roman" w:hAnsi="Times New Roman"/>
          <w:color w:val="000000"/>
          <w:sz w:val="22"/>
        </w:rPr>
        <w:t>Name: Kelly Weaver Vice President</w:t>
      </w:r>
    </w:p>
    <w:p>
      <w:pPr>
        <w:pStyle w:val="TextBody"/>
        <w:bidi w:val="0"/>
        <w:jc w:val="both"/>
        <w:rPr>
          <w:rFonts w:ascii="Times New Roman" w:hAnsi="Times New Roman"/>
          <w:color w:val="000000"/>
          <w:sz w:val="22"/>
        </w:rPr>
      </w:pPr>
      <w:r>
        <w:rPr>
          <w:rFonts w:ascii="Times New Roman" w:hAnsi="Times New Roman"/>
          <w:color w:val="000000"/>
          <w:sz w:val="22"/>
        </w:rPr>
        <w:t>Title:</w:t>
      </w:r>
    </w:p>
    <w:p>
      <w:pPr>
        <w:pStyle w:val="TextBody"/>
        <w:bidi w:val="0"/>
        <w:spacing w:before="0" w:after="24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BANK OF AMERICA, N.A.,</w:t>
      </w:r>
    </w:p>
    <w:p>
      <w:pPr>
        <w:pStyle w:val="TextBody"/>
        <w:bidi w:val="0"/>
        <w:spacing w:before="0" w:after="360"/>
        <w:jc w:val="both"/>
        <w:rPr>
          <w:rFonts w:ascii="Times New Roman" w:hAnsi="Times New Roman"/>
          <w:color w:val="000000"/>
          <w:sz w:val="22"/>
        </w:rPr>
      </w:pPr>
      <w:r>
        <w:rPr>
          <w:rFonts w:ascii="Times New Roman" w:hAnsi="Times New Roman"/>
          <w:color w:val="000000"/>
          <w:sz w:val="22"/>
        </w:rPr>
        <w:t>as a Lender and L/C Issuer</w:t>
      </w:r>
    </w:p>
    <w:p>
      <w:pPr>
        <w:pStyle w:val="TextBody"/>
        <w:bidi w:val="0"/>
        <w:jc w:val="both"/>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Christine Yang </w:t>
      </w:r>
    </w:p>
    <w:p>
      <w:pPr>
        <w:pStyle w:val="TextBody"/>
        <w:bidi w:val="0"/>
        <w:jc w:val="both"/>
        <w:rPr>
          <w:rFonts w:ascii="Times New Roman" w:hAnsi="Times New Roman"/>
          <w:color w:val="000000"/>
          <w:sz w:val="22"/>
        </w:rPr>
      </w:pPr>
      <w:r>
        <w:rPr>
          <w:rFonts w:ascii="Times New Roman" w:hAnsi="Times New Roman"/>
          <w:color w:val="000000"/>
          <w:sz w:val="22"/>
        </w:rPr>
        <w:t>Name: Christine Yang</w:t>
      </w:r>
    </w:p>
    <w:p>
      <w:pPr>
        <w:pStyle w:val="TextBody"/>
        <w:bidi w:val="0"/>
        <w:jc w:val="both"/>
        <w:rPr>
          <w:rFonts w:ascii="Times New Roman" w:hAnsi="Times New Roman"/>
          <w:color w:val="000000"/>
          <w:sz w:val="22"/>
        </w:rPr>
      </w:pPr>
      <w:r>
        <w:rPr>
          <w:rFonts w:ascii="Times New Roman" w:hAnsi="Times New Roman"/>
          <w:color w:val="000000"/>
          <w:sz w:val="22"/>
        </w:rPr>
        <w:t>Title: Director</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HubSpot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MORGAN STANLEY BANK, N.A.,</w:t>
        <w:br/>
        <w:t>as Lender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Michael King </w:t>
      </w:r>
    </w:p>
    <w:p>
      <w:pPr>
        <w:pStyle w:val="TextBody"/>
        <w:bidi w:val="0"/>
        <w:jc w:val="both"/>
        <w:rPr>
          <w:rFonts w:ascii="Times New Roman" w:hAnsi="Times New Roman"/>
          <w:color w:val="000000"/>
          <w:sz w:val="22"/>
        </w:rPr>
      </w:pPr>
      <w:r>
        <w:rPr>
          <w:rFonts w:ascii="Times New Roman" w:hAnsi="Times New Roman"/>
          <w:color w:val="000000"/>
          <w:sz w:val="22"/>
        </w:rPr>
        <w:t>Name: Michael King</w:t>
      </w:r>
    </w:p>
    <w:p>
      <w:pPr>
        <w:pStyle w:val="TextBody"/>
        <w:bidi w:val="0"/>
        <w:jc w:val="both"/>
        <w:rPr>
          <w:rFonts w:ascii="Times New Roman" w:hAnsi="Times New Roman"/>
          <w:color w:val="000000"/>
          <w:sz w:val="22"/>
        </w:rPr>
      </w:pPr>
      <w:r>
        <w:rPr>
          <w:rFonts w:ascii="Times New Roman" w:hAnsi="Times New Roman"/>
          <w:color w:val="000000"/>
          <w:sz w:val="22"/>
        </w:rPr>
        <w:t>Title: Authorized Signatory</w:t>
      </w:r>
    </w:p>
    <w:p>
      <w:pPr>
        <w:pStyle w:val="TextBody"/>
        <w:bidi w:val="0"/>
        <w:jc w:val="center"/>
        <w:rPr>
          <w:rFonts w:ascii="Times New Roman" w:hAnsi="Times New Roman"/>
          <w:color w:val="000000"/>
          <w:sz w:val="20"/>
        </w:rPr>
      </w:pPr>
      <w:r>
        <w:rPr>
          <w:rFonts w:ascii="Times New Roman" w:hAnsi="Times New Roman"/>
          <w:color w:val="000000"/>
          <w:sz w:val="20"/>
        </w:rPr>
        <w:t xml:space="preserve">[Signature Page to HubSpot Credit Agreement]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JP Morgan Chase Bank, N.A.,</w:t>
        <w:br/>
        <w:t>as Lender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Jorge Diaz Granados </w:t>
      </w:r>
    </w:p>
    <w:p>
      <w:pPr>
        <w:pStyle w:val="TextBody"/>
        <w:bidi w:val="0"/>
        <w:jc w:val="both"/>
        <w:rPr>
          <w:rFonts w:ascii="Times New Roman" w:hAnsi="Times New Roman"/>
          <w:sz w:val="20"/>
        </w:rPr>
      </w:pPr>
      <w:r>
        <w:rPr>
          <w:rFonts w:ascii="Times New Roman" w:hAnsi="Times New Roman"/>
          <w:color w:val="000000"/>
          <w:sz w:val="22"/>
        </w:rPr>
        <w:t>Name: Jorge Diaz Granados</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Title: Authorized Signatory</w:t>
      </w:r>
    </w:p>
    <w:p>
      <w:pPr>
        <w:pStyle w:val="TextBody"/>
        <w:bidi w:val="0"/>
        <w:jc w:val="center"/>
        <w:rPr>
          <w:rFonts w:ascii="Times New Roman" w:hAnsi="Times New Roman"/>
          <w:color w:val="000000"/>
          <w:sz w:val="20"/>
        </w:rPr>
      </w:pPr>
      <w:r>
        <w:rPr>
          <w:rFonts w:ascii="Times New Roman" w:hAnsi="Times New Roman"/>
          <w:color w:val="000000"/>
          <w:sz w:val="20"/>
        </w:rPr>
        <w:t xml:space="preserve">[Signature Page to HubSpot Credit Agreement]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GOLDMAN SACHS BANK USA,</w:t>
        <w:br/>
        <w:t>as Lender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Dan Starr </w:t>
      </w:r>
    </w:p>
    <w:p>
      <w:pPr>
        <w:pStyle w:val="TextBody"/>
        <w:bidi w:val="0"/>
        <w:jc w:val="both"/>
        <w:rPr>
          <w:rFonts w:ascii="Times New Roman" w:hAnsi="Times New Roman"/>
          <w:color w:val="000000"/>
          <w:sz w:val="22"/>
        </w:rPr>
      </w:pPr>
      <w:r>
        <w:rPr>
          <w:rFonts w:ascii="Times New Roman" w:hAnsi="Times New Roman"/>
          <w:color w:val="000000"/>
          <w:sz w:val="22"/>
        </w:rPr>
        <w:t>Name: Dan Starr</w:t>
      </w:r>
    </w:p>
    <w:p>
      <w:pPr>
        <w:pStyle w:val="TextBody"/>
        <w:bidi w:val="0"/>
        <w:jc w:val="both"/>
        <w:rPr>
          <w:rFonts w:ascii="Times New Roman" w:hAnsi="Times New Roman"/>
          <w:color w:val="000000"/>
          <w:sz w:val="22"/>
        </w:rPr>
      </w:pPr>
      <w:r>
        <w:rPr>
          <w:rFonts w:ascii="Times New Roman" w:hAnsi="Times New Roman"/>
          <w:color w:val="000000"/>
          <w:sz w:val="22"/>
        </w:rPr>
        <w:t>Title: Authorized Signatory</w:t>
      </w:r>
    </w:p>
    <w:p>
      <w:pPr>
        <w:pStyle w:val="TextBody"/>
        <w:bidi w:val="0"/>
        <w:jc w:val="center"/>
        <w:rPr>
          <w:rFonts w:ascii="Times New Roman" w:hAnsi="Times New Roman"/>
          <w:color w:val="000000"/>
          <w:sz w:val="20"/>
        </w:rPr>
      </w:pPr>
      <w:r>
        <w:rPr>
          <w:rFonts w:ascii="Times New Roman" w:hAnsi="Times New Roman"/>
          <w:color w:val="000000"/>
          <w:sz w:val="20"/>
        </w:rPr>
        <w:t xml:space="preserve">[Signature Page to HubSpot Credit Agreement]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MUFG BANK, LTD,</w:t>
        <w:br/>
        <w:t>as Lender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Ryan Aberdale </w:t>
      </w:r>
    </w:p>
    <w:p>
      <w:pPr>
        <w:pStyle w:val="TextBody"/>
        <w:bidi w:val="0"/>
        <w:jc w:val="both"/>
        <w:rPr>
          <w:rFonts w:ascii="Times New Roman" w:hAnsi="Times New Roman"/>
          <w:color w:val="000000"/>
          <w:sz w:val="22"/>
        </w:rPr>
      </w:pPr>
      <w:r>
        <w:rPr>
          <w:rFonts w:ascii="Times New Roman" w:hAnsi="Times New Roman"/>
          <w:color w:val="000000"/>
          <w:sz w:val="22"/>
        </w:rPr>
        <w:t>Name: Ryan Aberdale</w:t>
      </w:r>
    </w:p>
    <w:p>
      <w:pPr>
        <w:pStyle w:val="TextBody"/>
        <w:bidi w:val="0"/>
        <w:jc w:val="both"/>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[Signature Page to HubSpot Credit Agreement]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33" w:name="hubs-ex10_3.htm"/>
      <w:bookmarkStart w:id="34" w:name="kshubsex10_3"/>
      <w:bookmarkEnd w:id="33"/>
      <w:bookmarkEnd w:id="34"/>
      <w:r>
        <w:rPr>
          <w:rFonts w:ascii="Times New Roman" w:hAnsi="Times New Roman"/>
          <w:b/>
          <w:color w:val="000000"/>
          <w:sz w:val="24"/>
        </w:rPr>
        <w:t>Exhibit 10.3</w:t>
      </w:r>
      <w:r>
        <w:br w:type="page"/>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HUBSPOT, INC.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AMENDED AND RESTATED CASH INCENTIVE BONUS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2"/>
          <w:u w:val="single"/>
        </w:rPr>
        <w:t>Purpose</w:t>
      </w:r>
      <w:r>
        <w:rPr>
          <w:rFonts w:ascii="Times New Roman" w:hAnsi="Times New Roman"/>
          <w:color w:val="000000"/>
          <w:sz w:val="22"/>
        </w:rPr>
        <w:t>. This Cash Incentive Bonus Plan (the “</w:t>
      </w:r>
      <w:r>
        <w:rPr>
          <w:rFonts w:ascii="Times New Roman" w:hAnsi="Times New Roman"/>
          <w:b/>
          <w:i/>
          <w:color w:val="000000"/>
          <w:sz w:val="22"/>
        </w:rPr>
        <w:t>Incentive Plan</w:t>
      </w:r>
      <w:r>
        <w:rPr>
          <w:color w:val="000000"/>
        </w:rPr>
        <w:t>”</w:t>
      </w:r>
      <w:r>
        <w:rPr>
          <w:rFonts w:ascii="Times New Roman" w:hAnsi="Times New Roman"/>
          <w:color w:val="000000"/>
          <w:sz w:val="22"/>
        </w:rPr>
        <w:t>) is intended to provide an incentive for superior work and to motivate eligible employees of HubSpot, Inc. and its subsidiaries (together, the “</w:t>
      </w:r>
      <w:r>
        <w:rPr>
          <w:rFonts w:ascii="Times New Roman" w:hAnsi="Times New Roman"/>
          <w:b/>
          <w:i/>
          <w:color w:val="000000"/>
          <w:sz w:val="22"/>
        </w:rPr>
        <w:t>Company</w:t>
      </w:r>
      <w:r>
        <w:rPr>
          <w:color w:val="000000"/>
        </w:rPr>
        <w:t>”</w:t>
      </w:r>
      <w:r>
        <w:rPr>
          <w:rFonts w:ascii="Times New Roman" w:hAnsi="Times New Roman"/>
          <w:color w:val="000000"/>
          <w:sz w:val="22"/>
        </w:rPr>
        <w:t xml:space="preserve">) toward even higher achievement and business results, to tie their goals and interests to those of the Company and its stockholders and to enable the Company to attract and retain highly qualified employees. The Incentive Plan is for the benefit of Covered Employees (as defined below). This Incentive Plan amends, restates and supersedes the Company’s Management Cash Incentive Bonus Plan last amended on January 27, 2025 (the “Prior Plan”). References to the Prior Plan in any outstanding agreements between a Covered Employee and the Company shall be deemed to refer to this Incentive Plan, as applicable.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2"/>
          <w:u w:val="single"/>
        </w:rPr>
        <w:t>Covered Employees</w:t>
      </w:r>
      <w:r>
        <w:rPr>
          <w:rFonts w:ascii="Times New Roman" w:hAnsi="Times New Roman"/>
          <w:color w:val="000000"/>
          <w:sz w:val="22"/>
        </w:rPr>
        <w:t>. From time to time, the Compensation Committee of the Board of Directors of the Company (the “</w:t>
      </w:r>
      <w:r>
        <w:rPr>
          <w:rFonts w:ascii="Times New Roman" w:hAnsi="Times New Roman"/>
          <w:b/>
          <w:i/>
          <w:color w:val="000000"/>
          <w:sz w:val="22"/>
        </w:rPr>
        <w:t>Compensation Committee</w:t>
      </w:r>
      <w:r>
        <w:rPr>
          <w:color w:val="000000"/>
        </w:rPr>
        <w:t>”</w:t>
      </w:r>
      <w:r>
        <w:rPr>
          <w:rFonts w:ascii="Times New Roman" w:hAnsi="Times New Roman"/>
          <w:color w:val="000000"/>
          <w:sz w:val="22"/>
        </w:rPr>
        <w:t>) may select certain employees at the Executive Vice President level or above (the “</w:t>
      </w:r>
      <w:r>
        <w:rPr>
          <w:rFonts w:ascii="Times New Roman" w:hAnsi="Times New Roman"/>
          <w:b/>
          <w:i/>
          <w:color w:val="000000"/>
          <w:sz w:val="22"/>
        </w:rPr>
        <w:t>Key Management Employees</w:t>
      </w:r>
      <w:r>
        <w:rPr>
          <w:color w:val="000000"/>
        </w:rPr>
        <w:t>”</w:t>
      </w:r>
      <w:r>
        <w:rPr>
          <w:rFonts w:ascii="Times New Roman" w:hAnsi="Times New Roman"/>
          <w:color w:val="000000"/>
          <w:sz w:val="22"/>
        </w:rPr>
        <w:t>) to be eligible to receive bonuses hereunder, and the Chief Executive Officer, Chief Financial Officer, and Chief People Officer (the “</w:t>
      </w:r>
      <w:r>
        <w:rPr>
          <w:rFonts w:ascii="Times New Roman" w:hAnsi="Times New Roman"/>
          <w:b/>
          <w:i/>
          <w:color w:val="000000"/>
          <w:sz w:val="22"/>
        </w:rPr>
        <w:t>Designated Officers</w:t>
      </w:r>
      <w:r>
        <w:rPr>
          <w:color w:val="000000"/>
        </w:rPr>
        <w:t>”</w:t>
      </w:r>
      <w:r>
        <w:rPr>
          <w:rFonts w:ascii="Times New Roman" w:hAnsi="Times New Roman"/>
          <w:color w:val="000000"/>
          <w:sz w:val="22"/>
        </w:rPr>
        <w:t>) may select certain other employees who are not at the Executive Vice President Level or above (the "</w:t>
      </w:r>
      <w:r>
        <w:rPr>
          <w:rFonts w:ascii="Times New Roman" w:hAnsi="Times New Roman"/>
          <w:b/>
          <w:i/>
          <w:color w:val="000000"/>
          <w:sz w:val="22"/>
        </w:rPr>
        <w:t>Non-Key Management Employees</w:t>
      </w:r>
      <w:r>
        <w:rPr>
          <w:color w:val="000000"/>
        </w:rPr>
        <w:t>”</w:t>
      </w:r>
      <w:r>
        <w:rPr>
          <w:rFonts w:ascii="Times New Roman" w:hAnsi="Times New Roman"/>
          <w:color w:val="000000"/>
          <w:sz w:val="22"/>
        </w:rPr>
        <w:t>) to be eligible to receive bonuses hereunder (such selected Key Management Employees and selected Non-Key Management Employees, the “</w:t>
      </w:r>
      <w:r>
        <w:rPr>
          <w:rFonts w:ascii="Times New Roman" w:hAnsi="Times New Roman"/>
          <w:b/>
          <w:i/>
          <w:color w:val="000000"/>
          <w:sz w:val="22"/>
        </w:rPr>
        <w:t>Covered Employees</w:t>
      </w:r>
      <w:r>
        <w:rPr>
          <w:color w:val="000000"/>
        </w:rPr>
        <w:t>”</w:t>
      </w:r>
      <w:r>
        <w:rPr>
          <w:rFonts w:ascii="Times New Roman" w:hAnsi="Times New Roman"/>
          <w:color w:val="000000"/>
          <w:sz w:val="22"/>
        </w:rPr>
        <w:t>); provided, however, that any employees selected to be eligible to receive bonuses hereunder who are “executive officers” as defined in 17 CFR 240.3b-7 shall be deemed “Key Management Employees” hereunder. Except as may otherwise be provided by an applicable agreement, participation in this Incentive Plan does not change the “at will” nature of a Covered Employee’s employment with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color w:val="000000"/>
          <w:sz w:val="22"/>
          <w:u w:val="single"/>
        </w:rPr>
        <w:t>Administration</w:t>
      </w:r>
      <w:r>
        <w:rPr>
          <w:rFonts w:ascii="Times New Roman" w:hAnsi="Times New Roman"/>
          <w:color w:val="000000"/>
          <w:sz w:val="22"/>
        </w:rPr>
        <w:t>. The Compensation Committee shall have the sole discretion and authority to administer and interpret the Incentive Plan and may delegate all or part of such discretion and authority to one or more directors, the Designated Officers and/or other officers of the Company, subject to compliance with applicable law and the Company’s governing documents. All decisions and interpretations of the Compensation Committee or its delegates, including the Designated Officers, as applicable, shall be final and binding on all persons, including the Company and the Covered Employees.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pPr>
      <w:r>
        <w:rPr>
          <w:rFonts w:ascii="Times New Roman" w:hAnsi="Times New Roman"/>
          <w:color w:val="000000"/>
          <w:sz w:val="22"/>
          <w:u w:val="single"/>
        </w:rPr>
        <w:t>Bonus Determinations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Corporate Performance Goals</w:t>
      </w:r>
      <w:r>
        <w:rPr>
          <w:rFonts w:ascii="Times New Roman" w:hAnsi="Times New Roman"/>
          <w:color w:val="000000"/>
          <w:sz w:val="22"/>
        </w:rPr>
        <w:t>. A Covered Employee may receive a bonus payment under the Incentive Plan based upon the attainment of one or more performance objectives that are established by the Compensation Committee and relate to financial and operational metrics with respect to the Company or any of its subsidiaries (the “</w:t>
      </w:r>
      <w:r>
        <w:rPr>
          <w:rFonts w:ascii="Times New Roman" w:hAnsi="Times New Roman"/>
          <w:b/>
          <w:i/>
          <w:color w:val="000000"/>
          <w:sz w:val="22"/>
        </w:rPr>
        <w:t>Corporate Performance Goals</w:t>
      </w:r>
      <w:r>
        <w:rPr>
          <w:color w:val="000000"/>
        </w:rPr>
        <w:t>”</w:t>
      </w:r>
      <w:r>
        <w:rPr>
          <w:rFonts w:ascii="Times New Roman" w:hAnsi="Times New Roman"/>
          <w:color w:val="000000"/>
          <w:sz w:val="22"/>
        </w:rPr>
        <w:t xml:space="preserve">), including the following: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the Company’s common stock; economic value-added; acquisitions or strategic transactions; operating income (loss); return on capital, assets, equity, or investment; stockholder returns; return on sales; gross or net profit levels; productivity; expense efficiency; margins; operating efficiency; customer satisfaction; working capital; earnings (loss) per share of the Company’s common stock; bookings, new bookings or renewals; sales or market shares; number of customers, number of new customers or customer references; operating income, net annual recurring revenue, and/or any other performance goal selected by the Compensation Committee, any of which may be (A) measured in absolute terms or compared to any incremental increase, (B) measured in terms of growth, (C) compared to another company or companies or to results of a peer group, (D) measured against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market as a whole and/or as compared to applicable market indices and/or (E) measured on a pre-tax or post-tax basis (if applicable). Further, any Corporate Performance Goals may be used to measure the performance of the Company as a whole or a business unit or other segment of the Company, or one or more product lines or specific markets. The Corporate Performance Goals may differ from Covered Employee to Covered Employee.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Calculation of Corporate Performance Goals</w:t>
      </w:r>
      <w:r>
        <w:rPr>
          <w:rFonts w:ascii="Times New Roman" w:hAnsi="Times New Roman"/>
          <w:color w:val="000000"/>
          <w:sz w:val="22"/>
        </w:rPr>
        <w:t>. At the beginning of each applicable performance period, the Compensation Committee will determine whether any significant element(s) will be included in or excluded from the calculation of any Corporate Performance Goal with respect to any Covered Employee. In all other respects, Corporate Performance Goals will be calculated in accordance with the Company’s financial statements, generally accepted accounting principles, or under a methodology established by the Compensation Committee at the beginning of the performance period and which is consistently applied with respect to a Corporate Performance Goal in the relevant performance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Target; Minimum; Maximum</w:t>
      </w:r>
      <w:r>
        <w:rPr>
          <w:rFonts w:ascii="Times New Roman" w:hAnsi="Times New Roman"/>
          <w:color w:val="000000"/>
          <w:sz w:val="22"/>
        </w:rPr>
        <w:t>. Each Corporate Performance Goal shall have a “target” (100 percent attainment of the Corporate Performance Goal) and may also have a “minimum” hurdle and/or a “maximum” amount.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Bonus Requirements; Individual Goals</w:t>
      </w:r>
      <w:r>
        <w:rPr>
          <w:rFonts w:ascii="Times New Roman" w:hAnsi="Times New Roman"/>
          <w:color w:val="000000"/>
          <w:sz w:val="22"/>
        </w:rPr>
        <w:t>. Except as otherwise set forth in this Section 4(d): (i) any bonuses paid to Covered Employees under the Incentive Plan shall be based upon objectively determinable bonus formulas that tie such bonuses to one or more performance targets relating to the Corporate Performance Goals, based upon the information available to the Compensation Committee at the time of determination, (ii) bonus formulas for Covered Employees shall be adopted in each performance period by the Compensation Committee and communicated to each Covered Employee at the beginning of each performance period and (iii) no bonuses shall be paid to Covered Employees unless and until the Compensation Committee makes a determination with respect to the attainment of the performance targets relating to the Corporate Performance Goals. Notwithstanding the foregoing, the Compensation Committee may adjust bonuses payable under the Incentive Plan based on achievement of one or more individual performance objectives or pay bonuses (including, without limitation, discretionary bonuses) to each Covered Employee that is a Key Management Employee under the Incentive Plan based on individual performance goals and/or upon such other terms and conditions as the Compensation Committee may in its discretion determine. The Designated Officers may adjust bonuses payable under the Incentive Plan based on achievement of one or more individual performance objectives or pay bonuses (including, without limitation, discretionary bonuses) to each Covered Employees that is a Non-Key Management Employee under the Incentive Plan based on individual performance goals and/or upon such other terms and conditions as the Designated Officers may in their discretion determine.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Individual Target Bonuses</w:t>
      </w:r>
      <w:r>
        <w:rPr>
          <w:rFonts w:ascii="Times New Roman" w:hAnsi="Times New Roman"/>
          <w:color w:val="000000"/>
          <w:sz w:val="22"/>
        </w:rPr>
        <w:t>. The Compensation Committee shall establish a target bonus opportunity for each Covered Employee that is a Key Management Employee for each performance period. For each Covered Employee that is a Key Management Employee, the Compensation Committee shall have the authority to apportion the target award so that a portion of the target award shall be tied to attainment of Corporate Performance Goals and a portion of the target award shall be tied to attainment of individual performance objectives. The Designated Officers shall establish a target bonus opportunity for each Covered Employee that is a Non-Key Management Employee for each performance period. For each Covered Employee that is a Non-Key Management Employee, the Designated Officers shall have the authority to apportion the target award so that a portion of the target award shall be tied to attainment of Corporate Performance Goals and a portion of the target award shall be tied to attainment of individual performance objectives.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Employment Requirement</w:t>
      </w:r>
      <w:r>
        <w:rPr>
          <w:rFonts w:ascii="Times New Roman" w:hAnsi="Times New Roman"/>
          <w:color w:val="000000"/>
          <w:sz w:val="22"/>
        </w:rPr>
        <w:t xml:space="preserve">. Subject to any additional terms contained in a written agreement between the Covered Employee and the Company, the payment of a bonus to a Covered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Employee with respect to a performance period shall be conditioned upon the Covered Employee’s employment by the Company on the bonus payment date. If a Covered Employee was not employed for an entire performance period, the Compensation Committee (or the Designated Officers with respect to Covered Employees who are Non-Key Management Employees) may prorate the bonus based on the number of days employed during such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pPr>
      <w:r>
        <w:rPr>
          <w:rFonts w:ascii="Times New Roman" w:hAnsi="Times New Roman"/>
          <w:color w:val="000000"/>
          <w:sz w:val="22"/>
          <w:u w:val="single"/>
        </w:rPr>
        <w:t>Timing of Payment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respect to Corporate Performance Goals established and measured on a basis more frequently than annually (e.g., quarterly or semi-annually), the Corporate Performance Goals will be measured at the end of each performance period after the Company’s financial reports with respect to such period(s) have been published. If the Corporate Performance Goals and/or individual goals for such period are met, payments will be made as soon as practicable following the end of such period, but not later than 74 days after the end of the fiscal year in which such performance period ends.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respect to Corporate Performance Goals established and measured on an annual or multi-year basis, Corporate Performance Goals will be measured as of the end of each such performance period (e.g., the end of each fiscal year) after the Company’s financial reports with respect to such period(s) have been published. If the Corporate Performance Goals and/or individual goals for any such period are met, bonus payments will be made as soon as practicable, but not later than 74 days after the end of the relevant fiscal year.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avoidance of doubt, bonuses earned at any time in a fiscal year must be paid no later than 74 days after the last day of such fiscal year, and bonus amounts will be calculated based upon the information available to the Compensation Committee at the time of determination.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pPr>
      <w:r>
        <w:rPr>
          <w:rFonts w:ascii="Times New Roman" w:hAnsi="Times New Roman"/>
          <w:color w:val="000000"/>
          <w:sz w:val="22"/>
          <w:u w:val="single"/>
        </w:rPr>
        <w:t>Recoupment.</w:t>
      </w:r>
      <w:r>
        <w:rPr>
          <w:color w:val="000000"/>
        </w:rPr>
        <w:t xml:space="preserve"> </w:t>
      </w:r>
      <w:r>
        <w:rPr>
          <w:rFonts w:ascii="Times New Roman" w:hAnsi="Times New Roman"/>
          <w:color w:val="000000"/>
          <w:sz w:val="22"/>
        </w:rPr>
        <w:t>Notwithstanding anything to the contrary in the Incentive Plan, all amounts payable pursuant to the Incentive Plan are subject to recoupment under the Company’s Policy for Recoupment of Incentive Compensation (the “</w:t>
      </w:r>
      <w:r>
        <w:rPr>
          <w:rFonts w:ascii="Times New Roman" w:hAnsi="Times New Roman"/>
          <w:b/>
          <w:i/>
          <w:color w:val="000000"/>
          <w:sz w:val="22"/>
        </w:rPr>
        <w:t>Recoupment Policy</w:t>
      </w:r>
      <w:r>
        <w:rPr>
          <w:color w:val="000000"/>
        </w:rPr>
        <w:t xml:space="preserve">” </w:t>
      </w:r>
      <w:r>
        <w:rPr>
          <w:rFonts w:ascii="Times New Roman" w:hAnsi="Times New Roman"/>
          <w:color w:val="000000"/>
          <w:sz w:val="22"/>
        </w:rPr>
        <w:t>applicable to Executive Officers (as defined in the Recoupment Policy) or as otherwise may be required or permitted under applicable law. For the avoidance of doubt, any action by the Company to recover compensation under the Recoupment Policy or pursuant to applicable law shall not be deemed to constitute (i) an event giving rise to a right to resign for “good reason”, if applicable, or serve as a basis for a claim of constructive termination under any benefits or compensation arrangement applicable to a Covered Employee or (ii) a breach of a contract or other arrangement to which a Covered Employee is a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both"/>
        <w:rPr/>
      </w:pPr>
      <w:r>
        <w:rPr>
          <w:rFonts w:ascii="Times New Roman" w:hAnsi="Times New Roman"/>
          <w:color w:val="000000"/>
          <w:sz w:val="22"/>
          <w:u w:val="single"/>
        </w:rPr>
        <w:t>Amendment and Termination</w:t>
      </w:r>
      <w:r>
        <w:rPr>
          <w:rFonts w:ascii="Times New Roman" w:hAnsi="Times New Roman"/>
          <w:color w:val="000000"/>
          <w:sz w:val="22"/>
        </w:rPr>
        <w:t>. The Company reserves the right to amend or terminate the Incentive Plan at any time in its sole discretion.</w:t>
      </w:r>
    </w:p>
    <w:p>
      <w:pPr>
        <w:pStyle w:val="TextBody"/>
        <w:bidi w:val="0"/>
        <w:spacing w:before="0" w:after="24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bookmarkStart w:id="35" w:name="hubs-ex31_1.htm"/>
      <w:bookmarkStart w:id="36" w:name="kshubsex31_1"/>
      <w:bookmarkEnd w:id="35"/>
      <w:bookmarkEnd w:id="3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Yamini Rangan,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HubSpot,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810" w:type="dxa"/>
        <w:jc w:val="left"/>
        <w:tblInd w:w="0" w:type="dxa"/>
        <w:tblLayout w:type="fixed"/>
        <w:tblCellMar>
          <w:top w:w="28" w:type="dxa"/>
          <w:left w:w="28" w:type="dxa"/>
          <w:bottom w:w="28" w:type="dxa"/>
          <w:right w:w="28" w:type="dxa"/>
        </w:tblCellMar>
      </w:tblPr>
      <w:tblGrid>
        <w:gridCol w:w="1636"/>
        <w:gridCol w:w="146"/>
        <w:gridCol w:w="406"/>
        <w:gridCol w:w="146"/>
        <w:gridCol w:w="247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Yamini Rangan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Yamini Rangan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7" w:name="hubs-ex31_2.htm"/>
      <w:bookmarkStart w:id="38" w:name="kshubsex31_2"/>
      <w:bookmarkEnd w:id="37"/>
      <w:bookmarkEnd w:id="3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Kate Bueker,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HubSpot,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750" w:type="dxa"/>
        <w:jc w:val="left"/>
        <w:tblInd w:w="0" w:type="dxa"/>
        <w:tblLayout w:type="fixed"/>
        <w:tblCellMar>
          <w:top w:w="28" w:type="dxa"/>
          <w:left w:w="28" w:type="dxa"/>
          <w:bottom w:w="28" w:type="dxa"/>
          <w:right w:w="28" w:type="dxa"/>
        </w:tblCellMar>
      </w:tblPr>
      <w:tblGrid>
        <w:gridCol w:w="1636"/>
        <w:gridCol w:w="146"/>
        <w:gridCol w:w="406"/>
        <w:gridCol w:w="146"/>
        <w:gridCol w:w="241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Kate Bueker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hubs-ex32_1.htm"/>
      <w:bookmarkStart w:id="40" w:name="kshubsex32_1"/>
      <w:bookmarkEnd w:id="39"/>
      <w:bookmarkEnd w:id="4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 AND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Yamini Rangan, certify, pursuant to 18 U.S.C. Section 1350, as adopted pursuant to Section 906 of the Sarbanes-Oxley Act of 2002, that, to my knowledge, the Quarterly Report on Form 10-Q of HubSpot, Inc. for the period ended March 31, 2026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tbl>
      <w:tblPr>
        <w:tblW w:w="4810" w:type="dxa"/>
        <w:jc w:val="left"/>
        <w:tblInd w:w="0" w:type="dxa"/>
        <w:tblLayout w:type="fixed"/>
        <w:tblCellMar>
          <w:top w:w="28" w:type="dxa"/>
          <w:left w:w="28" w:type="dxa"/>
          <w:bottom w:w="28" w:type="dxa"/>
          <w:right w:w="28" w:type="dxa"/>
        </w:tblCellMar>
      </w:tblPr>
      <w:tblGrid>
        <w:gridCol w:w="1636"/>
        <w:gridCol w:w="146"/>
        <w:gridCol w:w="406"/>
        <w:gridCol w:w="146"/>
        <w:gridCol w:w="247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Yamini Rangan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Yamini Rangan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 Kate Bueker, certify, pursuant to 18 U.S.C. Section 1350, as adopted pursuant to Section 906 of the Sarbanes-Oxley Act of 2002, that, to my knowledge, the Quarterly Report on Form 10-Q of HubSpot, Inc. for the period ended March 31, 2026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tbl>
      <w:tblPr>
        <w:tblW w:w="4750" w:type="dxa"/>
        <w:jc w:val="left"/>
        <w:tblInd w:w="0" w:type="dxa"/>
        <w:tblLayout w:type="fixed"/>
        <w:tblCellMar>
          <w:top w:w="28" w:type="dxa"/>
          <w:left w:w="28" w:type="dxa"/>
          <w:bottom w:w="28" w:type="dxa"/>
          <w:right w:w="28" w:type="dxa"/>
        </w:tblCellMar>
      </w:tblPr>
      <w:tblGrid>
        <w:gridCol w:w="1636"/>
        <w:gridCol w:w="146"/>
        <w:gridCol w:w="406"/>
        <w:gridCol w:w="146"/>
        <w:gridCol w:w="241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Kate Bueker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4655/000095017025084424/hubs-ex3_1.htm" TargetMode="External"/><Relationship Id="rId3" Type="http://schemas.openxmlformats.org/officeDocument/2006/relationships/hyperlink" Target="https://www.sec.gov/Archives/edgar/data/1404655/000095017025084424/hubs-ex3_2.htm" TargetMode="External"/><Relationship Id="rId4" Type="http://schemas.openxmlformats.org/officeDocument/2006/relationships/hyperlink" Target="https://www.sec.gov/Archives/edgar/data/1404655/000119312526102426/hubs-ex3_1.htm" TargetMode="External"/><Relationship Id="rId5" Type="http://schemas.openxmlformats.org/officeDocument/2006/relationships/hyperlink" Target="https://www.sec.gov/Archives/edgar/data/1404655/000119312514353746/d697256dex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139357</Words>
  <Characters>749948</Characters>
  <CharactersWithSpaces>888238</CharactersWithSpaces>
  <Paragraphs>8490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