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Bueker Kathryn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HUBSPOT,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 CANAL PARK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HUBSPOT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HUBS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224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707.63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41,389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03/03/2025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47,327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Issuer to cover taxes associated with settlement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acquired pursuant to a restricted stock unit award under the Company's 2024 Stock Option and Incentive Plan. Each restricted stock unit represents a contingent right to receive one share of the Company's Common Stock. The restricted stock units will vest over 4 years beginning on March 1, 2025, at a rate of 6.25% vesting every three months.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Kim Pittman,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1660" TargetMode="External"/><Relationship Id="rId5" Type="http://schemas.openxmlformats.org/officeDocument/2006/relationships/hyperlink" Target="http://www.sec.gov/cgi-bin/browse-edgar?action=getcompany&amp;CIK=00014046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645</Words>
  <Characters>3475</Characters>
  <CharactersWithSpaces>4053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