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207645</wp:posOffset>
            </wp:positionH>
            <wp:positionV relativeFrom="page">
              <wp:posOffset>429260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446405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159385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0"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-92710</wp:posOffset>
            </wp:positionV>
            <wp:extent cx="77470" cy="78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1"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-92710</wp:posOffset>
            </wp:positionV>
            <wp:extent cx="77470" cy="78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470" cy="78740"/>
                    </a:xfrm>
                    <a:prstGeom prst="rect">
                      <a:avLst/>
                    </a:prstGeom>
                    <a:noFill/>
                  </pic:spPr>
                </pic:pic>
              </a:graphicData>
            </a:graphic>
          </wp:anchor>
        </w:drawing>
      </w:r>
    </w:p>
    <w:p>
      <w:pPr>
        <w:spacing w:after="0" w:line="82" w:lineRule="exact"/>
        <w:rPr>
          <w:sz w:val="24"/>
          <w:szCs w:val="24"/>
          <w:color w:val="auto"/>
        </w:rPr>
      </w:pPr>
    </w:p>
    <w:tbl>
      <w:tblPr>
        <w:tblLayout w:type="fixed"/>
        <w:tblInd w:w="3140" w:type="dxa"/>
        <w:tblCellMar>
          <w:top w:w="0" w:type="dxa"/>
          <w:left w:w="0" w:type="dxa"/>
          <w:bottom w:w="0" w:type="dxa"/>
          <w:right w:w="0" w:type="dxa"/>
        </w:tblCellMar>
      </w:tblPr>
      <w:tr>
        <w:trPr>
          <w:trHeight w:val="184"/>
        </w:trPr>
        <w:tc>
          <w:tcPr>
            <w:tcW w:w="306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60" w:type="dxa"/>
            <w:vAlign w:val="bottom"/>
          </w:tcPr>
          <w:p>
            <w:pPr>
              <w:ind w:left="40"/>
              <w:spacing w:after="0"/>
              <w:rPr>
                <w:sz w:val="20"/>
                <w:szCs w:val="20"/>
                <w:color w:val="auto"/>
              </w:rPr>
            </w:pPr>
            <w:r>
              <w:rPr>
                <w:rFonts w:ascii="Arial" w:cs="Arial" w:eastAsia="Arial" w:hAnsi="Arial"/>
                <w:sz w:val="16"/>
                <w:szCs w:val="16"/>
                <w:b w:val="1"/>
                <w:bCs w:val="1"/>
                <w:color w:val="auto"/>
                <w:w w:val="89"/>
              </w:rPr>
              <w:t>TO</w:t>
            </w:r>
          </w:p>
        </w:tc>
      </w:tr>
      <w:tr>
        <w:trPr>
          <w:trHeight w:val="296"/>
        </w:trPr>
        <w:tc>
          <w:tcPr>
            <w:tcW w:w="4120" w:type="dxa"/>
            <w:vAlign w:val="bottom"/>
            <w:gridSpan w:val="3"/>
          </w:tcPr>
          <w:p>
            <w:pPr>
              <w:ind w:left="980"/>
              <w:spacing w:after="0"/>
              <w:rPr>
                <w:sz w:val="20"/>
                <w:szCs w:val="20"/>
                <w:color w:val="auto"/>
              </w:rPr>
            </w:pPr>
            <w:r>
              <w:rPr>
                <w:rFonts w:ascii="Arial" w:cs="Arial" w:eastAsia="Arial" w:hAnsi="Arial"/>
                <w:sz w:val="16"/>
                <w:szCs w:val="16"/>
                <w:b w:val="1"/>
                <w:bCs w:val="1"/>
                <w:color w:val="auto"/>
              </w:rPr>
              <w:t>COMMISSION FILE NUMBER 001-36680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148590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-200025</wp:posOffset>
            </wp:positionV>
            <wp:extent cx="510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0540" cy="8255"/>
                    </a:xfrm>
                    <a:prstGeom prst="rect">
                      <a:avLst/>
                    </a:prstGeom>
                    <a:noFill/>
                  </pic:spPr>
                </pic:pic>
              </a:graphicData>
            </a:graphic>
          </wp:anchor>
        </w:drawing>
      </w: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476"/>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5"/>
          </w:tcPr>
          <w:p>
            <w:pPr>
              <w:jc w:val="center"/>
              <w:ind w:right="500"/>
              <w:spacing w:after="0"/>
              <w:rPr>
                <w:sz w:val="20"/>
                <w:szCs w:val="20"/>
                <w:color w:val="auto"/>
              </w:rPr>
            </w:pPr>
            <w:r>
              <w:rPr>
                <w:rFonts w:ascii="Arial" w:cs="Arial" w:eastAsia="Arial" w:hAnsi="Arial"/>
                <w:sz w:val="39"/>
                <w:szCs w:val="39"/>
                <w:b w:val="1"/>
                <w:bCs w:val="1"/>
                <w:color w:val="auto"/>
                <w:w w:val="93"/>
              </w:rPr>
              <w:t>HubSpot, Inc.</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80" w:type="dxa"/>
            <w:vAlign w:val="bottom"/>
            <w:gridSpan w:val="7"/>
          </w:tcPr>
          <w:p>
            <w:pPr>
              <w:jc w:val="center"/>
              <w:ind w:left="348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gridSpan w:val="2"/>
            <w:vMerge w:val="restart"/>
          </w:tcPr>
          <w:p>
            <w:pPr>
              <w:jc w:val="center"/>
              <w:ind w:left="1380"/>
              <w:spacing w:after="0"/>
              <w:rPr>
                <w:sz w:val="20"/>
                <w:szCs w:val="20"/>
                <w:color w:val="auto"/>
              </w:rPr>
            </w:pPr>
            <w:r>
              <w:rPr>
                <w:rFonts w:ascii="Arial" w:cs="Arial" w:eastAsia="Arial" w:hAnsi="Arial"/>
                <w:sz w:val="16"/>
                <w:szCs w:val="16"/>
                <w:b w:val="1"/>
                <w:bCs w:val="1"/>
                <w:color w:val="auto"/>
                <w:w w:val="91"/>
              </w:rPr>
              <w:t>Delaware</w:t>
            </w:r>
          </w:p>
        </w:tc>
        <w:tc>
          <w:tcPr>
            <w:tcW w:w="440" w:type="dxa"/>
            <w:vAlign w:val="bottom"/>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60" w:type="dxa"/>
            <w:vAlign w:val="bottom"/>
            <w:vMerge w:val="restart"/>
          </w:tcPr>
          <w:p>
            <w:pPr>
              <w:jc w:val="center"/>
              <w:ind w:right="1860"/>
              <w:spacing w:after="0"/>
              <w:rPr>
                <w:sz w:val="20"/>
                <w:szCs w:val="20"/>
                <w:color w:val="auto"/>
              </w:rPr>
            </w:pPr>
            <w:r>
              <w:rPr>
                <w:rFonts w:ascii="Arial" w:cs="Arial" w:eastAsia="Arial" w:hAnsi="Arial"/>
                <w:sz w:val="16"/>
                <w:szCs w:val="16"/>
                <w:b w:val="1"/>
                <w:bCs w:val="1"/>
                <w:color w:val="auto"/>
                <w:w w:val="91"/>
              </w:rPr>
              <w:t>20-2632791</w:t>
            </w:r>
          </w:p>
        </w:tc>
        <w:tc>
          <w:tcPr>
            <w:tcW w:w="0" w:type="dxa"/>
            <w:vAlign w:val="bottom"/>
          </w:tcPr>
          <w:p>
            <w:pPr>
              <w:spacing w:after="0"/>
              <w:rPr>
                <w:sz w:val="1"/>
                <w:szCs w:val="1"/>
                <w:color w:val="auto"/>
              </w:rPr>
            </w:pPr>
          </w:p>
        </w:tc>
      </w:tr>
      <w:tr>
        <w:trPr>
          <w:trHeight w:val="382"/>
        </w:trPr>
        <w:tc>
          <w:tcPr>
            <w:tcW w:w="40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60" w:type="dxa"/>
            <w:vAlign w:val="bottom"/>
            <w:gridSpan w:val="2"/>
          </w:tcPr>
          <w:p>
            <w:pPr>
              <w:jc w:val="center"/>
              <w:ind w:left="1380"/>
              <w:spacing w:after="0"/>
              <w:rPr>
                <w:sz w:val="20"/>
                <w:szCs w:val="20"/>
                <w:color w:val="auto"/>
              </w:rPr>
            </w:pPr>
            <w:r>
              <w:rPr>
                <w:rFonts w:ascii="Arial" w:cs="Arial" w:eastAsia="Arial" w:hAnsi="Arial"/>
                <w:sz w:val="16"/>
                <w:szCs w:val="16"/>
                <w:b w:val="1"/>
                <w:bCs w:val="1"/>
                <w:color w:val="auto"/>
                <w:w w:val="91"/>
              </w:rPr>
              <w:t>(State or other jurisdiction of</w:t>
            </w:r>
          </w:p>
        </w:tc>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60" w:type="dxa"/>
            <w:vAlign w:val="bottom"/>
          </w:tcPr>
          <w:p>
            <w:pPr>
              <w:jc w:val="center"/>
              <w:ind w:right="1840"/>
              <w:spacing w:after="0"/>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09"/>
        </w:trPr>
        <w:tc>
          <w:tcPr>
            <w:tcW w:w="4060" w:type="dxa"/>
            <w:vAlign w:val="bottom"/>
            <w:gridSpan w:val="2"/>
          </w:tcPr>
          <w:p>
            <w:pPr>
              <w:jc w:val="center"/>
              <w:ind w:left="1400"/>
              <w:spacing w:after="0"/>
              <w:rPr>
                <w:sz w:val="20"/>
                <w:szCs w:val="20"/>
                <w:color w:val="auto"/>
              </w:rPr>
            </w:pPr>
            <w:r>
              <w:rPr>
                <w:rFonts w:ascii="Arial" w:cs="Arial" w:eastAsia="Arial" w:hAnsi="Arial"/>
                <w:sz w:val="16"/>
                <w:szCs w:val="16"/>
                <w:b w:val="1"/>
                <w:bCs w:val="1"/>
                <w:color w:val="auto"/>
                <w:w w:val="91"/>
              </w:rPr>
              <w:t>incorporation or organization)</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jc w:val="center"/>
              <w:ind w:right="1860"/>
              <w:spacing w:after="0"/>
              <w:rPr>
                <w:sz w:val="20"/>
                <w:szCs w:val="20"/>
                <w:color w:val="auto"/>
              </w:rPr>
            </w:pPr>
            <w:r>
              <w:rPr>
                <w:rFonts w:ascii="Arial" w:cs="Arial" w:eastAsia="Arial" w:hAnsi="Arial"/>
                <w:sz w:val="16"/>
                <w:szCs w:val="16"/>
                <w:b w:val="1"/>
                <w:bCs w:val="1"/>
                <w:color w:val="auto"/>
                <w:w w:val="93"/>
              </w:rPr>
              <w:t>Identification No.)</w:t>
            </w:r>
          </w:p>
        </w:tc>
        <w:tc>
          <w:tcPr>
            <w:tcW w:w="0" w:type="dxa"/>
            <w:vAlign w:val="bottom"/>
          </w:tcPr>
          <w:p>
            <w:pPr>
              <w:spacing w:after="0"/>
              <w:rPr>
                <w:sz w:val="1"/>
                <w:szCs w:val="1"/>
                <w:color w:val="auto"/>
              </w:rPr>
            </w:pPr>
          </w:p>
        </w:tc>
      </w:tr>
      <w:tr>
        <w:trPr>
          <w:trHeight w:val="273"/>
        </w:trPr>
        <w:tc>
          <w:tcPr>
            <w:tcW w:w="4060" w:type="dxa"/>
            <w:vAlign w:val="bottom"/>
            <w:gridSpan w:val="2"/>
          </w:tcPr>
          <w:p>
            <w:pPr>
              <w:jc w:val="center"/>
              <w:ind w:left="1160"/>
              <w:spacing w:after="0"/>
              <w:rPr>
                <w:sz w:val="20"/>
                <w:szCs w:val="20"/>
                <w:color w:val="auto"/>
              </w:rPr>
            </w:pPr>
            <w:r>
              <w:rPr>
                <w:rFonts w:ascii="Arial" w:cs="Arial" w:eastAsia="Arial" w:hAnsi="Arial"/>
                <w:sz w:val="16"/>
                <w:szCs w:val="16"/>
                <w:b w:val="1"/>
                <w:bCs w:val="1"/>
                <w:color w:val="auto"/>
                <w:w w:val="91"/>
              </w:rPr>
              <w:t>25 First Street</w:t>
            </w:r>
          </w:p>
        </w:tc>
        <w:tc>
          <w:tcPr>
            <w:tcW w:w="4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60" w:type="dxa"/>
            <w:vAlign w:val="bottom"/>
            <w:gridSpan w:val="2"/>
          </w:tcPr>
          <w:p>
            <w:pPr>
              <w:jc w:val="center"/>
              <w:ind w:left="1400"/>
              <w:spacing w:after="0"/>
              <w:rPr>
                <w:sz w:val="20"/>
                <w:szCs w:val="20"/>
                <w:color w:val="auto"/>
              </w:rPr>
            </w:pPr>
            <w:r>
              <w:rPr>
                <w:rFonts w:ascii="Arial" w:cs="Arial" w:eastAsia="Arial" w:hAnsi="Arial"/>
                <w:sz w:val="16"/>
                <w:szCs w:val="16"/>
                <w:b w:val="1"/>
                <w:bCs w:val="1"/>
                <w:color w:val="auto"/>
                <w:w w:val="92"/>
              </w:rPr>
              <w:t>Cambridge</w:t>
            </w:r>
            <w:r>
              <w:rPr>
                <w:rFonts w:ascii="Arial" w:cs="Arial" w:eastAsia="Arial" w:hAnsi="Arial"/>
                <w:sz w:val="17"/>
                <w:szCs w:val="17"/>
                <w:color w:val="auto"/>
                <w:w w:val="92"/>
              </w:rPr>
              <w:t>, Massachusetts</w:t>
            </w:r>
          </w:p>
        </w:tc>
        <w:tc>
          <w:tcPr>
            <w:tcW w:w="2700" w:type="dxa"/>
            <w:vAlign w:val="bottom"/>
            <w:gridSpan w:val="2"/>
          </w:tcPr>
          <w:p>
            <w:pPr>
              <w:jc w:val="right"/>
              <w:ind w:right="1920"/>
              <w:spacing w:after="0"/>
              <w:rPr>
                <w:sz w:val="20"/>
                <w:szCs w:val="20"/>
                <w:color w:val="auto"/>
              </w:rPr>
            </w:pPr>
            <w:r>
              <w:rPr>
                <w:rFonts w:ascii="Arial" w:cs="Arial" w:eastAsia="Arial" w:hAnsi="Arial"/>
                <w:sz w:val="16"/>
                <w:szCs w:val="16"/>
                <w:b w:val="1"/>
                <w:bCs w:val="1"/>
                <w:color w:val="auto"/>
              </w:rPr>
              <w:t>02141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gridSpan w:val="2"/>
          </w:tcPr>
          <w:p>
            <w:pPr>
              <w:jc w:val="center"/>
              <w:ind w:left="1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440" w:type="dxa"/>
            <w:vAlign w:val="bottom"/>
          </w:tcPr>
          <w:p>
            <w:pPr>
              <w:spacing w:after="0"/>
              <w:rPr>
                <w:sz w:val="18"/>
                <w:szCs w:val="18"/>
                <w:color w:val="auto"/>
              </w:rPr>
            </w:pPr>
          </w:p>
        </w:tc>
        <w:tc>
          <w:tcPr>
            <w:tcW w:w="3180" w:type="dxa"/>
            <w:vAlign w:val="bottom"/>
            <w:gridSpan w:val="4"/>
          </w:tcPr>
          <w:p>
            <w:pPr>
              <w:ind w:left="600"/>
              <w:spacing w:after="0"/>
              <w:rPr>
                <w:sz w:val="20"/>
                <w:szCs w:val="20"/>
                <w:color w:val="auto"/>
              </w:rPr>
            </w:pPr>
            <w:r>
              <w:rPr>
                <w:rFonts w:ascii="Arial" w:cs="Arial" w:eastAsia="Arial" w:hAnsi="Arial"/>
                <w:sz w:val="16"/>
                <w:szCs w:val="16"/>
                <w:b w:val="1"/>
                <w:bCs w:val="1"/>
                <w:color w:val="auto"/>
              </w:rPr>
              <w:t>(Zip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2"/>
          </w:tcPr>
          <w:p>
            <w:pPr>
              <w:jc w:val="center"/>
              <w:ind w:left="301"/>
              <w:spacing w:after="0"/>
              <w:rPr>
                <w:sz w:val="20"/>
                <w:szCs w:val="20"/>
                <w:color w:val="auto"/>
              </w:rPr>
            </w:pPr>
            <w:r>
              <w:rPr>
                <w:rFonts w:ascii="Arial" w:cs="Arial" w:eastAsia="Arial" w:hAnsi="Arial"/>
                <w:sz w:val="16"/>
                <w:szCs w:val="16"/>
                <w:b w:val="1"/>
                <w:bCs w:val="1"/>
                <w:color w:val="auto"/>
                <w:w w:val="91"/>
              </w:rPr>
              <w:t>(888) 482-7768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80" w:type="dxa"/>
            <w:vAlign w:val="bottom"/>
            <w:gridSpan w:val="7"/>
          </w:tcPr>
          <w:p>
            <w:pPr>
              <w:jc w:val="center"/>
              <w:ind w:left="3480"/>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680" w:type="dxa"/>
            <w:vAlign w:val="bottom"/>
            <w:gridSpan w:val="7"/>
          </w:tcPr>
          <w:p>
            <w:pPr>
              <w:jc w:val="center"/>
              <w:ind w:left="3500"/>
              <w:spacing w:after="0"/>
              <w:rPr>
                <w:sz w:val="20"/>
                <w:szCs w:val="20"/>
                <w:color w:val="auto"/>
              </w:rPr>
            </w:pPr>
            <w:r>
              <w:rPr>
                <w:rFonts w:ascii="Arial" w:cs="Arial" w:eastAsia="Arial" w:hAnsi="Arial"/>
                <w:sz w:val="16"/>
                <w:szCs w:val="16"/>
                <w:b w:val="1"/>
                <w:bCs w:val="1"/>
                <w:color w:val="auto"/>
                <w:w w:val="89"/>
              </w:rPr>
              <w:t>Securities registered pursuant to Section 12(b) of the Act:</w:t>
            </w:r>
          </w:p>
        </w:tc>
        <w:tc>
          <w:tcPr>
            <w:tcW w:w="3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9"/>
        </w:trPr>
        <w:tc>
          <w:tcPr>
            <w:tcW w:w="4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Title of each class</w:t>
            </w:r>
          </w:p>
        </w:tc>
        <w:tc>
          <w:tcPr>
            <w:tcW w:w="440" w:type="dxa"/>
            <w:vAlign w:val="bottom"/>
          </w:tcPr>
          <w:p>
            <w:pPr>
              <w:spacing w:after="0"/>
              <w:rPr>
                <w:sz w:val="24"/>
                <w:szCs w:val="24"/>
                <w:color w:val="auto"/>
              </w:rPr>
            </w:pPr>
          </w:p>
        </w:tc>
        <w:tc>
          <w:tcPr>
            <w:tcW w:w="3180" w:type="dxa"/>
            <w:vAlign w:val="bottom"/>
            <w:gridSpan w:val="4"/>
          </w:tcPr>
          <w:p>
            <w:pPr>
              <w:jc w:val="center"/>
              <w:ind w:right="900"/>
              <w:spacing w:after="0"/>
              <w:rPr>
                <w:sz w:val="20"/>
                <w:szCs w:val="20"/>
                <w:color w:val="auto"/>
              </w:rPr>
            </w:pPr>
            <w:r>
              <w:rPr>
                <w:rFonts w:ascii="Arial" w:cs="Arial" w:eastAsia="Arial" w:hAnsi="Arial"/>
                <w:sz w:val="16"/>
                <w:szCs w:val="16"/>
                <w:b w:val="1"/>
                <w:bCs w:val="1"/>
                <w:color w:val="auto"/>
                <w:w w:val="91"/>
              </w:rPr>
              <w:t>Trading Symbol(s)</w:t>
            </w:r>
          </w:p>
        </w:tc>
        <w:tc>
          <w:tcPr>
            <w:tcW w:w="3560" w:type="dxa"/>
            <w:vAlign w:val="bottom"/>
          </w:tcPr>
          <w:p>
            <w:pPr>
              <w:jc w:val="center"/>
              <w:ind w:right="280"/>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08"/>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$0.001 per share</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6"/>
              </w:rPr>
              <w:t>HUBS</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jc w:val="center"/>
              <w:ind w:right="300"/>
              <w:spacing w:after="0"/>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0760" w:type="dxa"/>
            <w:vAlign w:val="bottom"/>
            <w:gridSpan w:val="4"/>
          </w:tcPr>
          <w:p>
            <w:pPr>
              <w:spacing w:after="0" w:line="173" w:lineRule="exact"/>
              <w:rPr>
                <w:sz w:val="20"/>
                <w:szCs w:val="20"/>
                <w:color w:val="auto"/>
              </w:rPr>
            </w:pPr>
            <w:r>
              <w:rPr>
                <w:rFonts w:ascii="Arial" w:cs="Arial" w:eastAsia="Arial" w:hAnsi="Arial"/>
                <w:sz w:val="15"/>
                <w:szCs w:val="15"/>
                <w:color w:val="auto"/>
                <w:w w:val="93"/>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w w:val="93"/>
              </w:rPr>
              <w:t>☒</w:t>
            </w:r>
            <w:r>
              <w:rPr>
                <w:rFonts w:ascii="Arial" w:cs="Arial" w:eastAsia="Arial" w:hAnsi="Arial"/>
                <w:sz w:val="15"/>
                <w:szCs w:val="15"/>
                <w:color w:val="auto"/>
                <w:w w:val="93"/>
              </w:rPr>
              <w:t xml:space="preserve"> NO</w:t>
            </w:r>
          </w:p>
        </w:tc>
        <w:tc>
          <w:tcPr>
            <w:tcW w:w="48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r>
      <w:tr>
        <w:trPr>
          <w:trHeight w:val="147"/>
        </w:trPr>
        <w:tc>
          <w:tcPr>
            <w:tcW w:w="10760" w:type="dxa"/>
            <w:vAlign w:val="bottom"/>
            <w:gridSpan w:val="4"/>
          </w:tcPr>
          <w:p>
            <w:pPr>
              <w:ind w:left="520"/>
              <w:spacing w:after="0" w:line="147" w:lineRule="exact"/>
              <w:rPr>
                <w:sz w:val="20"/>
                <w:szCs w:val="20"/>
                <w:color w:val="auto"/>
              </w:rPr>
            </w:pPr>
            <w:r>
              <w:rPr>
                <w:rFonts w:ascii="Arial" w:cs="Arial" w:eastAsia="Arial" w:hAnsi="Arial"/>
                <w:sz w:val="15"/>
                <w:szCs w:val="15"/>
                <w:color w:val="auto"/>
                <w:w w:val="93"/>
              </w:rPr>
              <w:t>Indicate by check mark whether the registrant has submitted electronically every Interactive Data file required to be submitted pursuant to Rule 405 of Regulation S-T</w:t>
            </w:r>
          </w:p>
        </w:tc>
        <w:tc>
          <w:tcPr>
            <w:tcW w:w="480" w:type="dxa"/>
            <w:vAlign w:val="bottom"/>
          </w:tcPr>
          <w:p>
            <w:pPr>
              <w:spacing w:after="0"/>
              <w:rPr>
                <w:sz w:val="12"/>
                <w:szCs w:val="12"/>
                <w:color w:val="auto"/>
              </w:rPr>
            </w:pPr>
          </w:p>
        </w:tc>
      </w:tr>
      <w:tr>
        <w:trPr>
          <w:trHeight w:val="201"/>
        </w:trPr>
        <w:tc>
          <w:tcPr>
            <w:tcW w:w="8460" w:type="dxa"/>
            <w:vAlign w:val="bottom"/>
            <w:gridSpan w:val="3"/>
          </w:tcPr>
          <w:p>
            <w:pPr>
              <w:spacing w:after="0"/>
              <w:rPr>
                <w:sz w:val="20"/>
                <w:szCs w:val="20"/>
                <w:color w:val="auto"/>
              </w:rPr>
            </w:pPr>
            <w:r>
              <w:rPr>
                <w:rFonts w:ascii="Arial" w:cs="Arial" w:eastAsia="Arial" w:hAnsi="Arial"/>
                <w:sz w:val="15"/>
                <w:szCs w:val="15"/>
                <w:color w:val="auto"/>
                <w:w w:val="92"/>
              </w:rPr>
              <w:t>(§232.405 of this chapter) during the preceding 12 months (or for such shorter period that the registrant was required to submit such files).</w:t>
            </w:r>
          </w:p>
        </w:tc>
        <w:tc>
          <w:tcPr>
            <w:tcW w:w="2300" w:type="dxa"/>
            <w:vAlign w:val="bottom"/>
          </w:tcPr>
          <w:p>
            <w:pPr>
              <w:ind w:left="100"/>
              <w:spacing w:after="0" w:line="173" w:lineRule="exact"/>
              <w:rPr>
                <w:sz w:val="20"/>
                <w:szCs w:val="20"/>
                <w:color w:val="auto"/>
              </w:rPr>
            </w:pPr>
            <w:r>
              <w:rPr>
                <w:rFonts w:ascii="Arial" w:cs="Arial" w:eastAsia="Arial" w:hAnsi="Arial"/>
                <w:sz w:val="15"/>
                <w:szCs w:val="15"/>
                <w:color w:val="auto"/>
              </w:rPr>
              <w:t>YES</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r>
              <w:rPr>
                <w:rFonts w:ascii="MS PGothic" w:cs="MS PGothic" w:eastAsia="MS PGothic" w:hAnsi="MS PGothic"/>
                <w:sz w:val="15"/>
                <w:szCs w:val="15"/>
                <w:color w:val="auto"/>
              </w:rPr>
              <w:t>☐</w:t>
            </w:r>
          </w:p>
        </w:tc>
        <w:tc>
          <w:tcPr>
            <w:tcW w:w="480" w:type="dxa"/>
            <w:vAlign w:val="bottom"/>
          </w:tcPr>
          <w:p>
            <w:pPr>
              <w:spacing w:after="0"/>
              <w:rPr>
                <w:sz w:val="17"/>
                <w:szCs w:val="17"/>
                <w:color w:val="auto"/>
              </w:rPr>
            </w:pPr>
          </w:p>
        </w:tc>
      </w:tr>
      <w:tr>
        <w:trPr>
          <w:trHeight w:val="161"/>
        </w:trPr>
        <w:tc>
          <w:tcPr>
            <w:tcW w:w="10760" w:type="dxa"/>
            <w:vAlign w:val="bottom"/>
            <w:gridSpan w:val="4"/>
          </w:tcPr>
          <w:p>
            <w:pPr>
              <w:ind w:left="520"/>
              <w:spacing w:after="0" w:line="161" w:lineRule="exact"/>
              <w:rPr>
                <w:sz w:val="20"/>
                <w:szCs w:val="20"/>
                <w:color w:val="auto"/>
              </w:rPr>
            </w:pPr>
            <w:r>
              <w:rPr>
                <w:rFonts w:ascii="Arial" w:cs="Arial" w:eastAsia="Arial" w:hAnsi="Arial"/>
                <w:sz w:val="15"/>
                <w:szCs w:val="15"/>
                <w:color w:val="auto"/>
                <w:w w:val="91"/>
              </w:rPr>
              <w:t>Indicate by check mark whether the registrant is a large accelerated filer, an accelerated filer, a non-accelerated filer, smaller reporting company, or an emerging growth</w:t>
            </w:r>
          </w:p>
        </w:tc>
        <w:tc>
          <w:tcPr>
            <w:tcW w:w="480" w:type="dxa"/>
            <w:vAlign w:val="bottom"/>
          </w:tcPr>
          <w:p>
            <w:pPr>
              <w:spacing w:after="0"/>
              <w:rPr>
                <w:sz w:val="13"/>
                <w:szCs w:val="13"/>
                <w:color w:val="auto"/>
              </w:rPr>
            </w:pPr>
          </w:p>
        </w:tc>
      </w:tr>
      <w:tr>
        <w:trPr>
          <w:trHeight w:val="191"/>
        </w:trPr>
        <w:tc>
          <w:tcPr>
            <w:tcW w:w="10760" w:type="dxa"/>
            <w:vAlign w:val="bottom"/>
            <w:gridSpan w:val="4"/>
          </w:tcPr>
          <w:p>
            <w:pPr>
              <w:spacing w:after="0"/>
              <w:rPr>
                <w:sz w:val="20"/>
                <w:szCs w:val="20"/>
                <w:color w:val="auto"/>
              </w:rPr>
            </w:pPr>
            <w:r>
              <w:rPr>
                <w:rFonts w:ascii="Arial" w:cs="Arial" w:eastAsia="Arial" w:hAnsi="Arial"/>
                <w:sz w:val="15"/>
                <w:szCs w:val="15"/>
                <w:color w:val="auto"/>
                <w:w w:val="93"/>
              </w:rPr>
              <w:t>company. See the definitions of “large accelerated filer,” “accelerated filer,” “smaller reporting company,” and “emerging growth company” in Rule 12b-2 of the Exchange Act.</w:t>
            </w:r>
          </w:p>
        </w:tc>
        <w:tc>
          <w:tcPr>
            <w:tcW w:w="480" w:type="dxa"/>
            <w:vAlign w:val="bottom"/>
          </w:tcPr>
          <w:p>
            <w:pPr>
              <w:spacing w:after="0"/>
              <w:rPr>
                <w:sz w:val="16"/>
                <w:szCs w:val="16"/>
                <w:color w:val="auto"/>
              </w:rPr>
            </w:pPr>
          </w:p>
        </w:tc>
      </w:tr>
      <w:tr>
        <w:trPr>
          <w:trHeight w:val="305"/>
        </w:trPr>
        <w:tc>
          <w:tcPr>
            <w:tcW w:w="24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506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3280" w:type="dxa"/>
            <w:vAlign w:val="bottom"/>
            <w:gridSpan w:val="2"/>
          </w:tcPr>
          <w:p>
            <w:pPr>
              <w:ind w:left="40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r>
      <w:tr>
        <w:trPr>
          <w:trHeight w:val="188"/>
        </w:trPr>
        <w:tc>
          <w:tcPr>
            <w:tcW w:w="2420" w:type="dxa"/>
            <w:vAlign w:val="bottom"/>
          </w:tcPr>
          <w:p>
            <w:pPr>
              <w:spacing w:after="0"/>
              <w:rPr>
                <w:sz w:val="20"/>
                <w:szCs w:val="20"/>
                <w:color w:val="auto"/>
              </w:rPr>
            </w:pPr>
            <w:r>
              <w:rPr>
                <w:rFonts w:ascii="Arial" w:cs="Arial" w:eastAsia="Arial" w:hAnsi="Arial"/>
                <w:sz w:val="15"/>
                <w:szCs w:val="15"/>
                <w:color w:val="auto"/>
              </w:rPr>
              <w:t>Non-accelerated filer</w:t>
            </w:r>
          </w:p>
        </w:tc>
        <w:tc>
          <w:tcPr>
            <w:tcW w:w="506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3280" w:type="dxa"/>
            <w:vAlign w:val="bottom"/>
            <w:gridSpan w:val="2"/>
          </w:tcPr>
          <w:p>
            <w:pPr>
              <w:ind w:left="40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260"/>
              <w:spacing w:after="0" w:line="151" w:lineRule="exact"/>
              <w:rPr>
                <w:sz w:val="20"/>
                <w:szCs w:val="20"/>
                <w:color w:val="auto"/>
              </w:rPr>
            </w:pPr>
            <w:r>
              <w:rPr>
                <w:rFonts w:ascii="MS PGothic" w:cs="MS PGothic" w:eastAsia="MS PGothic" w:hAnsi="MS PGothic"/>
                <w:sz w:val="15"/>
                <w:szCs w:val="15"/>
                <w:color w:val="auto"/>
              </w:rPr>
              <w:t>☐</w:t>
            </w:r>
          </w:p>
        </w:tc>
      </w:tr>
      <w:tr>
        <w:trPr>
          <w:trHeight w:val="239"/>
        </w:trPr>
        <w:tc>
          <w:tcPr>
            <w:tcW w:w="242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5060" w:type="dxa"/>
            <w:vAlign w:val="bottom"/>
          </w:tcPr>
          <w:p>
            <w:pPr>
              <w:ind w:left="760"/>
              <w:spacing w:after="0" w:line="151" w:lineRule="exact"/>
              <w:rPr>
                <w:sz w:val="20"/>
                <w:szCs w:val="20"/>
                <w:color w:val="auto"/>
              </w:rPr>
            </w:pPr>
            <w:r>
              <w:rPr>
                <w:rFonts w:ascii="MS PGothic" w:cs="MS PGothic" w:eastAsia="MS PGothic" w:hAnsi="MS PGothic"/>
                <w:sz w:val="15"/>
                <w:szCs w:val="15"/>
                <w:color w:val="auto"/>
              </w:rPr>
              <w:t>☐</w:t>
            </w:r>
          </w:p>
        </w:tc>
        <w:tc>
          <w:tcPr>
            <w:tcW w:w="9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0"/>
        </w:trPr>
        <w:tc>
          <w:tcPr>
            <w:tcW w:w="11240" w:type="dxa"/>
            <w:vAlign w:val="bottom"/>
            <w:gridSpan w:val="5"/>
          </w:tcPr>
          <w:p>
            <w:pPr>
              <w:ind w:left="520"/>
              <w:spacing w:after="0"/>
              <w:rPr>
                <w:sz w:val="20"/>
                <w:szCs w:val="20"/>
                <w:color w:val="auto"/>
              </w:rPr>
            </w:pPr>
            <w:r>
              <w:rPr>
                <w:rFonts w:ascii="Arial" w:cs="Arial" w:eastAsia="Arial" w:hAnsi="Arial"/>
                <w:sz w:val="15"/>
                <w:szCs w:val="15"/>
                <w:color w:val="auto"/>
                <w:w w:val="93"/>
              </w:rPr>
              <w:t>If an emerging growth company, indicate by check mark if the registrant has elected not to use the extended transition period for complying with any new or revised financial</w:t>
            </w:r>
          </w:p>
        </w:tc>
      </w:tr>
      <w:tr>
        <w:trPr>
          <w:trHeight w:val="239"/>
        </w:trPr>
        <w:tc>
          <w:tcPr>
            <w:tcW w:w="7480" w:type="dxa"/>
            <w:vAlign w:val="bottom"/>
            <w:gridSpan w:val="2"/>
          </w:tcPr>
          <w:p>
            <w:pPr>
              <w:spacing w:after="0" w:line="173" w:lineRule="exact"/>
              <w:rPr>
                <w:sz w:val="20"/>
                <w:szCs w:val="20"/>
                <w:color w:val="auto"/>
              </w:rPr>
            </w:pPr>
            <w:r>
              <w:rPr>
                <w:rFonts w:ascii="Arial" w:cs="Arial" w:eastAsia="Arial" w:hAnsi="Arial"/>
                <w:sz w:val="15"/>
                <w:szCs w:val="15"/>
                <w:color w:val="auto"/>
              </w:rPr>
              <w:t xml:space="preserve">accounting standards provided pursuant to Section 13(a)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9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9"/>
        </w:trPr>
        <w:tc>
          <w:tcPr>
            <w:tcW w:w="7480" w:type="dxa"/>
            <w:vAlign w:val="bottom"/>
            <w:gridSpan w:val="2"/>
          </w:tcPr>
          <w:p>
            <w:pPr>
              <w:ind w:left="520"/>
              <w:spacing w:after="0"/>
              <w:rPr>
                <w:sz w:val="20"/>
                <w:szCs w:val="20"/>
                <w:color w:val="auto"/>
              </w:rPr>
            </w:pPr>
            <w:r>
              <w:rPr>
                <w:rFonts w:ascii="Arial" w:cs="Arial" w:eastAsia="Arial" w:hAnsi="Arial"/>
                <w:sz w:val="15"/>
                <w:szCs w:val="15"/>
                <w:color w:val="auto"/>
                <w:w w:val="92"/>
              </w:rPr>
              <w:t>Indicate by check mark whether the registrant is a shell company (as defined in Rule 12b-2 of the Exchange Act).</w:t>
            </w:r>
          </w:p>
        </w:tc>
        <w:tc>
          <w:tcPr>
            <w:tcW w:w="980" w:type="dxa"/>
            <w:vAlign w:val="bottom"/>
          </w:tcPr>
          <w:p>
            <w:pPr>
              <w:ind w:left="8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230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480" w:type="dxa"/>
            <w:vAlign w:val="bottom"/>
          </w:tcPr>
          <w:p>
            <w:pPr>
              <w:spacing w:after="0"/>
              <w:rPr>
                <w:sz w:val="24"/>
                <w:szCs w:val="24"/>
                <w:color w:val="auto"/>
              </w:rPr>
            </w:pPr>
          </w:p>
        </w:tc>
      </w:tr>
      <w:tr>
        <w:trPr>
          <w:trHeight w:val="250"/>
        </w:trPr>
        <w:tc>
          <w:tcPr>
            <w:tcW w:w="7480" w:type="dxa"/>
            <w:vAlign w:val="bottom"/>
            <w:gridSpan w:val="2"/>
          </w:tcPr>
          <w:p>
            <w:pPr>
              <w:ind w:left="520"/>
              <w:spacing w:after="0"/>
              <w:rPr>
                <w:sz w:val="20"/>
                <w:szCs w:val="20"/>
                <w:color w:val="auto"/>
              </w:rPr>
            </w:pPr>
            <w:r>
              <w:rPr>
                <w:rFonts w:ascii="Arial" w:cs="Arial" w:eastAsia="Arial" w:hAnsi="Arial"/>
                <w:sz w:val="15"/>
                <w:szCs w:val="15"/>
                <w:color w:val="auto"/>
                <w:w w:val="96"/>
              </w:rPr>
              <w:t>There were 43,627,128 shares of the registrant’s Common Stock issued and outstanding as of May 1, 2020.</w:t>
            </w:r>
          </w:p>
        </w:tc>
        <w:tc>
          <w:tcPr>
            <w:tcW w:w="9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740"/>
        </w:trPr>
        <w:tc>
          <w:tcPr>
            <w:tcW w:w="24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880" w:type="dxa"/>
            <w:vAlign w:val="bottom"/>
          </w:tcPr>
          <w:p>
            <w:pPr>
              <w:spacing w:after="0"/>
              <w:rPr>
                <w:sz w:val="20"/>
                <w:szCs w:val="20"/>
                <w:color w:val="auto"/>
              </w:rPr>
            </w:pPr>
          </w:p>
        </w:tc>
        <w:tc>
          <w:tcPr>
            <w:tcW w:w="9180" w:type="dxa"/>
            <w:vAlign w:val="bottom"/>
          </w:tcPr>
          <w:p>
            <w:pPr>
              <w:jc w:val="center"/>
              <w:ind w:left="231"/>
              <w:spacing w:after="0"/>
              <w:rPr>
                <w:sz w:val="20"/>
                <w:szCs w:val="20"/>
                <w:color w:val="auto"/>
              </w:rPr>
            </w:pPr>
            <w:r>
              <w:rPr>
                <w:rFonts w:ascii="Arial" w:cs="Arial" w:eastAsia="Arial" w:hAnsi="Arial"/>
                <w:sz w:val="18"/>
                <w:szCs w:val="18"/>
                <w:b w:val="1"/>
                <w:bCs w:val="1"/>
                <w:color w:val="auto"/>
                <w:w w:val="96"/>
              </w:rPr>
              <w:t>HUBSPOT, INC.</w:t>
            </w:r>
          </w:p>
        </w:tc>
        <w:tc>
          <w:tcPr>
            <w:tcW w:w="1180" w:type="dxa"/>
            <w:vAlign w:val="bottom"/>
          </w:tcPr>
          <w:p>
            <w:pPr>
              <w:spacing w:after="0"/>
              <w:rPr>
                <w:sz w:val="20"/>
                <w:szCs w:val="20"/>
                <w:color w:val="auto"/>
              </w:rPr>
            </w:pPr>
          </w:p>
        </w:tc>
      </w:tr>
      <w:tr>
        <w:trPr>
          <w:trHeight w:val="429"/>
        </w:trPr>
        <w:tc>
          <w:tcPr>
            <w:tcW w:w="880" w:type="dxa"/>
            <w:vAlign w:val="bottom"/>
          </w:tcPr>
          <w:p>
            <w:pPr>
              <w:spacing w:after="0"/>
              <w:rPr>
                <w:sz w:val="24"/>
                <w:szCs w:val="24"/>
                <w:color w:val="auto"/>
              </w:rPr>
            </w:pPr>
          </w:p>
        </w:tc>
        <w:tc>
          <w:tcPr>
            <w:tcW w:w="9180" w:type="dxa"/>
            <w:vAlign w:val="bottom"/>
          </w:tcPr>
          <w:p>
            <w:pPr>
              <w:jc w:val="center"/>
              <w:ind w:left="231"/>
              <w:spacing w:after="0"/>
              <w:rPr>
                <w:sz w:val="20"/>
                <w:szCs w:val="20"/>
                <w:color w:val="auto"/>
              </w:rPr>
            </w:pPr>
            <w:r>
              <w:rPr>
                <w:rFonts w:ascii="Arial" w:cs="Arial" w:eastAsia="Arial" w:hAnsi="Arial"/>
                <w:sz w:val="18"/>
                <w:szCs w:val="18"/>
                <w:b w:val="1"/>
                <w:bCs w:val="1"/>
                <w:color w:val="auto"/>
                <w:w w:val="88"/>
              </w:rPr>
              <w:t>Table of Contents</w:t>
            </w:r>
          </w:p>
        </w:tc>
        <w:tc>
          <w:tcPr>
            <w:tcW w:w="1180" w:type="dxa"/>
            <w:vAlign w:val="bottom"/>
          </w:tcPr>
          <w:p>
            <w:pPr>
              <w:spacing w:after="0"/>
              <w:rPr>
                <w:sz w:val="24"/>
                <w:szCs w:val="24"/>
                <w:color w:val="auto"/>
              </w:rPr>
            </w:pPr>
          </w:p>
        </w:tc>
      </w:tr>
      <w:tr>
        <w:trPr>
          <w:trHeight w:val="429"/>
        </w:trPr>
        <w:tc>
          <w:tcPr>
            <w:tcW w:w="880" w:type="dxa"/>
            <w:vAlign w:val="bottom"/>
          </w:tcPr>
          <w:p>
            <w:pPr>
              <w:spacing w:after="0"/>
              <w:rPr>
                <w:sz w:val="24"/>
                <w:szCs w:val="24"/>
                <w:color w:val="auto"/>
              </w:rPr>
            </w:pPr>
          </w:p>
        </w:tc>
        <w:tc>
          <w:tcPr>
            <w:tcW w:w="9180" w:type="dxa"/>
            <w:vAlign w:val="bottom"/>
          </w:tcPr>
          <w:p>
            <w:pPr>
              <w:jc w:val="center"/>
              <w:ind w:left="211"/>
              <w:spacing w:after="0"/>
              <w:rPr>
                <w:rFonts w:ascii="Arial" w:cs="Arial" w:eastAsia="Arial" w:hAnsi="Arial"/>
                <w:sz w:val="18"/>
                <w:szCs w:val="18"/>
                <w:b w:val="1"/>
                <w:bCs w:val="1"/>
                <w:u w:val="single" w:color="auto"/>
                <w:color w:val="0000EE"/>
                <w:w w:val="94"/>
              </w:rPr>
            </w:pPr>
            <w:hyperlink w:anchor="page5">
              <w:r>
                <w:rPr>
                  <w:rFonts w:ascii="Arial" w:cs="Arial" w:eastAsia="Arial" w:hAnsi="Arial"/>
                  <w:sz w:val="18"/>
                  <w:szCs w:val="18"/>
                  <w:b w:val="1"/>
                  <w:bCs w:val="1"/>
                  <w:u w:val="single" w:color="auto"/>
                  <w:color w:val="0000EE"/>
                  <w:w w:val="94"/>
                </w:rPr>
                <w:t>Part I — Financial Information</w:t>
              </w:r>
            </w:hyperlink>
          </w:p>
        </w:tc>
        <w:tc>
          <w:tcPr>
            <w:tcW w:w="1180" w:type="dxa"/>
            <w:vAlign w:val="bottom"/>
          </w:tcPr>
          <w:p>
            <w:pPr>
              <w:spacing w:after="0"/>
              <w:rPr>
                <w:sz w:val="24"/>
                <w:szCs w:val="24"/>
                <w:color w:val="auto"/>
              </w:rPr>
            </w:pPr>
          </w:p>
        </w:tc>
      </w:tr>
      <w:tr>
        <w:trPr>
          <w:trHeight w:val="32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180" w:type="dxa"/>
            <w:vAlign w:val="bottom"/>
          </w:tcPr>
          <w:p>
            <w:pPr>
              <w:ind w:left="1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Financial Statements:</w:t>
              </w:r>
            </w:hyperlink>
          </w:p>
        </w:tc>
        <w:tc>
          <w:tcPr>
            <w:tcW w:w="1180" w:type="dxa"/>
            <w:vAlign w:val="bottom"/>
          </w:tcPr>
          <w:p>
            <w:pPr>
              <w:spacing w:after="0"/>
              <w:rPr>
                <w:sz w:val="24"/>
                <w:szCs w:val="24"/>
                <w:color w:val="auto"/>
              </w:rPr>
            </w:pPr>
          </w:p>
        </w:tc>
      </w:tr>
      <w:tr>
        <w:trPr>
          <w:trHeight w:val="214"/>
        </w:trPr>
        <w:tc>
          <w:tcPr>
            <w:tcW w:w="880" w:type="dxa"/>
            <w:vAlign w:val="bottom"/>
          </w:tcPr>
          <w:p>
            <w:pPr>
              <w:spacing w:after="0"/>
              <w:rPr>
                <w:sz w:val="18"/>
                <w:szCs w:val="18"/>
                <w:color w:val="auto"/>
              </w:rPr>
            </w:pPr>
          </w:p>
        </w:tc>
        <w:tc>
          <w:tcPr>
            <w:tcW w:w="9180" w:type="dxa"/>
            <w:vAlign w:val="bottom"/>
          </w:tcPr>
          <w:p>
            <w:pPr>
              <w:ind w:left="1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Balance Sheets as of March 31, 2020 and December 31, 2019</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4"/>
        </w:trPr>
        <w:tc>
          <w:tcPr>
            <w:tcW w:w="880" w:type="dxa"/>
            <w:vAlign w:val="bottom"/>
          </w:tcPr>
          <w:p>
            <w:pPr>
              <w:spacing w:after="0"/>
              <w:rPr>
                <w:sz w:val="18"/>
                <w:szCs w:val="18"/>
                <w:color w:val="auto"/>
              </w:rPr>
            </w:pPr>
          </w:p>
        </w:tc>
        <w:tc>
          <w:tcPr>
            <w:tcW w:w="9180" w:type="dxa"/>
            <w:vAlign w:val="bottom"/>
          </w:tcPr>
          <w:p>
            <w:pPr>
              <w:ind w:left="1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Operations for the Three Months Ended March 31, 2020 and 2019</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4"/>
        </w:trPr>
        <w:tc>
          <w:tcPr>
            <w:tcW w:w="880" w:type="dxa"/>
            <w:vAlign w:val="bottom"/>
          </w:tcPr>
          <w:p>
            <w:pPr>
              <w:spacing w:after="0"/>
              <w:rPr>
                <w:sz w:val="18"/>
                <w:szCs w:val="18"/>
                <w:color w:val="auto"/>
              </w:rPr>
            </w:pPr>
          </w:p>
        </w:tc>
        <w:tc>
          <w:tcPr>
            <w:tcW w:w="9180" w:type="dxa"/>
            <w:vAlign w:val="bottom"/>
          </w:tcPr>
          <w:p>
            <w:pPr>
              <w:ind w:left="100"/>
              <w:spacing w:after="0"/>
              <w:rPr>
                <w:rFonts w:ascii="Arial" w:cs="Arial" w:eastAsia="Arial" w:hAnsi="Arial"/>
                <w:sz w:val="18"/>
                <w:szCs w:val="18"/>
                <w:u w:val="single" w:color="auto"/>
                <w:color w:val="0000EE"/>
                <w:w w:val="98"/>
              </w:rPr>
            </w:pPr>
            <w:hyperlink w:anchor="page7">
              <w:r>
                <w:rPr>
                  <w:rFonts w:ascii="Arial" w:cs="Arial" w:eastAsia="Arial" w:hAnsi="Arial"/>
                  <w:sz w:val="18"/>
                  <w:szCs w:val="18"/>
                  <w:u w:val="single" w:color="auto"/>
                  <w:color w:val="0000EE"/>
                  <w:w w:val="98"/>
                </w:rPr>
                <w:t>Unaudited Consolidated Statements of Comprehensive Loss for the Three Months Ended March 31, 2020 and 2019</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4"/>
        </w:trPr>
        <w:tc>
          <w:tcPr>
            <w:tcW w:w="880" w:type="dxa"/>
            <w:vAlign w:val="bottom"/>
          </w:tcPr>
          <w:p>
            <w:pPr>
              <w:spacing w:after="0"/>
              <w:rPr>
                <w:sz w:val="18"/>
                <w:szCs w:val="18"/>
                <w:color w:val="auto"/>
              </w:rPr>
            </w:pPr>
          </w:p>
        </w:tc>
        <w:tc>
          <w:tcPr>
            <w:tcW w:w="9180" w:type="dxa"/>
            <w:vAlign w:val="bottom"/>
          </w:tcPr>
          <w:p>
            <w:pPr>
              <w:ind w:left="1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Consolidated Statements of Cash Flows for the Three Months Ended March 31, 2020 and 2019</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4"/>
        </w:trPr>
        <w:tc>
          <w:tcPr>
            <w:tcW w:w="880" w:type="dxa"/>
            <w:vAlign w:val="bottom"/>
          </w:tcPr>
          <w:p>
            <w:pPr>
              <w:spacing w:after="0"/>
              <w:rPr>
                <w:sz w:val="18"/>
                <w:szCs w:val="18"/>
                <w:color w:val="auto"/>
              </w:rPr>
            </w:pPr>
          </w:p>
        </w:tc>
        <w:tc>
          <w:tcPr>
            <w:tcW w:w="9180" w:type="dxa"/>
            <w:vAlign w:val="bottom"/>
          </w:tcPr>
          <w:p>
            <w:pPr>
              <w:ind w:left="1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Consolidated Financial Statements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tcPr>
          <w:p>
            <w:pPr>
              <w:ind w:left="10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tcPr>
          <w:p>
            <w:pPr>
              <w:ind w:left="1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7"/>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tcPr>
          <w:p>
            <w:pPr>
              <w:ind w:left="10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Controls and Procedures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35"/>
        </w:trPr>
        <w:tc>
          <w:tcPr>
            <w:tcW w:w="880" w:type="dxa"/>
            <w:vAlign w:val="bottom"/>
          </w:tcPr>
          <w:p>
            <w:pPr>
              <w:spacing w:after="0"/>
              <w:rPr>
                <w:sz w:val="24"/>
                <w:szCs w:val="24"/>
                <w:color w:val="auto"/>
              </w:rPr>
            </w:pPr>
          </w:p>
        </w:tc>
        <w:tc>
          <w:tcPr>
            <w:tcW w:w="9180" w:type="dxa"/>
            <w:vAlign w:val="bottom"/>
          </w:tcPr>
          <w:p>
            <w:pPr>
              <w:jc w:val="center"/>
              <w:ind w:left="231"/>
              <w:spacing w:after="0"/>
              <w:rPr>
                <w:rFonts w:ascii="Arial" w:cs="Arial" w:eastAsia="Arial" w:hAnsi="Arial"/>
                <w:sz w:val="18"/>
                <w:szCs w:val="18"/>
                <w:b w:val="1"/>
                <w:bCs w:val="1"/>
                <w:u w:val="single" w:color="auto"/>
                <w:color w:val="0000EE"/>
                <w:w w:val="96"/>
              </w:rPr>
            </w:pPr>
            <w:hyperlink w:anchor="page29">
              <w:r>
                <w:rPr>
                  <w:rFonts w:ascii="Arial" w:cs="Arial" w:eastAsia="Arial" w:hAnsi="Arial"/>
                  <w:sz w:val="18"/>
                  <w:szCs w:val="18"/>
                  <w:b w:val="1"/>
                  <w:bCs w:val="1"/>
                  <w:u w:val="single" w:color="auto"/>
                  <w:color w:val="0000EE"/>
                  <w:w w:val="96"/>
                </w:rPr>
                <w:t>Part II — Other Information</w:t>
              </w:r>
            </w:hyperlink>
          </w:p>
        </w:tc>
        <w:tc>
          <w:tcPr>
            <w:tcW w:w="1180" w:type="dxa"/>
            <w:vAlign w:val="bottom"/>
          </w:tcPr>
          <w:p>
            <w:pPr>
              <w:spacing w:after="0"/>
              <w:rPr>
                <w:sz w:val="24"/>
                <w:szCs w:val="24"/>
                <w:color w:val="auto"/>
              </w:rPr>
            </w:pPr>
          </w:p>
        </w:tc>
      </w:tr>
      <w:tr>
        <w:trPr>
          <w:trHeight w:val="322"/>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180" w:type="dxa"/>
            <w:vAlign w:val="bottom"/>
          </w:tcPr>
          <w:p>
            <w:pPr>
              <w:ind w:left="1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180" w:type="dxa"/>
            <w:vAlign w:val="bottom"/>
          </w:tcPr>
          <w:p>
            <w:pPr>
              <w:ind w:left="1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180" w:type="dxa"/>
            <w:vAlign w:val="bottom"/>
          </w:tcPr>
          <w:p>
            <w:pPr>
              <w:ind w:left="1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Unregistered Sales of Equity Securities and Use of Proceeds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tcPr>
          <w:p>
            <w:pPr>
              <w:ind w:left="1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Default Upon Senior Securities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tcPr>
          <w:p>
            <w:pPr>
              <w:ind w:left="1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Mine Safety Disclosures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180" w:type="dxa"/>
            <w:vAlign w:val="bottom"/>
          </w:tcPr>
          <w:p>
            <w:pPr>
              <w:ind w:left="1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Other Information</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180" w:type="dxa"/>
            <w:vAlign w:val="bottom"/>
          </w:tcPr>
          <w:p>
            <w:pPr>
              <w:ind w:left="1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4"/>
        </w:trPr>
        <w:tc>
          <w:tcPr>
            <w:tcW w:w="880" w:type="dxa"/>
            <w:vAlign w:val="bottom"/>
          </w:tcPr>
          <w:p>
            <w:pPr>
              <w:spacing w:after="0"/>
              <w:rPr>
                <w:rFonts w:ascii="Arial" w:cs="Arial" w:eastAsia="Arial" w:hAnsi="Arial"/>
                <w:sz w:val="18"/>
                <w:szCs w:val="18"/>
                <w:u w:val="single" w:color="auto"/>
                <w:color w:val="0000EE"/>
                <w:w w:val="99"/>
              </w:rPr>
            </w:pPr>
            <w:hyperlink w:anchor="page51">
              <w:r>
                <w:rPr>
                  <w:rFonts w:ascii="Arial" w:cs="Arial" w:eastAsia="Arial" w:hAnsi="Arial"/>
                  <w:sz w:val="18"/>
                  <w:szCs w:val="18"/>
                  <w:u w:val="single" w:color="auto"/>
                  <w:color w:val="0000EE"/>
                  <w:w w:val="99"/>
                </w:rPr>
                <w:t>Signatures</w:t>
              </w:r>
            </w:hyperlink>
          </w:p>
        </w:tc>
        <w:tc>
          <w:tcPr>
            <w:tcW w:w="9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EX-31.1</w:t>
            </w:r>
          </w:p>
        </w:tc>
        <w:tc>
          <w:tcPr>
            <w:tcW w:w="9180" w:type="dxa"/>
            <w:vAlign w:val="bottom"/>
          </w:tcPr>
          <w:p>
            <w:pPr>
              <w:ind w:left="100"/>
              <w:spacing w:after="0"/>
              <w:rPr>
                <w:sz w:val="20"/>
                <w:szCs w:val="20"/>
                <w:color w:val="auto"/>
              </w:rPr>
            </w:pPr>
            <w:r>
              <w:rPr>
                <w:rFonts w:ascii="Arial" w:cs="Arial" w:eastAsia="Arial" w:hAnsi="Arial"/>
                <w:sz w:val="18"/>
                <w:szCs w:val="18"/>
                <w:color w:val="auto"/>
              </w:rPr>
              <w:t>CERTIFICATION OF THE CEO PURSUANT TO SECTION 302</w:t>
            </w:r>
          </w:p>
        </w:tc>
        <w:tc>
          <w:tcPr>
            <w:tcW w:w="1180" w:type="dxa"/>
            <w:vAlign w:val="bottom"/>
          </w:tcPr>
          <w:p>
            <w:pPr>
              <w:spacing w:after="0"/>
              <w:rPr>
                <w:sz w:val="18"/>
                <w:szCs w:val="18"/>
                <w:color w:val="auto"/>
              </w:rPr>
            </w:pPr>
          </w:p>
        </w:tc>
      </w:tr>
      <w:tr>
        <w:trPr>
          <w:trHeight w:val="214"/>
        </w:trPr>
        <w:tc>
          <w:tcPr>
            <w:tcW w:w="880" w:type="dxa"/>
            <w:vAlign w:val="bottom"/>
          </w:tcPr>
          <w:p>
            <w:pPr>
              <w:spacing w:after="0"/>
              <w:rPr>
                <w:sz w:val="20"/>
                <w:szCs w:val="20"/>
                <w:color w:val="auto"/>
              </w:rPr>
            </w:pPr>
            <w:r>
              <w:rPr>
                <w:rFonts w:ascii="Arial" w:cs="Arial" w:eastAsia="Arial" w:hAnsi="Arial"/>
                <w:sz w:val="18"/>
                <w:szCs w:val="18"/>
                <w:color w:val="auto"/>
              </w:rPr>
              <w:t>EX-31.2</w:t>
            </w:r>
          </w:p>
        </w:tc>
        <w:tc>
          <w:tcPr>
            <w:tcW w:w="9180" w:type="dxa"/>
            <w:vAlign w:val="bottom"/>
          </w:tcPr>
          <w:p>
            <w:pPr>
              <w:ind w:left="100"/>
              <w:spacing w:after="0"/>
              <w:rPr>
                <w:sz w:val="20"/>
                <w:szCs w:val="20"/>
                <w:color w:val="auto"/>
              </w:rPr>
            </w:pPr>
            <w:r>
              <w:rPr>
                <w:rFonts w:ascii="Arial" w:cs="Arial" w:eastAsia="Arial" w:hAnsi="Arial"/>
                <w:sz w:val="18"/>
                <w:szCs w:val="18"/>
                <w:color w:val="auto"/>
              </w:rPr>
              <w:t>CERTIFICATION OF THE CFO PURSUANT TO SECTION 302</w:t>
            </w:r>
          </w:p>
        </w:tc>
        <w:tc>
          <w:tcPr>
            <w:tcW w:w="1180" w:type="dxa"/>
            <w:vAlign w:val="bottom"/>
          </w:tcPr>
          <w:p>
            <w:pPr>
              <w:spacing w:after="0"/>
              <w:rPr>
                <w:sz w:val="18"/>
                <w:szCs w:val="18"/>
                <w:color w:val="auto"/>
              </w:rPr>
            </w:pPr>
          </w:p>
        </w:tc>
      </w:tr>
      <w:tr>
        <w:trPr>
          <w:trHeight w:val="227"/>
        </w:trPr>
        <w:tc>
          <w:tcPr>
            <w:tcW w:w="880" w:type="dxa"/>
            <w:vAlign w:val="bottom"/>
          </w:tcPr>
          <w:p>
            <w:pPr>
              <w:spacing w:after="0"/>
              <w:rPr>
                <w:sz w:val="20"/>
                <w:szCs w:val="20"/>
                <w:color w:val="auto"/>
              </w:rPr>
            </w:pPr>
            <w:r>
              <w:rPr>
                <w:rFonts w:ascii="Arial" w:cs="Arial" w:eastAsia="Arial" w:hAnsi="Arial"/>
                <w:sz w:val="18"/>
                <w:szCs w:val="18"/>
                <w:color w:val="auto"/>
              </w:rPr>
              <w:t>EX-32.1</w:t>
            </w:r>
          </w:p>
        </w:tc>
        <w:tc>
          <w:tcPr>
            <w:tcW w:w="9180" w:type="dxa"/>
            <w:vAlign w:val="bottom"/>
          </w:tcPr>
          <w:p>
            <w:pPr>
              <w:ind w:left="100"/>
              <w:spacing w:after="0"/>
              <w:rPr>
                <w:sz w:val="20"/>
                <w:szCs w:val="20"/>
                <w:color w:val="auto"/>
              </w:rPr>
            </w:pPr>
            <w:r>
              <w:rPr>
                <w:rFonts w:ascii="Arial" w:cs="Arial" w:eastAsia="Arial" w:hAnsi="Arial"/>
                <w:sz w:val="18"/>
                <w:szCs w:val="18"/>
                <w:color w:val="auto"/>
              </w:rPr>
              <w:t>CERTIFICATION OF THE CEO AND CFO PURSUANT TO SECTION 906</w:t>
            </w:r>
          </w:p>
        </w:tc>
        <w:tc>
          <w:tcPr>
            <w:tcW w:w="1180" w:type="dxa"/>
            <w:vAlign w:val="bottom"/>
          </w:tcPr>
          <w:p>
            <w:pPr>
              <w:spacing w:after="0"/>
              <w:rPr>
                <w:sz w:val="19"/>
                <w:szCs w:val="19"/>
                <w:color w:val="auto"/>
              </w:rPr>
            </w:pPr>
          </w:p>
        </w:tc>
      </w:tr>
      <w:tr>
        <w:trPr>
          <w:trHeight w:val="1188"/>
        </w:trPr>
        <w:tc>
          <w:tcPr>
            <w:tcW w:w="88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61"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margin and operating expenses;</w:t>
      </w:r>
    </w:p>
    <w:p>
      <w:pPr>
        <w:spacing w:after="0" w:line="137"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and expanding our customer base and increasing our average subscription revenue per customer;</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expectations regarding our ability to manage our future growth;</w:t>
      </w:r>
    </w:p>
    <w:p>
      <w:pPr>
        <w:spacing w:after="0" w:line="114" w:lineRule="exact"/>
        <w:rPr>
          <w:rFonts w:ascii="Arial" w:cs="Arial" w:eastAsia="Arial" w:hAnsi="Arial"/>
          <w:sz w:val="18"/>
          <w:szCs w:val="18"/>
          <w:color w:val="auto"/>
        </w:rPr>
      </w:pPr>
    </w:p>
    <w:p>
      <w:pPr>
        <w:ind w:left="1020" w:right="8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impact of the COVID-19 pandemic on our business, operations, and the markets in which we and our partners and customers operate;</w:t>
      </w:r>
    </w:p>
    <w:p>
      <w:pPr>
        <w:spacing w:after="0" w:line="67" w:lineRule="exact"/>
        <w:rPr>
          <w:rFonts w:ascii="Arial" w:cs="Arial" w:eastAsia="Arial" w:hAnsi="Arial"/>
          <w:sz w:val="18"/>
          <w:szCs w:val="18"/>
          <w:color w:val="auto"/>
        </w:rPr>
      </w:pPr>
    </w:p>
    <w:p>
      <w:pPr>
        <w:ind w:left="1020" w:right="42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67" w:lineRule="exact"/>
        <w:rPr>
          <w:rFonts w:ascii="Arial" w:cs="Arial" w:eastAsia="Arial" w:hAnsi="Arial"/>
          <w:sz w:val="18"/>
          <w:szCs w:val="18"/>
          <w:color w:val="auto"/>
        </w:rPr>
      </w:pPr>
    </w:p>
    <w:p>
      <w:pPr>
        <w:ind w:left="1020" w:right="58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use of cash flow from operations and the proceeds from our convertible debt and stock offerings to fund certain growth strategies and to support our business;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114" w:lineRule="exact"/>
        <w:rPr>
          <w:rFonts w:ascii="Arial" w:cs="Arial" w:eastAsia="Arial" w:hAnsi="Arial"/>
          <w:sz w:val="18"/>
          <w:szCs w:val="18"/>
          <w:color w:val="auto"/>
        </w:rPr>
      </w:pPr>
    </w:p>
    <w:p>
      <w:pPr>
        <w:ind w:left="1020" w:right="420" w:hanging="503"/>
        <w:spacing w:after="0" w:line="302"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44"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brand and inbound marketing, selling and servicing thought leadership position;</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our corporate culture and our ability to attract, hire and retain necessary qualified employees to expand our operations;</w:t>
      </w:r>
    </w:p>
    <w:p>
      <w:pPr>
        <w:spacing w:after="0" w:line="126"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effect on our business of litigation to which we are or may become a party;</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regarding declaring or paying cash dividends in the foreseeable future; and</w:t>
      </w:r>
    </w:p>
    <w:p>
      <w:pPr>
        <w:spacing w:after="0" w:line="114" w:lineRule="exact"/>
        <w:rPr>
          <w:rFonts w:ascii="Arial" w:cs="Arial" w:eastAsia="Arial" w:hAnsi="Arial"/>
          <w:sz w:val="18"/>
          <w:szCs w:val="18"/>
          <w:color w:val="auto"/>
        </w:rPr>
      </w:pPr>
    </w:p>
    <w:p>
      <w:pPr>
        <w:ind w:left="1020" w:hanging="503"/>
        <w:spacing w:after="0" w:line="27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12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77" w:lineRule="exact"/>
        <w:rPr>
          <w:sz w:val="20"/>
          <w:szCs w:val="20"/>
          <w:color w:val="auto"/>
        </w:rPr>
      </w:pPr>
    </w:p>
    <w:p>
      <w:pPr>
        <w:jc w:val="both"/>
        <w:ind w:right="180" w:firstLine="510"/>
        <w:spacing w:after="0" w:line="307"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 w:name="page4"/>
    <w:bookmarkEnd w:id="3"/>
    <w:p>
      <w:pPr>
        <w:ind w:right="240" w:firstLine="510"/>
        <w:spacing w:after="0" w:line="260"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78" w:lineRule="exact"/>
        <w:rPr>
          <w:sz w:val="20"/>
          <w:szCs w:val="20"/>
          <w:color w:val="auto"/>
        </w:rPr>
      </w:pPr>
    </w:p>
    <w:p>
      <w:pPr>
        <w:ind w:firstLine="510"/>
        <w:spacing w:after="0" w:line="272" w:lineRule="auto"/>
        <w:rPr>
          <w:sz w:val="20"/>
          <w:szCs w:val="20"/>
          <w:color w:val="auto"/>
        </w:rPr>
      </w:pPr>
      <w:r>
        <w:rPr>
          <w:rFonts w:ascii="Arial" w:cs="Arial" w:eastAsia="Arial" w:hAnsi="Arial"/>
          <w:sz w:val="18"/>
          <w:szCs w:val="18"/>
          <w:color w:val="auto"/>
        </w:rPr>
        <w:t>In this Quarterly Report on Form 10-Q, the terms “HubSpot,” “we,” “us,” and “our” refer to HubSpot, Inc. and its subsidiaries, unless the context indicates otherwise.</w:t>
      </w:r>
    </w:p>
    <w:p>
      <w:pPr>
        <w:spacing w:after="0" w:line="1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920"/>
          </w:cols>
          <w:pgMar w:left="320" w:top="447"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1"/>
        </w:trPr>
        <w:tc>
          <w:tcPr>
            <w:tcW w:w="940" w:type="dxa"/>
            <w:vAlign w:val="bottom"/>
          </w:tcPr>
          <w:p>
            <w:pPr>
              <w:spacing w:after="0"/>
              <w:rPr>
                <w:sz w:val="20"/>
                <w:szCs w:val="20"/>
                <w:color w:val="auto"/>
              </w:rPr>
            </w:pPr>
          </w:p>
        </w:tc>
        <w:tc>
          <w:tcPr>
            <w:tcW w:w="6500" w:type="dxa"/>
            <w:vAlign w:val="bottom"/>
          </w:tcPr>
          <w:p>
            <w:pPr>
              <w:jc w:val="center"/>
              <w:ind w:left="2791"/>
              <w:spacing w:after="0"/>
              <w:rPr>
                <w:sz w:val="20"/>
                <w:szCs w:val="20"/>
                <w:color w:val="auto"/>
              </w:rPr>
            </w:pPr>
            <w:r>
              <w:rPr>
                <w:rFonts w:ascii="Arial" w:cs="Arial" w:eastAsia="Arial" w:hAnsi="Arial"/>
                <w:sz w:val="18"/>
                <w:szCs w:val="18"/>
                <w:b w:val="1"/>
                <w:bCs w:val="1"/>
                <w:color w:val="auto"/>
                <w:w w:val="94"/>
              </w:rPr>
              <w:t>PART I — Financial Information</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tcPr>
          <w:p>
            <w:pPr>
              <w:spacing w:after="0"/>
              <w:rPr>
                <w:sz w:val="24"/>
                <w:szCs w:val="24"/>
                <w:color w:val="auto"/>
              </w:rPr>
            </w:pPr>
          </w:p>
        </w:tc>
        <w:tc>
          <w:tcPr>
            <w:tcW w:w="6500" w:type="dxa"/>
            <w:vAlign w:val="bottom"/>
          </w:tcPr>
          <w:p>
            <w:pPr>
              <w:jc w:val="center"/>
              <w:ind w:left="2791"/>
              <w:spacing w:after="0"/>
              <w:rPr>
                <w:sz w:val="20"/>
                <w:szCs w:val="20"/>
                <w:color w:val="auto"/>
              </w:rPr>
            </w:pPr>
            <w:r>
              <w:rPr>
                <w:rFonts w:ascii="Arial" w:cs="Arial" w:eastAsia="Arial" w:hAnsi="Arial"/>
                <w:sz w:val="18"/>
                <w:szCs w:val="18"/>
                <w:b w:val="1"/>
                <w:bCs w:val="1"/>
                <w:color w:val="auto"/>
                <w:w w:val="91"/>
              </w:rPr>
              <w:t>HubSpot, Inc.</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6500" w:type="dxa"/>
            <w:vAlign w:val="bottom"/>
          </w:tcPr>
          <w:p>
            <w:pPr>
              <w:jc w:val="center"/>
              <w:ind w:left="2771"/>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40" w:type="dxa"/>
            <w:vAlign w:val="bottom"/>
          </w:tcPr>
          <w:p>
            <w:pPr>
              <w:spacing w:after="0"/>
              <w:rPr>
                <w:sz w:val="20"/>
                <w:szCs w:val="20"/>
                <w:color w:val="auto"/>
              </w:rPr>
            </w:pPr>
          </w:p>
        </w:tc>
        <w:tc>
          <w:tcPr>
            <w:tcW w:w="6500" w:type="dxa"/>
            <w:vAlign w:val="bottom"/>
          </w:tcPr>
          <w:p>
            <w:pPr>
              <w:jc w:val="center"/>
              <w:ind w:left="2771"/>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9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940" w:type="dxa"/>
            <w:vAlign w:val="bottom"/>
            <w:tcBorders>
              <w:bottom w:val="single" w:sz="8" w:color="CFF0FC"/>
            </w:tcBorders>
          </w:tcPr>
          <w:p>
            <w:pPr>
              <w:spacing w:after="0"/>
              <w:rPr>
                <w:sz w:val="14"/>
                <w:szCs w:val="14"/>
                <w:color w:val="auto"/>
              </w:rPr>
            </w:pPr>
          </w:p>
        </w:tc>
        <w:tc>
          <w:tcPr>
            <w:tcW w:w="650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229,133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739,428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 net of allowance for doubtful accounts of $2,786 and $1,584</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at March 31, 2020 and December 31, 2019, respectively</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Deferred commission expense</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1,112,753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1,109,724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85,653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Capitalized software development costs, net</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230,565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commission expense, net of current portion</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40" w:type="dxa"/>
            <w:vAlign w:val="bottom"/>
          </w:tcPr>
          <w:p>
            <w:pPr>
              <w:spacing w:after="0"/>
              <w:rPr>
                <w:sz w:val="20"/>
                <w:szCs w:val="20"/>
                <w:color w:val="auto"/>
              </w:rPr>
            </w:pPr>
            <w:r>
              <w:rPr>
                <w:rFonts w:ascii="Arial" w:cs="Arial" w:eastAsia="Arial" w:hAnsi="Arial"/>
                <w:sz w:val="18"/>
                <w:szCs w:val="18"/>
                <w:color w:val="auto"/>
                <w:w w:val="90"/>
              </w:rPr>
              <w:t>Other assets</w:t>
            </w:r>
          </w:p>
        </w:tc>
        <w:tc>
          <w:tcPr>
            <w:tcW w:w="6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65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88"/>
              </w:rPr>
              <w:t>Total assets</w:t>
            </w:r>
          </w:p>
        </w:tc>
        <w:tc>
          <w:tcPr>
            <w:tcW w:w="65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1,586,510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1,569,268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10,671</w:t>
            </w:r>
          </w:p>
        </w:tc>
        <w:tc>
          <w:tcPr>
            <w:tcW w:w="2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compensation costs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238,913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327,385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322,489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239,655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346,265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925,537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1,077,605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8"/>
        </w:trPr>
        <w:tc>
          <w:tcPr>
            <w:tcW w:w="744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(415,846)</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(398,130)</w:t>
            </w:r>
          </w:p>
        </w:tc>
        <w:tc>
          <w:tcPr>
            <w:tcW w:w="0" w:type="dxa"/>
            <w:vAlign w:val="bottom"/>
          </w:tcPr>
          <w:p>
            <w:pPr>
              <w:spacing w:after="0"/>
              <w:rPr>
                <w:sz w:val="1"/>
                <w:szCs w:val="1"/>
                <w:color w:val="auto"/>
              </w:rPr>
            </w:pPr>
          </w:p>
        </w:tc>
      </w:tr>
      <w:tr>
        <w:trPr>
          <w:trHeight w:val="222"/>
        </w:trPr>
        <w:tc>
          <w:tcPr>
            <w:tcW w:w="7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660,973</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1,586,510</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14"/>
                <w:szCs w:val="14"/>
                <w:color w:val="auto"/>
              </w:rPr>
            </w:pPr>
          </w:p>
        </w:tc>
        <w:tc>
          <w:tcPr>
            <w:tcW w:w="35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4"/>
        </w:trPr>
        <w:tc>
          <w:tcPr>
            <w:tcW w:w="770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4"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940" w:type="dxa"/>
            <w:vAlign w:val="bottom"/>
          </w:tcPr>
          <w:p>
            <w:pPr>
              <w:jc w:val="right"/>
              <w:ind w:right="758"/>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191,229</w:t>
            </w:r>
          </w:p>
        </w:tc>
        <w:tc>
          <w:tcPr>
            <w:tcW w:w="28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revenue</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198,968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29,734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cost of revenues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160,683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102,328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174,785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(14,102)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tcPr>
          <w:p>
            <w:pPr>
              <w:spacing w:after="0"/>
              <w:rPr>
                <w:sz w:val="20"/>
                <w:szCs w:val="20"/>
                <w:color w:val="auto"/>
              </w:rPr>
            </w:pPr>
            <w:r>
              <w:rPr>
                <w:rFonts w:ascii="Arial" w:cs="Arial" w:eastAsia="Arial" w:hAnsi="Arial"/>
                <w:sz w:val="18"/>
                <w:szCs w:val="18"/>
                <w:color w:val="auto"/>
              </w:rPr>
              <w:t>Other expense:</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(5,953)</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(1,052)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1"/>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9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(17,050)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tcPr>
          <w:p>
            <w:pPr>
              <w:ind w:left="500"/>
              <w:spacing w:after="0"/>
              <w:rPr>
                <w:sz w:val="20"/>
                <w:szCs w:val="20"/>
                <w:color w:val="auto"/>
              </w:rPr>
            </w:pPr>
            <w:r>
              <w:rPr>
                <w:rFonts w:ascii="Arial" w:cs="Arial" w:eastAsia="Arial" w:hAnsi="Arial"/>
                <w:sz w:val="18"/>
                <w:szCs w:val="18"/>
                <w:color w:val="auto"/>
              </w:rPr>
              <w:t>Income tax expense</w:t>
            </w:r>
          </w:p>
        </w:tc>
        <w:tc>
          <w:tcPr>
            <w:tcW w:w="9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(666)</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1"/>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bottom w:val="single" w:sz="8" w:color="auto"/>
            </w:tcBorders>
            <w:shd w:val="clear" w:color="auto" w:fill="CFF0FC"/>
          </w:tcPr>
          <w:p>
            <w:pPr>
              <w:jc w:val="right"/>
              <w:ind w:right="758"/>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(17,716)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00" w:type="dxa"/>
            <w:vAlign w:val="bottom"/>
            <w:vMerge w:val="continue"/>
          </w:tcPr>
          <w:p>
            <w:pPr>
              <w:spacing w:after="0"/>
              <w:rPr>
                <w:sz w:val="18"/>
                <w:szCs w:val="18"/>
                <w:color w:val="auto"/>
              </w:rPr>
            </w:pPr>
          </w:p>
        </w:tc>
        <w:tc>
          <w:tcPr>
            <w:tcW w:w="940" w:type="dxa"/>
            <w:vAlign w:val="bottom"/>
            <w:tcBorders>
              <w:top w:val="single" w:sz="8" w:color="auto"/>
            </w:tcBorders>
          </w:tcPr>
          <w:p>
            <w:pPr>
              <w:jc w:val="right"/>
              <w:ind w:right="758"/>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80" w:type="dxa"/>
            <w:vAlign w:val="bottom"/>
          </w:tcPr>
          <w:p>
            <w:pPr>
              <w:spacing w:after="0"/>
              <w:rPr>
                <w:sz w:val="18"/>
                <w:szCs w:val="18"/>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in computing basic</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 net loss per share:</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35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4"/>
        </w:trPr>
        <w:tc>
          <w:tcPr>
            <w:tcW w:w="768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4"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1"/>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ind w:right="8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(17,716)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w:t>
            </w:r>
          </w:p>
        </w:tc>
        <w:tc>
          <w:tcPr>
            <w:tcW w:w="120" w:type="dxa"/>
            <w:vAlign w:val="bottom"/>
            <w:shd w:val="clear" w:color="auto" w:fill="CFF0FC"/>
          </w:tcPr>
          <w:p>
            <w:pPr>
              <w:spacing w:after="0"/>
              <w:rPr>
                <w:sz w:val="19"/>
                <w:szCs w:val="19"/>
                <w:color w:val="auto"/>
              </w:rPr>
            </w:pPr>
          </w:p>
        </w:tc>
      </w:tr>
      <w:tr>
        <w:trPr>
          <w:trHeight w:val="228"/>
        </w:trPr>
        <w:tc>
          <w:tcPr>
            <w:tcW w:w="76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(1,077)</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(304)</w:t>
            </w:r>
          </w:p>
        </w:tc>
      </w:tr>
      <w:tr>
        <w:trPr>
          <w:trHeight w:val="214"/>
        </w:trPr>
        <w:tc>
          <w:tcPr>
            <w:tcW w:w="7680" w:type="dxa"/>
            <w:vAlign w:val="bottom"/>
          </w:tcPr>
          <w:p>
            <w:pPr>
              <w:ind w:left="260"/>
              <w:spacing w:after="0"/>
              <w:rPr>
                <w:sz w:val="20"/>
                <w:szCs w:val="20"/>
                <w:color w:val="auto"/>
              </w:rPr>
            </w:pPr>
            <w:r>
              <w:rPr>
                <w:rFonts w:ascii="Arial" w:cs="Arial" w:eastAsia="Arial" w:hAnsi="Arial"/>
                <w:sz w:val="18"/>
                <w:szCs w:val="18"/>
                <w:color w:val="auto"/>
              </w:rPr>
              <w:t>Changes in unrealized gain on investments, net of income taxes of $0</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4"/>
        </w:trPr>
        <w:tc>
          <w:tcPr>
            <w:tcW w:w="7680" w:type="dxa"/>
            <w:vAlign w:val="bottom"/>
          </w:tcPr>
          <w:p>
            <w:pPr>
              <w:ind w:left="440"/>
              <w:spacing w:after="0"/>
              <w:rPr>
                <w:sz w:val="20"/>
                <w:szCs w:val="20"/>
                <w:color w:val="auto"/>
              </w:rPr>
            </w:pPr>
            <w:r>
              <w:rPr>
                <w:rFonts w:ascii="Arial" w:cs="Arial" w:eastAsia="Arial" w:hAnsi="Arial"/>
                <w:sz w:val="18"/>
                <w:szCs w:val="18"/>
                <w:color w:val="auto"/>
              </w:rPr>
              <w:t>for the three months ended March 31, 2020 and $113 thousand for the three</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768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months ended March 31, 2019</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FF0FC"/>
            </w:tcBorders>
          </w:tcPr>
          <w:p>
            <w:pPr>
              <w:spacing w:after="0"/>
              <w:rPr>
                <w:sz w:val="19"/>
                <w:szCs w:val="19"/>
                <w:color w:val="auto"/>
              </w:rPr>
            </w:pPr>
          </w:p>
        </w:tc>
      </w:tr>
      <w:tr>
        <w:trPr>
          <w:trHeight w:val="222"/>
        </w:trPr>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(18,210)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54"/>
        </w:trPr>
        <w:tc>
          <w:tcPr>
            <w:tcW w:w="692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52"/>
              <w:spacing w:after="0" w:line="154"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4"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(17,716)</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14"/>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and cash equivalents provided</w:t>
            </w: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by operating activities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8,711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tcPr>
          <w:p>
            <w:pPr>
              <w:ind w:left="500"/>
              <w:spacing w:after="0"/>
              <w:rPr>
                <w:sz w:val="20"/>
                <w:szCs w:val="20"/>
                <w:color w:val="auto"/>
              </w:rPr>
            </w:pPr>
            <w:r>
              <w:rPr>
                <w:rFonts w:ascii="Arial" w:cs="Arial" w:eastAsia="Arial" w:hAnsi="Arial"/>
                <w:sz w:val="18"/>
                <w:szCs w:val="18"/>
                <w:color w:val="auto"/>
              </w:rPr>
              <w:t>Benefit for deferred income taxes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8"/>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discount and issuance costs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tcPr>
          <w:p>
            <w:pPr>
              <w:ind w:left="500"/>
              <w:spacing w:after="0"/>
              <w:rPr>
                <w:sz w:val="20"/>
                <w:szCs w:val="20"/>
                <w:color w:val="auto"/>
              </w:rPr>
            </w:pPr>
            <w:r>
              <w:rPr>
                <w:rFonts w:ascii="Arial" w:cs="Arial" w:eastAsia="Arial" w:hAnsi="Arial"/>
                <w:sz w:val="18"/>
                <w:szCs w:val="18"/>
                <w:color w:val="auto"/>
              </w:rPr>
              <w:t>Accretion of bond discount</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(2,154)</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28"/>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currency translation</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8"/>
        </w:trPr>
        <w:tc>
          <w:tcPr>
            <w:tcW w:w="692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tcPr>
          <w:p>
            <w:pPr>
              <w:ind w:left="740"/>
              <w:spacing w:after="0"/>
              <w:rPr>
                <w:sz w:val="20"/>
                <w:szCs w:val="20"/>
                <w:color w:val="auto"/>
              </w:rPr>
            </w:pPr>
            <w:r>
              <w:rPr>
                <w:rFonts w:ascii="Arial" w:cs="Arial" w:eastAsia="Arial" w:hAnsi="Arial"/>
                <w:sz w:val="18"/>
                <w:szCs w:val="18"/>
                <w:color w:val="auto"/>
              </w:rPr>
              <w:t>Prepaid expenses and other assets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(15,107)</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commission expense</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(1,523)</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28"/>
        </w:trPr>
        <w:tc>
          <w:tcPr>
            <w:tcW w:w="6920" w:type="dxa"/>
            <w:vAlign w:val="bottom"/>
          </w:tcPr>
          <w:p>
            <w:pPr>
              <w:ind w:left="740"/>
              <w:spacing w:after="0"/>
              <w:rPr>
                <w:sz w:val="20"/>
                <w:szCs w:val="20"/>
                <w:color w:val="auto"/>
              </w:rPr>
            </w:pPr>
            <w:r>
              <w:rPr>
                <w:rFonts w:ascii="Arial" w:cs="Arial" w:eastAsia="Arial" w:hAnsi="Arial"/>
                <w:sz w:val="18"/>
                <w:szCs w:val="18"/>
                <w:color w:val="auto"/>
              </w:rPr>
              <w:t>Right-of-use assets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5,723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(5,439)</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28"/>
        </w:trPr>
        <w:tc>
          <w:tcPr>
            <w:tcW w:w="6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 liabilities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(5,281)</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28"/>
        </w:trPr>
        <w:tc>
          <w:tcPr>
            <w:tcW w:w="69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Deferred revenue</w:t>
            </w:r>
          </w:p>
        </w:tc>
        <w:tc>
          <w:tcPr>
            <w:tcW w:w="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cash and cash equivalents provided by operating activities</w:t>
            </w:r>
          </w:p>
        </w:tc>
        <w:tc>
          <w:tcPr>
            <w:tcW w:w="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investments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(439,889)</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(386,501)</w:t>
            </w:r>
          </w:p>
        </w:tc>
        <w:tc>
          <w:tcPr>
            <w:tcW w:w="0" w:type="dxa"/>
            <w:vAlign w:val="bottom"/>
          </w:tcPr>
          <w:p>
            <w:pPr>
              <w:spacing w:after="0"/>
              <w:rPr>
                <w:sz w:val="1"/>
                <w:szCs w:val="1"/>
                <w:color w:val="auto"/>
              </w:rPr>
            </w:pPr>
          </w:p>
        </w:tc>
      </w:tr>
      <w:tr>
        <w:trPr>
          <w:trHeight w:val="228"/>
        </w:trPr>
        <w:tc>
          <w:tcPr>
            <w:tcW w:w="6920" w:type="dxa"/>
            <w:vAlign w:val="bottom"/>
          </w:tcPr>
          <w:p>
            <w:pPr>
              <w:ind w:left="260"/>
              <w:spacing w:after="0"/>
              <w:rPr>
                <w:sz w:val="20"/>
                <w:szCs w:val="20"/>
                <w:color w:val="auto"/>
              </w:rPr>
            </w:pPr>
            <w:r>
              <w:rPr>
                <w:rFonts w:ascii="Arial" w:cs="Arial" w:eastAsia="Arial" w:hAnsi="Arial"/>
                <w:sz w:val="18"/>
                <w:szCs w:val="18"/>
                <w:color w:val="auto"/>
              </w:rPr>
              <w:t>Maturities of investments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382,875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(11,098)</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28"/>
        </w:trPr>
        <w:tc>
          <w:tcPr>
            <w:tcW w:w="6920" w:type="dxa"/>
            <w:vAlign w:val="bottom"/>
          </w:tcPr>
          <w:p>
            <w:pPr>
              <w:ind w:left="260"/>
              <w:spacing w:after="0"/>
              <w:rPr>
                <w:sz w:val="20"/>
                <w:szCs w:val="20"/>
                <w:color w:val="auto"/>
              </w:rPr>
            </w:pPr>
            <w:r>
              <w:rPr>
                <w:rFonts w:ascii="Arial" w:cs="Arial" w:eastAsia="Arial" w:hAnsi="Arial"/>
                <w:sz w:val="18"/>
                <w:szCs w:val="18"/>
                <w:color w:val="auto"/>
              </w:rPr>
              <w:t>Capitalization of software development costs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(4,769)</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22"/>
        </w:trPr>
        <w:tc>
          <w:tcPr>
            <w:tcW w:w="692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rPr>
              <w:t>Net cash and cash equivalents used in investing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(72,881)</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9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common stock offering, net of offering costs paid of $256</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tcPr>
          <w:p>
            <w:pPr>
              <w:ind w:left="260"/>
              <w:spacing w:after="0"/>
              <w:rPr>
                <w:sz w:val="20"/>
                <w:szCs w:val="20"/>
                <w:color w:val="auto"/>
              </w:rPr>
            </w:pPr>
            <w:r>
              <w:rPr>
                <w:rFonts w:ascii="Arial" w:cs="Arial" w:eastAsia="Arial" w:hAnsi="Arial"/>
                <w:sz w:val="18"/>
                <w:szCs w:val="18"/>
                <w:color w:val="auto"/>
              </w:rPr>
              <w:t>Employee taxes paid related to the net share settlement of stock-based awards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(941)</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28"/>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related to the issuance of common stock under stock plans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tcPr>
          <w:p>
            <w:pPr>
              <w:ind w:left="260"/>
              <w:spacing w:after="0"/>
              <w:rPr>
                <w:sz w:val="20"/>
                <w:szCs w:val="20"/>
                <w:color w:val="auto"/>
              </w:rPr>
            </w:pPr>
            <w:r>
              <w:rPr>
                <w:rFonts w:ascii="Arial" w:cs="Arial" w:eastAsia="Arial" w:hAnsi="Arial"/>
                <w:sz w:val="18"/>
                <w:szCs w:val="18"/>
                <w:color w:val="auto"/>
              </w:rPr>
              <w:t>Repayments of finance lease obligations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2"/>
        </w:trPr>
        <w:tc>
          <w:tcPr>
            <w:tcW w:w="692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rPr>
              <w:t>Net cash and cash equivalents provided by financing activities</w:t>
            </w: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5,883</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347,227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(45,801)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278,515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232,714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291,146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disclosure:</w:t>
            </w: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2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11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20" w:type="dxa"/>
            <w:vAlign w:val="bottom"/>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1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6,396</w:t>
            </w:r>
          </w:p>
        </w:tc>
        <w:tc>
          <w:tcPr>
            <w:tcW w:w="28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20" w:type="dxa"/>
            <w:vAlign w:val="bottom"/>
          </w:tcPr>
          <w:p>
            <w:pPr>
              <w:spacing w:after="0"/>
              <w:rPr>
                <w:sz w:val="20"/>
                <w:szCs w:val="20"/>
                <w:color w:val="auto"/>
              </w:rPr>
            </w:pPr>
            <w:r>
              <w:rPr>
                <w:rFonts w:ascii="Arial" w:cs="Arial" w:eastAsia="Arial" w:hAnsi="Arial"/>
                <w:sz w:val="18"/>
                <w:szCs w:val="18"/>
                <w:color w:val="auto"/>
              </w:rPr>
              <w:t>Common stock offering costs, incurred but not yet paid</w:t>
            </w:r>
          </w:p>
        </w:tc>
        <w:tc>
          <w:tcPr>
            <w:tcW w:w="11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incurred but not yet paid</w:t>
            </w:r>
          </w:p>
        </w:tc>
        <w:tc>
          <w:tcPr>
            <w:tcW w:w="11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92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1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6920" w:type="dxa"/>
            <w:vAlign w:val="bottom"/>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6920" w:type="dxa"/>
            <w:vAlign w:val="bottom"/>
          </w:tcPr>
          <w:p>
            <w:pPr>
              <w:ind w:left="5580"/>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9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HubSpot,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6" w:lineRule="exact"/>
        <w:rPr>
          <w:sz w:val="20"/>
          <w:szCs w:val="20"/>
          <w:color w:val="auto"/>
        </w:rPr>
      </w:pPr>
    </w:p>
    <w:p>
      <w:pPr>
        <w:ind w:right="40" w:firstLine="510"/>
        <w:spacing w:after="0" w:line="256" w:lineRule="auto"/>
        <w:rPr>
          <w:sz w:val="20"/>
          <w:szCs w:val="20"/>
          <w:color w:val="auto"/>
        </w:rPr>
      </w:pPr>
      <w:r>
        <w:rPr>
          <w:rFonts w:ascii="Arial" w:cs="Arial" w:eastAsia="Arial" w:hAnsi="Arial"/>
          <w:sz w:val="18"/>
          <w:szCs w:val="18"/>
          <w:color w:val="auto"/>
        </w:rPr>
        <w:t>HubSpot, Inc. (the “Company”) provides a cloud-based inbound marketing, sales and customer service platform, which is referred to in this document as the Company’s Growth Platform, that enables businesses to grow better. The Company’s Growth Platform, comprised of Marketing Hub, Sales Hub, Service Hub, and a free customer relationship management system (“CRM”) features integrated applications and tools that enable businesses to create a cohesive and adaptable customer experience throughout the customer lifecycle.</w:t>
      </w:r>
    </w:p>
    <w:p>
      <w:pPr>
        <w:spacing w:after="0" w:line="189"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 xml:space="preserve">The accompanying unaudited consolidated </w:t>
      </w:r>
      <w:r>
        <w:rPr>
          <w:rFonts w:ascii="Arial" w:cs="Arial" w:eastAsia="Arial" w:hAnsi="Arial"/>
          <w:sz w:val="17"/>
          <w:szCs w:val="17"/>
          <w:color w:val="212529"/>
        </w:rPr>
        <w:t>financial statements have been prepared in accordance with generally accepted accounting principles in</w:t>
      </w:r>
      <w:r>
        <w:rPr>
          <w:rFonts w:ascii="Arial" w:cs="Arial" w:eastAsia="Arial" w:hAnsi="Arial"/>
          <w:sz w:val="17"/>
          <w:szCs w:val="17"/>
          <w:color w:val="auto"/>
        </w:rPr>
        <w:t xml:space="preserve"> </w:t>
      </w:r>
      <w:r>
        <w:rPr>
          <w:rFonts w:ascii="Arial" w:cs="Arial" w:eastAsia="Arial" w:hAnsi="Arial"/>
          <w:sz w:val="17"/>
          <w:szCs w:val="17"/>
          <w:color w:val="212529"/>
        </w:rPr>
        <w:t xml:space="preserve">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Arial" w:cs="Arial" w:eastAsia="Arial" w:hAnsi="Arial"/>
          <w:sz w:val="17"/>
          <w:szCs w:val="17"/>
          <w:color w:val="000000"/>
        </w:rPr>
        <w:t>December 31, 2019, and these consolidated</w:t>
      </w:r>
      <w:r>
        <w:rPr>
          <w:rFonts w:ascii="Arial" w:cs="Arial" w:eastAsia="Arial" w:hAnsi="Arial"/>
          <w:sz w:val="17"/>
          <w:szCs w:val="17"/>
          <w:color w:val="212529"/>
        </w:rPr>
        <w:t xml:space="preserve"> </w:t>
      </w:r>
      <w:r>
        <w:rPr>
          <w:rFonts w:ascii="Arial" w:cs="Arial" w:eastAsia="Arial" w:hAnsi="Arial"/>
          <w:sz w:val="17"/>
          <w:szCs w:val="17"/>
          <w:color w:val="000000"/>
        </w:rPr>
        <w:t>financial statements include all adjustments, consisting only of normal recurring adjustments, necessary for a fair statement of the results of the interim periods presented. All intercompany balances and transactions have been eliminated in consolidation.</w:t>
      </w:r>
    </w:p>
    <w:p>
      <w:pPr>
        <w:spacing w:after="0" w:line="177"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The results of operations for the interim periods presented are not necessarily indicative of the results to be expected for any subsequent quarter or for the entire year ending December 31, 2020.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spacing w:after="0" w:line="189" w:lineRule="exact"/>
        <w:rPr>
          <w:sz w:val="20"/>
          <w:szCs w:val="20"/>
          <w:color w:val="auto"/>
        </w:rPr>
      </w:pPr>
    </w:p>
    <w:p>
      <w:pPr>
        <w:ind w:right="40" w:firstLine="510"/>
        <w:spacing w:after="0" w:line="256" w:lineRule="auto"/>
        <w:rPr>
          <w:sz w:val="20"/>
          <w:szCs w:val="20"/>
          <w:color w:val="auto"/>
        </w:rPr>
      </w:pPr>
      <w:r>
        <w:rPr>
          <w:rFonts w:ascii="Arial" w:cs="Arial" w:eastAsia="Arial" w:hAnsi="Arial"/>
          <w:sz w:val="18"/>
          <w:szCs w:val="18"/>
          <w:color w:val="auto"/>
        </w:rPr>
        <w:t>These interim financial statements should be read in conjunction with the audited consolidated financial statements and related notes contained in the Company’s Annual Report on Form 10-K filed with the SEC on February 12, 2020. There have been no changes in the Company’s significant accounting policies from those that were disclosed in the Company’s Annual Report on Form 10-K that have had a material impact on our consolidated financial statements and related notes.</w:t>
      </w:r>
    </w:p>
    <w:p>
      <w:pPr>
        <w:spacing w:after="0" w:line="189" w:lineRule="exact"/>
        <w:rPr>
          <w:sz w:val="20"/>
          <w:szCs w:val="20"/>
          <w:color w:val="auto"/>
        </w:rPr>
      </w:pPr>
    </w:p>
    <w:p>
      <w:pPr>
        <w:ind w:right="200" w:firstLine="510"/>
        <w:spacing w:after="0" w:line="276" w:lineRule="auto"/>
        <w:rPr>
          <w:sz w:val="20"/>
          <w:szCs w:val="20"/>
          <w:color w:val="auto"/>
        </w:rPr>
      </w:pPr>
      <w:r>
        <w:rPr>
          <w:rFonts w:ascii="Arial" w:cs="Arial" w:eastAsia="Arial" w:hAnsi="Arial"/>
          <w:sz w:val="17"/>
          <w:szCs w:val="17"/>
          <w:color w:val="auto"/>
        </w:rPr>
        <w:t>On March 11, 2020, the World Health Organization, or WHO, classified the recent novel coronavirus, or COVID-19, as a global pandemic. The Company has assessed the impact of the COVID-19 pandemic and while the broader implications of COVID-19 on its results of operations and overall financial performance remain uncertain, the Company assessed the potential impact on its March 31, 2020 financial statements and determined there were no material adjustments necessary with respect to these consolidated financial statements.</w:t>
      </w:r>
    </w:p>
    <w:p>
      <w:pPr>
        <w:spacing w:after="0" w:line="173"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Given that the economic consequences of the COVID-19 pandemic have been exceptionally challenging for many customers, the Company has implemented certain changes to pricing and packaging, including reducing prices on certain products and offering certain product functionality free of charge. The Company also paid certain Solutions Partners two months of commissions in advance of them being earned. While revenue, customer retention, and earnings are relatively predictable under a subscription-based business model, the effect of the COVID-19 pandemic will not be fully reflected in the results of operations and overall financial performance of the Company until future periods given the current macro-economic uncertainty.</w:t>
      </w:r>
    </w:p>
    <w:p>
      <w:pPr>
        <w:spacing w:after="0" w:line="164" w:lineRule="exact"/>
        <w:rPr>
          <w:sz w:val="20"/>
          <w:szCs w:val="20"/>
          <w:color w:val="auto"/>
        </w:rPr>
      </w:pPr>
    </w:p>
    <w:p>
      <w:pPr>
        <w:ind w:firstLine="540"/>
        <w:spacing w:after="0" w:line="282" w:lineRule="auto"/>
        <w:rPr>
          <w:sz w:val="20"/>
          <w:szCs w:val="20"/>
          <w:color w:val="auto"/>
        </w:rPr>
      </w:pPr>
      <w:r>
        <w:rPr>
          <w:rFonts w:ascii="Arial" w:cs="Arial" w:eastAsia="Arial" w:hAnsi="Arial"/>
          <w:sz w:val="17"/>
          <w:szCs w:val="17"/>
          <w:color w:val="auto"/>
        </w:rPr>
        <w:t>On March 27, 2020, the Coronavirus Aid, Relief, and Economic Security (“CARES”) Act was signed into law by the United States. The CARES Act provides a substantial stimulus and assistance package intended to address the impact of the COVID-19 pandemic, including tax relief and government loans, grants and investments. The CARES Act did not have a material impact with respect to these consolidated financial statements.</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5" w:lineRule="exact"/>
        <w:rPr>
          <w:sz w:val="20"/>
          <w:szCs w:val="20"/>
          <w:color w:val="auto"/>
        </w:rPr>
      </w:pPr>
    </w:p>
    <w:p>
      <w:pPr>
        <w:ind w:right="420" w:firstLine="510"/>
        <w:spacing w:after="0" w:line="272" w:lineRule="auto"/>
        <w:rPr>
          <w:sz w:val="20"/>
          <w:szCs w:val="20"/>
          <w:color w:val="auto"/>
        </w:rPr>
      </w:pPr>
      <w:r>
        <w:rPr>
          <w:rFonts w:ascii="Arial" w:cs="Arial" w:eastAsia="Arial" w:hAnsi="Arial"/>
          <w:sz w:val="18"/>
          <w:szCs w:val="18"/>
          <w:color w:val="auto"/>
        </w:rPr>
        <w:t>Recent accounting standards not included below are not expected to have a material impact on our consolidated financial position and results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9" w:name="page10"/>
    <w:bookmarkEnd w:id="9"/>
    <w:p>
      <w:pPr>
        <w:ind w:right="40" w:firstLine="510"/>
        <w:spacing w:after="0" w:line="291" w:lineRule="auto"/>
        <w:rPr>
          <w:sz w:val="20"/>
          <w:szCs w:val="20"/>
          <w:color w:val="auto"/>
        </w:rPr>
      </w:pPr>
      <w:r>
        <w:rPr>
          <w:rFonts w:ascii="Arial" w:cs="Arial" w:eastAsia="Arial" w:hAnsi="Arial"/>
          <w:sz w:val="16"/>
          <w:szCs w:val="16"/>
          <w:color w:val="auto"/>
        </w:rPr>
        <w:t>In January 2017, the Financial Accounting Standards Board (“FASB”) issued guidance simplifying the accounting for goodwill impairment by removing Step 2 of the goodwill impairment test. Under previous guidance, Step 2 of the goodwill impairment test required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was recognized as goodwill impairment. Under the new guidance, goodwill impairment is recognized based on Step 1 of the current guidance, which calculates the carrying value in excess of the reporting unit’s fair value. The guidance was adopted effective January 1, 2020 and did not have a material impact on the consolidated financial statements.</w:t>
      </w:r>
    </w:p>
    <w:p>
      <w:pPr>
        <w:spacing w:after="0" w:line="56"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auto"/>
        </w:rPr>
        <w:t>In June 2016, the FASB issued guidance that introduces a new methodology for accounting for credit losses on financial instruments. The guidance establishes a new forward-looking "expected loss model" that requires entities to estimate current expected credit losses on accounts receivable and financial instruments by using all practical and relevant information. The guidance was adopted effective January 1, 2020 and did not have a material impact on the consolidated financial statements.</w:t>
      </w:r>
    </w:p>
    <w:p>
      <w:pPr>
        <w:spacing w:after="0" w:line="8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December 2019, the FASB issued guidance simplifying the accounting for incomes taxes by removing (i) the exception to the incremental approach for intraperiod tax allocation when there is a loss from continuing operations and income or a gain from other items, (ii) the exception to recognize a deferred tax liability for equity method investments when a foreign subsidiary becomes an equity method investment, and (iii) the exception to the general methodology for calculating income taxes in an interim period when a year-to-date loss exceeds the anticipated loss for the year. The guidance also improves consistent application of and simplifies GAAP for other areas of Topic 740, Income Taxes. The guidance was adopted effective January 1, 2020, using a prospective approach and did not have a material impact on the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Revenues</w:t>
      </w:r>
    </w:p>
    <w:p>
      <w:pPr>
        <w:spacing w:after="0" w:line="22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2" w:lineRule="exact"/>
        <w:rPr>
          <w:sz w:val="20"/>
          <w:szCs w:val="20"/>
          <w:color w:val="auto"/>
        </w:rPr>
      </w:pPr>
    </w:p>
    <w:p>
      <w:pPr>
        <w:ind w:right="100" w:firstLine="749"/>
        <w:spacing w:after="0" w:line="260" w:lineRule="auto"/>
        <w:rPr>
          <w:sz w:val="20"/>
          <w:szCs w:val="20"/>
          <w:color w:val="auto"/>
        </w:rPr>
      </w:pPr>
      <w:r>
        <w:rPr>
          <w:rFonts w:ascii="Arial" w:cs="Arial" w:eastAsia="Arial" w:hAnsi="Arial"/>
          <w:sz w:val="18"/>
          <w:szCs w:val="18"/>
          <w:color w:val="auto"/>
        </w:rPr>
        <w:t>The Company provides disaggregation of revenue based on geographic region (Note 13)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Deferred Revenue and Deferred Commission Expense</w:t>
      </w:r>
    </w:p>
    <w:p>
      <w:pPr>
        <w:spacing w:after="0" w:line="22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8"/>
          <w:szCs w:val="18"/>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three months ended March 31, 2020 increased by $8.2 million resulting from $207.2 million of additional invoicing and was offset by revenue recognized of $199.0 million during the same period. $120.9 million of revenue was recognized during the three month period ended March 31, 2020 that was included in deferred revenue at the beginning of the period. As of March 31, 2020, approximately $183.7 million of revenue is expected to be recognized from remaining performance obligations for contracts with original performance obligations that exceed one year. The Company expects to recognize revenue on approximately 94% of these remaining performance obligations over the next 24 months, with the balance recognized thereafter.</w:t>
      </w:r>
    </w:p>
    <w:p>
      <w:pPr>
        <w:spacing w:after="0" w:line="19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Additional contract liabilities of $1.4 million were included in accrued expenses and other current liabilities on the consolidated balance sheet as of March 31, 2020 and December 31, 2019.</w:t>
      </w:r>
    </w:p>
    <w:p>
      <w:pPr>
        <w:spacing w:after="0" w:line="174"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The incremental direct costs of obtaining a contract, which primarily consist of sales commissions paid for new subscription contracts, are deferred and amortized on a straight-line basis over a period of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63" w:lineRule="exact"/>
        <w:rPr>
          <w:sz w:val="20"/>
          <w:szCs w:val="20"/>
          <w:color w:val="auto"/>
        </w:rPr>
      </w:pPr>
    </w:p>
    <w:p>
      <w:pPr>
        <w:ind w:right="160" w:firstLine="510"/>
        <w:spacing w:after="0" w:line="272" w:lineRule="auto"/>
        <w:rPr>
          <w:sz w:val="20"/>
          <w:szCs w:val="20"/>
          <w:color w:val="auto"/>
        </w:rPr>
      </w:pPr>
      <w:r>
        <w:rPr>
          <w:rFonts w:ascii="Arial" w:cs="Arial" w:eastAsia="Arial" w:hAnsi="Arial"/>
          <w:sz w:val="18"/>
          <w:szCs w:val="18"/>
          <w:color w:val="auto"/>
        </w:rPr>
        <w:t>Deferred commission expense during the three months ended March 31, 2020 increased by $0.8 million as a result of deferring incremental costs of obtaining a contract of $11.5 million and was offset by amortization of $10.7 million during the same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19" w:lineRule="exact"/>
        <w:rPr>
          <w:sz w:val="20"/>
          <w:szCs w:val="20"/>
          <w:color w:val="auto"/>
        </w:rPr>
      </w:pPr>
    </w:p>
    <w:p>
      <w:pPr>
        <w:ind w:right="160" w:firstLine="510"/>
        <w:spacing w:after="0" w:line="272"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Diluted net loss per share is computed by giving effect to all potential dilutive common stock equivalents outstanding for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0" w:name="page11"/>
    <w:bookmarkEnd w:id="10"/>
    <w:p>
      <w:pPr>
        <w:ind w:right="200"/>
        <w:spacing w:after="0" w:line="336" w:lineRule="auto"/>
        <w:rPr>
          <w:sz w:val="20"/>
          <w:szCs w:val="20"/>
          <w:color w:val="auto"/>
        </w:rPr>
      </w:pPr>
      <w:r>
        <w:rPr>
          <w:rFonts w:ascii="Arial" w:cs="Arial" w:eastAsia="Arial" w:hAnsi="Arial"/>
          <w:sz w:val="16"/>
          <w:szCs w:val="16"/>
          <w:color w:val="auto"/>
        </w:rPr>
        <w:t>period. For purposes of this calculation, options to purchase common stock, restricted stock units (“RSUs”), shares issued pursuant to the Employee Stock Purchase Plan (“ESPP”), and the Conversion Option and warrants of the 2022 Notes are considered to be potential common stock equivalents.</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denominator used in the calculation of basic and diluted net loss per share is as follows:</w:t>
      </w:r>
    </w:p>
    <w:p>
      <w:pPr>
        <w:spacing w:after="0" w:line="29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54"/>
        </w:trPr>
        <w:tc>
          <w:tcPr>
            <w:tcW w:w="53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96"/>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4"/>
              <w:spacing w:after="0" w:line="154"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35"/>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(17,716)</w:t>
            </w: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(11,100)</w:t>
            </w:r>
          </w:p>
        </w:tc>
      </w:tr>
      <w:tr>
        <w:trPr>
          <w:trHeight w:val="207"/>
        </w:trPr>
        <w:tc>
          <w:tcPr>
            <w:tcW w:w="5300" w:type="dxa"/>
            <w:vAlign w:val="bottom"/>
          </w:tcPr>
          <w:p>
            <w:pPr>
              <w:spacing w:after="0"/>
              <w:rPr>
                <w:sz w:val="20"/>
                <w:szCs w:val="20"/>
                <w:color w:val="auto"/>
              </w:rPr>
            </w:pPr>
            <w:r>
              <w:rPr>
                <w:rFonts w:ascii="Arial" w:cs="Arial" w:eastAsia="Arial" w:hAnsi="Arial"/>
                <w:sz w:val="18"/>
                <w:szCs w:val="18"/>
                <w:color w:val="auto"/>
              </w:rPr>
              <w:t>Weighted-average common shares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27"/>
        </w:trPr>
        <w:tc>
          <w:tcPr>
            <w:tcW w:w="5300" w:type="dxa"/>
            <w:vAlign w:val="bottom"/>
          </w:tcPr>
          <w:p>
            <w:pPr>
              <w:ind w:left="140"/>
              <w:spacing w:after="0"/>
              <w:rPr>
                <w:sz w:val="20"/>
                <w:szCs w:val="20"/>
                <w:color w:val="auto"/>
              </w:rPr>
            </w:pPr>
            <w:r>
              <w:rPr>
                <w:rFonts w:ascii="Arial" w:cs="Arial" w:eastAsia="Arial" w:hAnsi="Arial"/>
                <w:sz w:val="18"/>
                <w:szCs w:val="18"/>
                <w:color w:val="auto"/>
              </w:rPr>
              <w:t>outstanding — basic</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40,568</w:t>
            </w:r>
          </w:p>
        </w:tc>
        <w:tc>
          <w:tcPr>
            <w:tcW w:w="80" w:type="dxa"/>
            <w:vAlign w:val="bottom"/>
          </w:tcPr>
          <w:p>
            <w:pPr>
              <w:spacing w:after="0"/>
              <w:rPr>
                <w:sz w:val="19"/>
                <w:szCs w:val="19"/>
                <w:color w:val="auto"/>
              </w:rPr>
            </w:pPr>
          </w:p>
        </w:tc>
      </w:tr>
      <w:tr>
        <w:trPr>
          <w:trHeight w:val="215"/>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share equivalents resulting from stock</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4"/>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 RSUs, ESPP, Conversion Option and warrants of</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2022 Notes</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5300" w:type="dxa"/>
            <w:vAlign w:val="bottom"/>
          </w:tcPr>
          <w:p>
            <w:pPr>
              <w:spacing w:after="0"/>
              <w:rPr>
                <w:sz w:val="20"/>
                <w:szCs w:val="20"/>
                <w:color w:val="auto"/>
              </w:rPr>
            </w:pPr>
            <w:r>
              <w:rPr>
                <w:rFonts w:ascii="Arial" w:cs="Arial" w:eastAsia="Arial" w:hAnsi="Arial"/>
                <w:sz w:val="18"/>
                <w:szCs w:val="18"/>
                <w:color w:val="auto"/>
              </w:rPr>
              <w:t>Weighted-average common shares,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53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outstanding — diluted</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40,568</w:t>
            </w:r>
          </w:p>
        </w:tc>
        <w:tc>
          <w:tcPr>
            <w:tcW w:w="80" w:type="dxa"/>
            <w:vAlign w:val="bottom"/>
            <w:tcBorders>
              <w:bottom w:val="single" w:sz="8" w:color="CFF0FC"/>
            </w:tcBorders>
          </w:tcPr>
          <w:p>
            <w:pPr>
              <w:spacing w:after="0"/>
              <w:rPr>
                <w:sz w:val="19"/>
                <w:szCs w:val="19"/>
                <w:color w:val="auto"/>
              </w:rPr>
            </w:pPr>
          </w:p>
        </w:tc>
      </w:tr>
      <w:tr>
        <w:trPr>
          <w:trHeight w:val="222"/>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00" w:firstLine="510"/>
        <w:spacing w:after="0" w:line="256" w:lineRule="auto"/>
        <w:rPr>
          <w:sz w:val="20"/>
          <w:szCs w:val="20"/>
          <w:color w:val="auto"/>
        </w:rPr>
      </w:pPr>
      <w:r>
        <w:rPr>
          <w:rFonts w:ascii="Arial" w:cs="Arial" w:eastAsia="Arial" w:hAnsi="Arial"/>
          <w:sz w:val="18"/>
          <w:szCs w:val="18"/>
          <w:color w:val="auto"/>
        </w:rPr>
        <w:t>Since the Company incurred net losses for each of the periods presented, diluted net loss per share is the same as basic net loss per share. The Company’s outstanding stock options, RSUs, shares issuable under the ESPP, and Conversion Option and warrants of the 2022 Notes were not included in the calculation of diluted net loss per share as the effect would be anti-dilutive. The following table contains all potentially dilutive common stock equivalents.</w:t>
      </w:r>
    </w:p>
    <w:p>
      <w:pPr>
        <w:spacing w:after="0" w:line="261"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March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5440" w:type="dxa"/>
            <w:vAlign w:val="bottom"/>
          </w:tcPr>
          <w:p>
            <w:pPr>
              <w:spacing w:after="0"/>
              <w:rPr>
                <w:sz w:val="13"/>
                <w:szCs w:val="13"/>
                <w:color w:val="auto"/>
              </w:rPr>
            </w:pPr>
          </w:p>
        </w:tc>
        <w:tc>
          <w:tcPr>
            <w:tcW w:w="1660" w:type="dxa"/>
            <w:vAlign w:val="bottom"/>
            <w:tcBorders>
              <w:bottom w:val="single" w:sz="8" w:color="auto"/>
            </w:tcBorders>
          </w:tcPr>
          <w:p>
            <w:pPr>
              <w:jc w:val="right"/>
              <w:ind w:right="878"/>
              <w:spacing w:after="0" w:line="154"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jc w:val="right"/>
              <w:ind w:right="274"/>
              <w:spacing w:after="0" w:line="154"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4"/>
        </w:trPr>
        <w:tc>
          <w:tcPr>
            <w:tcW w:w="5440" w:type="dxa"/>
            <w:vAlign w:val="bottom"/>
          </w:tcPr>
          <w:p>
            <w:pPr>
              <w:spacing w:after="0"/>
              <w:rPr>
                <w:sz w:val="13"/>
                <w:szCs w:val="13"/>
                <w:color w:val="auto"/>
              </w:rPr>
            </w:pPr>
          </w:p>
        </w:tc>
        <w:tc>
          <w:tcPr>
            <w:tcW w:w="16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shares</w:t>
            </w:r>
          </w:p>
        </w:tc>
        <w:tc>
          <w:tcPr>
            <w:tcW w:w="1660" w:type="dxa"/>
            <w:vAlign w:val="bottom"/>
            <w:shd w:val="clear" w:color="auto" w:fill="CFF0FC"/>
          </w:tcPr>
          <w:p>
            <w:pPr>
              <w:jc w:val="right"/>
              <w:ind w:right="518"/>
              <w:spacing w:after="0"/>
              <w:rPr>
                <w:sz w:val="20"/>
                <w:szCs w:val="20"/>
                <w:color w:val="auto"/>
              </w:rPr>
            </w:pPr>
            <w:r>
              <w:rPr>
                <w:rFonts w:ascii="Arial" w:cs="Arial" w:eastAsia="Arial" w:hAnsi="Arial"/>
                <w:sz w:val="18"/>
                <w:szCs w:val="18"/>
                <w:color w:val="auto"/>
              </w:rPr>
              <w:t>1,401</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80" w:type="dxa"/>
            <w:vAlign w:val="bottom"/>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RSUs</w:t>
            </w:r>
          </w:p>
        </w:tc>
        <w:tc>
          <w:tcPr>
            <w:tcW w:w="1660" w:type="dxa"/>
            <w:vAlign w:val="bottom"/>
          </w:tcPr>
          <w:p>
            <w:pPr>
              <w:jc w:val="right"/>
              <w:ind w:right="518"/>
              <w:spacing w:after="0"/>
              <w:rPr>
                <w:sz w:val="20"/>
                <w:szCs w:val="20"/>
                <w:color w:val="auto"/>
              </w:rPr>
            </w:pPr>
            <w:r>
              <w:rPr>
                <w:rFonts w:ascii="Arial" w:cs="Arial" w:eastAsia="Arial" w:hAnsi="Arial"/>
                <w:sz w:val="18"/>
                <w:szCs w:val="18"/>
                <w:color w:val="auto"/>
              </w:rPr>
              <w:t>1,697</w:t>
            </w:r>
          </w:p>
        </w:tc>
        <w:tc>
          <w:tcPr>
            <w:tcW w:w="680" w:type="dxa"/>
            <w:vAlign w:val="bottom"/>
          </w:tcPr>
          <w:p>
            <w:pPr>
              <w:jc w:val="right"/>
              <w:spacing w:after="0"/>
              <w:rPr>
                <w:sz w:val="20"/>
                <w:szCs w:val="20"/>
                <w:color w:val="auto"/>
              </w:rPr>
            </w:pPr>
            <w:r>
              <w:rPr>
                <w:rFonts w:ascii="Arial" w:cs="Arial" w:eastAsia="Arial" w:hAnsi="Arial"/>
                <w:sz w:val="18"/>
                <w:szCs w:val="18"/>
                <w:color w:val="auto"/>
              </w:rPr>
              <w:t>1,911</w:t>
            </w:r>
          </w:p>
        </w:tc>
        <w:tc>
          <w:tcPr>
            <w:tcW w:w="80" w:type="dxa"/>
            <w:vAlign w:val="bottom"/>
          </w:tcPr>
          <w:p>
            <w:pPr>
              <w:spacing w:after="0"/>
              <w:rPr>
                <w:sz w:val="19"/>
                <w:szCs w:val="19"/>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 and warrants of the 2022 Notes</w:t>
            </w:r>
          </w:p>
        </w:tc>
        <w:tc>
          <w:tcPr>
            <w:tcW w:w="1660" w:type="dxa"/>
            <w:vAlign w:val="bottom"/>
            <w:shd w:val="clear" w:color="auto" w:fill="CFF0FC"/>
          </w:tcPr>
          <w:p>
            <w:pPr>
              <w:jc w:val="right"/>
              <w:ind w:right="518"/>
              <w:spacing w:after="0"/>
              <w:rPr>
                <w:sz w:val="20"/>
                <w:szCs w:val="20"/>
                <w:color w:val="auto"/>
              </w:rPr>
            </w:pPr>
            <w:r>
              <w:rPr>
                <w:rFonts w:ascii="Arial" w:cs="Arial" w:eastAsia="Arial" w:hAnsi="Arial"/>
                <w:sz w:val="18"/>
                <w:szCs w:val="18"/>
                <w:color w:val="auto"/>
              </w:rPr>
              <w:t>3,093</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80" w:type="dxa"/>
            <w:vAlign w:val="bottom"/>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ESPP</w:t>
            </w:r>
          </w:p>
        </w:tc>
        <w:tc>
          <w:tcPr>
            <w:tcW w:w="166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bl>
    <w:p>
      <w:pPr>
        <w:spacing w:after="0" w:line="201" w:lineRule="exact"/>
        <w:rPr>
          <w:sz w:val="20"/>
          <w:szCs w:val="20"/>
          <w:color w:val="auto"/>
        </w:rPr>
      </w:pPr>
    </w:p>
    <w:p>
      <w:pPr>
        <w:ind w:firstLine="667"/>
        <w:spacing w:after="0" w:line="270" w:lineRule="auto"/>
        <w:rPr>
          <w:sz w:val="20"/>
          <w:szCs w:val="20"/>
          <w:color w:val="auto"/>
        </w:rPr>
      </w:pPr>
      <w:r>
        <w:rPr>
          <w:rFonts w:ascii="Arial" w:cs="Arial" w:eastAsia="Arial" w:hAnsi="Arial"/>
          <w:sz w:val="17"/>
          <w:szCs w:val="17"/>
          <w:color w:val="auto"/>
        </w:rPr>
        <w:t>The Company expects to settle the principal amount of the 2022 Notes (Note 8) in cash, and therefore, the Company uses the treasury stock method for calculating any potential dilutive effect of the Conversion Option on diluted net income per share, if applicable. The Conversion Option will have a dilutive impact on net income per share of common stock when the average market price of the Company’s common stock for a given period exceeds the conversion price of the 2022 Notes of $94.77 per share. Because the last reported sale price of the Company’s common stock for at least 20 trading days during the period of 30 consecutive trading days ending on the last trading day of the calendar quarter ended March 31, 2020 was equal to or greater than 130% of the applicable conversion price on each applicable trading day, the 2022 Notes are convertible at the option of the holders thereof during the calendar quarter ending June 30, 2020. In the first quarter of 2020, the Company settled $2 thousand of the principal balance of the 2022 Notes in cash. As of May 1, 2020, the Company has received conversion notices for approximately $2 thousand of the principal balance of the 2022 Notes, which will be settled in cash during the quarter ended June 30, 2020.</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19" w:lineRule="exact"/>
        <w:rPr>
          <w:sz w:val="20"/>
          <w:szCs w:val="20"/>
          <w:color w:val="auto"/>
        </w:rPr>
      </w:pPr>
    </w:p>
    <w:p>
      <w:pPr>
        <w:ind w:right="40" w:firstLine="510"/>
        <w:spacing w:after="0" w:line="282" w:lineRule="auto"/>
        <w:rPr>
          <w:sz w:val="20"/>
          <w:szCs w:val="20"/>
          <w:color w:val="auto"/>
        </w:rPr>
      </w:pPr>
      <w:r>
        <w:rPr>
          <w:rFonts w:ascii="Arial" w:cs="Arial" w:eastAsia="Arial" w:hAnsi="Arial"/>
          <w:sz w:val="17"/>
          <w:szCs w:val="17"/>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62"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4" w:lineRule="exact"/>
        <w:rPr>
          <w:rFonts w:ascii="Arial" w:cs="Arial" w:eastAsia="Arial" w:hAnsi="Arial"/>
          <w:sz w:val="18"/>
          <w:szCs w:val="18"/>
          <w:color w:val="auto"/>
        </w:rPr>
      </w:pPr>
    </w:p>
    <w:p>
      <w:pPr>
        <w:ind w:left="1020" w:right="80" w:hanging="503"/>
        <w:spacing w:after="0" w:line="307"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44"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1" w:name="page12"/>
    <w:bookmarkEnd w:id="11"/>
    <w:p>
      <w:pPr>
        <w:ind w:right="140" w:firstLine="510"/>
        <w:spacing w:after="0" w:line="272" w:lineRule="auto"/>
        <w:rPr>
          <w:sz w:val="20"/>
          <w:szCs w:val="20"/>
          <w:color w:val="auto"/>
        </w:rPr>
      </w:pPr>
      <w:r>
        <w:rPr>
          <w:rFonts w:ascii="Arial" w:cs="Arial" w:eastAsia="Arial" w:hAnsi="Arial"/>
          <w:sz w:val="18"/>
          <w:szCs w:val="18"/>
          <w:color w:val="auto"/>
        </w:rPr>
        <w:t>The following table details the fair value measurements within the fair value hierarchy of the Company’s financial assets and liabilities at March 31, 2020 and December 31,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March 31, 2020</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6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120"/>
              <w:spacing w:after="0" w:line="154"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6"/>
              <w:spacing w:after="0" w:line="154"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
              <w:spacing w:after="0" w:line="154" w:lineRule="exact"/>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4"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3"/>
          </w:tcPr>
          <w:p>
            <w:pPr>
              <w:jc w:val="center"/>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43,772</w:t>
            </w:r>
          </w:p>
        </w:tc>
        <w:tc>
          <w:tcPr>
            <w:tcW w:w="24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83,100</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120,201</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677,310</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677,310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3,029</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884,192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927,964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6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120"/>
              <w:spacing w:after="0" w:line="154"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6"/>
              <w:spacing w:after="0" w:line="154"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
              <w:spacing w:after="0" w:line="154" w:lineRule="exact"/>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4"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620" w:type="dxa"/>
            <w:vAlign w:val="bottom"/>
            <w:vMerge w:val="restart"/>
          </w:tcPr>
          <w:p>
            <w:pPr>
              <w:spacing w:after="0"/>
              <w:rPr>
                <w:sz w:val="20"/>
                <w:szCs w:val="20"/>
                <w:color w:val="auto"/>
              </w:rPr>
            </w:pPr>
            <w:r>
              <w:rPr>
                <w:rFonts w:ascii="Arial" w:cs="Arial" w:eastAsia="Arial" w:hAnsi="Arial"/>
                <w:sz w:val="18"/>
                <w:szCs w:val="18"/>
                <w:color w:val="auto"/>
              </w:rPr>
              <w:t>Cash equivalents and investments: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96,618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87,185</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87,138</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2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631,174</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631,174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5,816</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96,618</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814,342</w:t>
            </w:r>
          </w:p>
        </w:tc>
        <w:tc>
          <w:tcPr>
            <w:tcW w:w="240" w:type="dxa"/>
            <w:vAlign w:val="bottom"/>
          </w:tcPr>
          <w:p>
            <w:pPr>
              <w:spacing w:after="0"/>
              <w:rPr>
                <w:sz w:val="19"/>
                <w:szCs w:val="19"/>
                <w:color w:val="auto"/>
              </w:rPr>
            </w:pPr>
          </w:p>
        </w:tc>
        <w:tc>
          <w:tcPr>
            <w:tcW w:w="900" w:type="dxa"/>
            <w:vAlign w:val="bottom"/>
            <w:tcBorders>
              <w:top w:val="single" w:sz="8" w:color="auto"/>
            </w:tcBorders>
          </w:tcPr>
          <w:p>
            <w:pPr>
              <w:jc w:val="right"/>
              <w:ind w:right="74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9"/>
                <w:szCs w:val="19"/>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Company considers all highly liquid investments purchased with a remaining maturity of three months or less to be cash equivalents. The fair value of the Company’s investments in certain money market funds is their face value and such instruments are classified as Level 1 and are included in cash and cash equivalents, and restricted cash (within prepaid expenses and other current assets and other long-term assets) on the consolidated balance sheets. At March 31, 2020 and December 31, 2019, our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177" w:lineRule="exact"/>
        <w:rPr>
          <w:sz w:val="20"/>
          <w:szCs w:val="20"/>
          <w:color w:val="auto"/>
        </w:rPr>
      </w:pPr>
    </w:p>
    <w:p>
      <w:pPr>
        <w:ind w:right="360" w:firstLine="544"/>
        <w:spacing w:after="0" w:line="336" w:lineRule="auto"/>
        <w:rPr>
          <w:sz w:val="20"/>
          <w:szCs w:val="20"/>
          <w:color w:val="auto"/>
        </w:rPr>
      </w:pPr>
      <w:r>
        <w:rPr>
          <w:rFonts w:ascii="Arial" w:cs="Arial" w:eastAsia="Arial" w:hAnsi="Arial"/>
          <w:sz w:val="16"/>
          <w:szCs w:val="16"/>
          <w:color w:val="auto"/>
        </w:rPr>
        <w:t>As of March 31, 2020, the fair value of the 2022 Notes was $597.8 million. The fair value was determined based on the quoted price of the 2022 Notes in an inactive market on the last trading day of the reporting period and has been classified as Level 2 within the fair value hierarchy.</w:t>
      </w:r>
    </w:p>
    <w:p>
      <w:pPr>
        <w:spacing w:after="0" w:line="128" w:lineRule="exact"/>
        <w:rPr>
          <w:sz w:val="20"/>
          <w:szCs w:val="20"/>
          <w:color w:val="auto"/>
        </w:rPr>
      </w:pPr>
    </w:p>
    <w:p>
      <w:pPr>
        <w:ind w:right="500" w:firstLine="510"/>
        <w:spacing w:after="0" w:line="272" w:lineRule="auto"/>
        <w:rPr>
          <w:sz w:val="20"/>
          <w:szCs w:val="20"/>
          <w:color w:val="auto"/>
        </w:rPr>
      </w:pPr>
      <w:r>
        <w:rPr>
          <w:rFonts w:ascii="Arial" w:cs="Arial" w:eastAsia="Arial" w:hAnsi="Arial"/>
          <w:sz w:val="18"/>
          <w:szCs w:val="18"/>
          <w:color w:val="auto"/>
        </w:rPr>
        <w:t>For certain other financial instruments, including accounts receivable, accounts payable, capital leases and other current liabilities, the carrying amounts approximate their fair value due to the relatively short maturity of these balances.</w:t>
      </w:r>
    </w:p>
    <w:p>
      <w:pPr>
        <w:spacing w:after="0" w:line="174" w:lineRule="exact"/>
        <w:rPr>
          <w:sz w:val="20"/>
          <w:szCs w:val="20"/>
          <w:color w:val="auto"/>
        </w:rPr>
      </w:pPr>
    </w:p>
    <w:p>
      <w:pPr>
        <w:ind w:right="300" w:firstLine="510"/>
        <w:spacing w:after="0" w:line="272" w:lineRule="auto"/>
        <w:rPr>
          <w:sz w:val="20"/>
          <w:szCs w:val="20"/>
          <w:color w:val="auto"/>
        </w:rPr>
      </w:pPr>
      <w:r>
        <w:rPr>
          <w:rFonts w:ascii="Arial" w:cs="Arial" w:eastAsia="Arial" w:hAnsi="Arial"/>
          <w:sz w:val="18"/>
          <w:szCs w:val="18"/>
          <w:color w:val="auto"/>
        </w:rPr>
        <w:t>Restricted cash is comprised of money market funds and certificates of deposit related to landlord guarantees for leased facilities. These restricted cash balances have been excluded from our cash and cash equivalents balance on our consolidated balance sheets.</w:t>
      </w:r>
    </w:p>
    <w:p>
      <w:pPr>
        <w:spacing w:after="0" w:line="174"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$4.2 million of strategic investments without readily determinable fair values at March 31, 2020 and $4.4 million of strategic investments without readily determinable fair values at December 31, 2019. These investments are included in other assets on the consolidated balance sheets. For the three months ended March 31, 2020, the Company recorded an impairment of $250 thousand.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The following tables summarize the composition of our short- and long-term investments at March 31, 2020 and December 31, 2019.</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6"/>
              </w:rPr>
              <w:t>March 31, 2020</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2"/>
        </w:trPr>
        <w:tc>
          <w:tcPr>
            <w:tcW w:w="3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80"/>
              <w:spacing w:after="0" w:line="132"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ind w:left="100"/>
              <w:spacing w:after="0" w:line="132"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70"/>
        </w:trPr>
        <w:tc>
          <w:tcPr>
            <w:tcW w:w="3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54"/>
        </w:trPr>
        <w:tc>
          <w:tcPr>
            <w:tcW w:w="3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5"/>
          </w:tcPr>
          <w:p>
            <w:pPr>
              <w:jc w:val="center"/>
              <w:ind w:right="140"/>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8"/>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83,100</w:t>
            </w:r>
          </w:p>
        </w:tc>
        <w:tc>
          <w:tcPr>
            <w:tcW w:w="100" w:type="dxa"/>
            <w:vAlign w:val="bottom"/>
            <w:shd w:val="clear" w:color="auto" w:fill="CFF0FC"/>
          </w:tcPr>
          <w:p>
            <w:pPr>
              <w:spacing w:after="0"/>
              <w:rPr>
                <w:sz w:val="19"/>
                <w:szCs w:val="19"/>
                <w:color w:val="auto"/>
              </w:rPr>
            </w:pPr>
          </w:p>
        </w:tc>
      </w:tr>
      <w:tr>
        <w:trPr>
          <w:trHeight w:val="227"/>
        </w:trPr>
        <w:tc>
          <w:tcPr>
            <w:tcW w:w="3420" w:type="dxa"/>
            <w:vAlign w:val="bottom"/>
          </w:tcPr>
          <w:p>
            <w:pPr>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120,639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120,201</w:t>
            </w:r>
          </w:p>
        </w:tc>
        <w:tc>
          <w:tcPr>
            <w:tcW w:w="100" w:type="dxa"/>
            <w:vAlign w:val="bottom"/>
          </w:tcPr>
          <w:p>
            <w:pPr>
              <w:spacing w:after="0"/>
              <w:rPr>
                <w:sz w:val="19"/>
                <w:szCs w:val="19"/>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600,897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602,311</w:t>
            </w:r>
          </w:p>
        </w:tc>
        <w:tc>
          <w:tcPr>
            <w:tcW w:w="100" w:type="dxa"/>
            <w:vAlign w:val="bottom"/>
            <w:shd w:val="clear" w:color="auto" w:fill="CFF0FC"/>
          </w:tcPr>
          <w:p>
            <w:pPr>
              <w:spacing w:after="0"/>
              <w:rPr>
                <w:sz w:val="19"/>
                <w:szCs w:val="19"/>
                <w:color w:val="auto"/>
              </w:rPr>
            </w:pPr>
          </w:p>
        </w:tc>
      </w:tr>
      <w:tr>
        <w:trPr>
          <w:trHeight w:val="221"/>
        </w:trPr>
        <w:tc>
          <w:tcPr>
            <w:tcW w:w="3420" w:type="dxa"/>
            <w:vAlign w:val="bottom"/>
          </w:tcPr>
          <w:p>
            <w:pPr>
              <w:ind w:left="240"/>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804,636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805,612</w:t>
            </w:r>
          </w:p>
        </w:tc>
        <w:tc>
          <w:tcPr>
            <w:tcW w:w="10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3"/>
        </w:trPr>
        <w:tc>
          <w:tcPr>
            <w:tcW w:w="3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2"/>
        </w:trPr>
        <w:tc>
          <w:tcPr>
            <w:tcW w:w="34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80"/>
              <w:spacing w:after="0" w:line="132"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2"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ind w:left="100"/>
              <w:spacing w:after="0" w:line="132"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70"/>
        </w:trPr>
        <w:tc>
          <w:tcPr>
            <w:tcW w:w="3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153"/>
        </w:trPr>
        <w:tc>
          <w:tcPr>
            <w:tcW w:w="3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5"/>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3420" w:type="dxa"/>
            <w:vAlign w:val="bottom"/>
          </w:tcPr>
          <w:p>
            <w:pPr>
              <w:spacing w:after="0"/>
              <w:rPr>
                <w:sz w:val="20"/>
                <w:szCs w:val="20"/>
                <w:color w:val="auto"/>
              </w:rPr>
            </w:pPr>
            <w:r>
              <w:rPr>
                <w:rFonts w:ascii="Arial" w:cs="Arial" w:eastAsia="Arial" w:hAnsi="Arial"/>
                <w:sz w:val="18"/>
                <w:szCs w:val="18"/>
                <w:color w:val="auto"/>
              </w:rPr>
              <w:t>Commercial paper</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77,214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77,214</w:t>
            </w:r>
          </w:p>
        </w:tc>
        <w:tc>
          <w:tcPr>
            <w:tcW w:w="100" w:type="dxa"/>
            <w:vAlign w:val="bottom"/>
          </w:tcPr>
          <w:p>
            <w:pPr>
              <w:spacing w:after="0"/>
              <w:rPr>
                <w:sz w:val="19"/>
                <w:szCs w:val="19"/>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87,138</w:t>
            </w:r>
          </w:p>
        </w:tc>
        <w:tc>
          <w:tcPr>
            <w:tcW w:w="100" w:type="dxa"/>
            <w:vAlign w:val="bottom"/>
            <w:shd w:val="clear" w:color="auto" w:fill="CFF0FC"/>
          </w:tcPr>
          <w:p>
            <w:pPr>
              <w:spacing w:after="0"/>
              <w:rPr>
                <w:sz w:val="19"/>
                <w:szCs w:val="19"/>
                <w:color w:val="auto"/>
              </w:rPr>
            </w:pPr>
          </w:p>
        </w:tc>
      </w:tr>
      <w:tr>
        <w:trPr>
          <w:trHeight w:val="228"/>
        </w:trPr>
        <w:tc>
          <w:tcPr>
            <w:tcW w:w="34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581,066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581,258</w:t>
            </w:r>
          </w:p>
        </w:tc>
        <w:tc>
          <w:tcPr>
            <w:tcW w:w="100" w:type="dxa"/>
            <w:vAlign w:val="bottom"/>
          </w:tcPr>
          <w:p>
            <w:pPr>
              <w:spacing w:after="0"/>
              <w:rPr>
                <w:sz w:val="19"/>
                <w:szCs w:val="19"/>
                <w:color w:val="auto"/>
              </w:rPr>
            </w:pPr>
          </w:p>
        </w:tc>
      </w:tr>
      <w:tr>
        <w:trPr>
          <w:trHeight w:val="221"/>
        </w:trPr>
        <w:tc>
          <w:tcPr>
            <w:tcW w:w="3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745,180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745,610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0" w:firstLine="510"/>
        <w:spacing w:after="0" w:line="298" w:lineRule="auto"/>
        <w:rPr>
          <w:sz w:val="20"/>
          <w:szCs w:val="20"/>
          <w:color w:val="auto"/>
        </w:rPr>
      </w:pPr>
      <w:r>
        <w:rPr>
          <w:rFonts w:ascii="Arial" w:cs="Arial" w:eastAsia="Arial" w:hAnsi="Arial"/>
          <w:sz w:val="16"/>
          <w:szCs w:val="16"/>
          <w:color w:val="auto"/>
        </w:rPr>
        <w:t>For all of our securities for which the amortized cost basis was greater than the fair value at March 31, 2020,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Contractual Maturities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short-term and long-term investments held at March 31, 2020 and December 31, 2019 are as follows:</w:t>
      </w:r>
    </w:p>
    <w:p>
      <w:pPr>
        <w:sectPr>
          <w:pgSz w:w="11900" w:h="16838" w:orient="portrait"/>
          <w:cols w:equalWidth="0" w:num="1">
            <w:col w:w="11240"/>
          </w:cols>
          <w:pgMar w:left="320" w:top="554" w:right="339" w:bottom="1440" w:gutter="0" w:footer="0" w:header="0"/>
        </w:sectPr>
      </w:pPr>
    </w:p>
    <w:p>
      <w:pPr>
        <w:spacing w:after="0" w:line="80"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March 31, 2020</w:t>
      </w:r>
    </w:p>
    <w:p>
      <w:pPr>
        <w:spacing w:after="0" w:line="9" w:lineRule="exact"/>
        <w:rPr>
          <w:sz w:val="20"/>
          <w:szCs w:val="20"/>
          <w:color w:val="auto"/>
        </w:rPr>
      </w:pPr>
    </w:p>
    <w:tbl>
      <w:tblPr>
        <w:tblLayout w:type="fixed"/>
        <w:tblInd w:w="5700" w:type="dxa"/>
        <w:tblCellMar>
          <w:top w:w="0" w:type="dxa"/>
          <w:left w:w="0" w:type="dxa"/>
          <w:bottom w:w="0" w:type="dxa"/>
          <w:right w:w="0" w:type="dxa"/>
        </w:tblCellMar>
      </w:tblPr>
      <w:tr>
        <w:trPr>
          <w:trHeight w:val="132"/>
        </w:trPr>
        <w:tc>
          <w:tcPr>
            <w:tcW w:w="1280" w:type="dxa"/>
            <w:vAlign w:val="bottom"/>
            <w:tcBorders>
              <w:top w:val="single" w:sz="8" w:color="auto"/>
            </w:tcBorders>
          </w:tcPr>
          <w:p>
            <w:pPr>
              <w:ind w:left="280"/>
              <w:spacing w:after="0" w:line="132" w:lineRule="exact"/>
              <w:rPr>
                <w:sz w:val="20"/>
                <w:szCs w:val="20"/>
                <w:color w:val="auto"/>
              </w:rPr>
            </w:pPr>
            <w:r>
              <w:rPr>
                <w:rFonts w:ascii="Arial" w:cs="Arial" w:eastAsia="Arial" w:hAnsi="Arial"/>
                <w:sz w:val="14"/>
                <w:szCs w:val="14"/>
                <w:b w:val="1"/>
                <w:bCs w:val="1"/>
                <w:color w:val="auto"/>
              </w:rPr>
              <w:t>Amortized</w:t>
            </w:r>
          </w:p>
        </w:tc>
        <w:tc>
          <w:tcPr>
            <w:tcW w:w="1160" w:type="dxa"/>
            <w:vAlign w:val="bottom"/>
            <w:tcBorders>
              <w:top w:val="single" w:sz="8" w:color="auto"/>
            </w:tcBorders>
          </w:tcPr>
          <w:p>
            <w:pPr>
              <w:ind w:left="340"/>
              <w:spacing w:after="0" w:line="132" w:lineRule="exact"/>
              <w:rPr>
                <w:sz w:val="20"/>
                <w:szCs w:val="20"/>
                <w:color w:val="auto"/>
              </w:rPr>
            </w:pPr>
            <w:r>
              <w:rPr>
                <w:rFonts w:ascii="Arial" w:cs="Arial" w:eastAsia="Arial" w:hAnsi="Arial"/>
                <w:sz w:val="14"/>
                <w:szCs w:val="14"/>
                <w:b w:val="1"/>
                <w:bCs w:val="1"/>
                <w:color w:val="auto"/>
              </w:rPr>
              <w:t>Aggregate</w:t>
            </w:r>
          </w:p>
        </w:tc>
      </w:tr>
      <w:tr>
        <w:trPr>
          <w:trHeight w:val="185"/>
        </w:trPr>
        <w:tc>
          <w:tcPr>
            <w:tcW w:w="1280" w:type="dxa"/>
            <w:vAlign w:val="bottom"/>
          </w:tcPr>
          <w:p>
            <w:pPr>
              <w:ind w:left="300"/>
              <w:spacing w:after="0"/>
              <w:rPr>
                <w:sz w:val="20"/>
                <w:szCs w:val="20"/>
                <w:color w:val="auto"/>
              </w:rPr>
            </w:pPr>
            <w:r>
              <w:rPr>
                <w:rFonts w:ascii="Arial" w:cs="Arial" w:eastAsia="Arial" w:hAnsi="Arial"/>
                <w:sz w:val="14"/>
                <w:szCs w:val="14"/>
                <w:b w:val="1"/>
                <w:bCs w:val="1"/>
                <w:color w:val="auto"/>
              </w:rPr>
              <w:t>Cost Basis</w:t>
            </w:r>
          </w:p>
        </w:tc>
        <w:tc>
          <w:tcPr>
            <w:tcW w:w="1160" w:type="dxa"/>
            <w:vAlign w:val="bottom"/>
          </w:tcPr>
          <w:p>
            <w:pPr>
              <w:ind w:left="320"/>
              <w:spacing w:after="0"/>
              <w:rPr>
                <w:sz w:val="20"/>
                <w:szCs w:val="20"/>
                <w:color w:val="auto"/>
              </w:rPr>
            </w:pPr>
            <w:r>
              <w:rPr>
                <w:rFonts w:ascii="Arial" w:cs="Arial" w:eastAsia="Arial" w:hAnsi="Arial"/>
                <w:sz w:val="14"/>
                <w:szCs w:val="14"/>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-8890</wp:posOffset>
            </wp:positionV>
            <wp:extent cx="1549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9400" cy="8255"/>
                    </a:xfrm>
                    <a:prstGeom prst="rect">
                      <a:avLst/>
                    </a:prstGeom>
                    <a:noFill/>
                  </pic:spPr>
                </pic:pic>
              </a:graphicData>
            </a:graphic>
          </wp:anchor>
        </w:drawing>
      </w:r>
    </w:p>
    <w:p>
      <w:pPr>
        <w:ind w:left="6480"/>
        <w:spacing w:after="0" w:line="237"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December 31, 2019</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220" w:type="dxa"/>
            <w:vAlign w:val="bottom"/>
            <w:tcBorders>
              <w:top w:val="single" w:sz="8" w:color="auto"/>
            </w:tcBorders>
          </w:tcPr>
          <w:p>
            <w:pPr>
              <w:ind w:left="280"/>
              <w:spacing w:after="0" w:line="132" w:lineRule="exact"/>
              <w:rPr>
                <w:sz w:val="20"/>
                <w:szCs w:val="20"/>
                <w:color w:val="auto"/>
              </w:rPr>
            </w:pPr>
            <w:r>
              <w:rPr>
                <w:rFonts w:ascii="Arial" w:cs="Arial" w:eastAsia="Arial" w:hAnsi="Arial"/>
                <w:sz w:val="14"/>
                <w:szCs w:val="14"/>
                <w:b w:val="1"/>
                <w:bCs w:val="1"/>
                <w:color w:val="auto"/>
              </w:rPr>
              <w:t>Amortized</w:t>
            </w:r>
          </w:p>
        </w:tc>
        <w:tc>
          <w:tcPr>
            <w:tcW w:w="1120" w:type="dxa"/>
            <w:vAlign w:val="bottom"/>
            <w:tcBorders>
              <w:top w:val="single" w:sz="8" w:color="auto"/>
            </w:tcBorders>
          </w:tcPr>
          <w:p>
            <w:pPr>
              <w:ind w:left="300"/>
              <w:spacing w:after="0" w:line="132" w:lineRule="exact"/>
              <w:rPr>
                <w:sz w:val="20"/>
                <w:szCs w:val="20"/>
                <w:color w:val="auto"/>
              </w:rPr>
            </w:pPr>
            <w:r>
              <w:rPr>
                <w:rFonts w:ascii="Arial" w:cs="Arial" w:eastAsia="Arial" w:hAnsi="Arial"/>
                <w:sz w:val="14"/>
                <w:szCs w:val="14"/>
                <w:b w:val="1"/>
                <w:bCs w:val="1"/>
                <w:color w:val="auto"/>
              </w:rPr>
              <w:t>Aggregate</w:t>
            </w:r>
          </w:p>
        </w:tc>
      </w:tr>
      <w:tr>
        <w:trPr>
          <w:trHeight w:val="185"/>
        </w:trPr>
        <w:tc>
          <w:tcPr>
            <w:tcW w:w="1220" w:type="dxa"/>
            <w:vAlign w:val="bottom"/>
          </w:tcPr>
          <w:p>
            <w:pPr>
              <w:ind w:left="300"/>
              <w:spacing w:after="0"/>
              <w:rPr>
                <w:sz w:val="20"/>
                <w:szCs w:val="20"/>
                <w:color w:val="auto"/>
              </w:rPr>
            </w:pPr>
            <w:r>
              <w:rPr>
                <w:rFonts w:ascii="Arial" w:cs="Arial" w:eastAsia="Arial" w:hAnsi="Arial"/>
                <w:sz w:val="14"/>
                <w:szCs w:val="14"/>
                <w:b w:val="1"/>
                <w:bCs w:val="1"/>
                <w:color w:val="auto"/>
              </w:rPr>
              <w:t>Cost Basis</w:t>
            </w:r>
          </w:p>
        </w:tc>
        <w:tc>
          <w:tcPr>
            <w:tcW w:w="1120" w:type="dxa"/>
            <w:vAlign w:val="bottom"/>
          </w:tcPr>
          <w:p>
            <w:pPr>
              <w:ind w:left="280"/>
              <w:spacing w:after="0"/>
              <w:rPr>
                <w:sz w:val="20"/>
                <w:szCs w:val="20"/>
                <w:color w:val="auto"/>
              </w:rPr>
            </w:pPr>
            <w:r>
              <w:rPr>
                <w:rFonts w:ascii="Arial" w:cs="Arial" w:eastAsia="Arial" w:hAnsi="Arial"/>
                <w:sz w:val="14"/>
                <w:szCs w:val="14"/>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14897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89710" cy="8255"/>
                    </a:xfrm>
                    <a:prstGeom prst="rect">
                      <a:avLst/>
                    </a:prstGeom>
                    <a:noFill/>
                  </pic:spPr>
                </pic:pic>
              </a:graphicData>
            </a:graphic>
          </wp:anchor>
        </w:drawing>
      </w:r>
    </w:p>
    <w:p>
      <w:pPr>
        <w:ind w:left="780"/>
        <w:spacing w:after="0" w:line="237" w:lineRule="auto"/>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p>
      <w:pPr>
        <w:sectPr>
          <w:pgSz w:w="11900" w:h="16838" w:orient="portrait"/>
          <w:cols w:equalWidth="0" w:num="2">
            <w:col w:w="8140" w:space="100"/>
            <w:col w:w="3000"/>
          </w:cols>
          <w:pgMar w:left="320" w:top="554" w:right="339" w:bottom="1440" w:gutter="0" w:footer="0" w:header="0"/>
          <w:type w:val="continuous"/>
        </w:sectPr>
      </w:pPr>
    </w:p>
    <w:tbl>
      <w:tblPr>
        <w:tblLayout w:type="fixed"/>
        <w:tblInd w:w="580" w:type="dxa"/>
        <w:tblCellMar>
          <w:top w:w="0" w:type="dxa"/>
          <w:left w:w="0" w:type="dxa"/>
          <w:bottom w:w="0" w:type="dxa"/>
          <w:right w:w="0" w:type="dxa"/>
        </w:tblCellMar>
      </w:tblPr>
      <w:tr>
        <w:trPr>
          <w:trHeight w:val="208"/>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1760" w:type="dxa"/>
            <w:vAlign w:val="bottom"/>
            <w:gridSpan w:val="2"/>
            <w:shd w:val="clear" w:color="auto" w:fill="CFF0FC"/>
          </w:tcPr>
          <w:p>
            <w:pPr>
              <w:jc w:val="right"/>
              <w:ind w:right="171"/>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737,992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739,428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691,556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691,834</w:t>
            </w:r>
          </w:p>
        </w:tc>
        <w:tc>
          <w:tcPr>
            <w:tcW w:w="100" w:type="dxa"/>
            <w:vAlign w:val="bottom"/>
            <w:shd w:val="clear" w:color="auto" w:fill="CFF0FC"/>
          </w:tcPr>
          <w:p>
            <w:pPr>
              <w:spacing w:after="0"/>
              <w:rPr>
                <w:sz w:val="18"/>
                <w:szCs w:val="18"/>
                <w:color w:val="auto"/>
              </w:rPr>
            </w:pPr>
          </w:p>
        </w:tc>
      </w:tr>
      <w:tr>
        <w:trPr>
          <w:trHeight w:val="228"/>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1 year through 2 years</w:t>
            </w:r>
          </w:p>
        </w:tc>
        <w:tc>
          <w:tcPr>
            <w:tcW w:w="14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66,644</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66,184</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53,624</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53,776</w:t>
            </w:r>
          </w:p>
        </w:tc>
        <w:tc>
          <w:tcPr>
            <w:tcW w:w="100" w:type="dxa"/>
            <w:vAlign w:val="bottom"/>
            <w:tcBorders>
              <w:bottom w:val="single" w:sz="8" w:color="CFF0FC"/>
            </w:tcBorders>
          </w:tcPr>
          <w:p>
            <w:pPr>
              <w:spacing w:after="0"/>
              <w:rPr>
                <w:sz w:val="19"/>
                <w:szCs w:val="19"/>
                <w:color w:val="auto"/>
              </w:rPr>
            </w:pPr>
          </w:p>
        </w:tc>
      </w:tr>
      <w:tr>
        <w:trPr>
          <w:trHeight w:val="221"/>
        </w:trPr>
        <w:tc>
          <w:tcPr>
            <w:tcW w:w="3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804,636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805,612</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745,180</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745,610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200" w:lineRule="exact"/>
        <w:rPr>
          <w:sz w:val="20"/>
          <w:szCs w:val="20"/>
          <w:color w:val="auto"/>
        </w:rPr>
      </w:pPr>
    </w:p>
    <w:p>
      <w:pPr>
        <w:spacing w:after="0" w:line="240" w:lineRule="exact"/>
        <w:rPr>
          <w:sz w:val="20"/>
          <w:szCs w:val="20"/>
          <w:color w:val="auto"/>
        </w:rPr>
      </w:pPr>
    </w:p>
    <w:p>
      <w:pPr>
        <w:ind w:right="280" w:firstLine="749"/>
        <w:spacing w:after="0" w:line="336"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consolidated balance sheets that sum to the total of the same such amounts shown in the statement of cash flows for the three months ended March 31, 2020 and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March 31, 2020</w:t>
            </w:r>
          </w:p>
        </w:tc>
        <w:tc>
          <w:tcPr>
            <w:tcW w:w="140" w:type="dxa"/>
            <w:vAlign w:val="bottom"/>
          </w:tcPr>
          <w:p>
            <w:pPr>
              <w:spacing w:after="0"/>
              <w:rPr>
                <w:sz w:val="14"/>
                <w:szCs w:val="14"/>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March 31, 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229,133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285,126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269,670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4"/>
              </w:rPr>
              <w:t>Restricted cash, included in prepaid expenses and other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940" w:type="dxa"/>
            <w:vAlign w:val="bottom"/>
            <w:gridSpan w:val="2"/>
          </w:tcPr>
          <w:p>
            <w:pPr>
              <w:ind w:left="170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included in other assets</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232,714</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291,146</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278,515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jc w:val="right"/>
              <w:ind w:right="131"/>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5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70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w:t>
      </w:r>
    </w:p>
    <w:p>
      <w:pPr>
        <w:spacing w:after="0" w:line="29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March 31, 2020</w:t>
            </w:r>
          </w:p>
        </w:tc>
        <w:tc>
          <w:tcPr>
            <w:tcW w:w="10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 2019</w:t>
            </w:r>
          </w:p>
        </w:tc>
      </w:tr>
      <w:tr>
        <w:trPr>
          <w:trHeight w:val="154"/>
        </w:trPr>
        <w:tc>
          <w:tcPr>
            <w:tcW w:w="48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4"/>
          </w:tcPr>
          <w:p>
            <w:pPr>
              <w:jc w:val="right"/>
              <w:ind w:right="932"/>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8"/>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purchased software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13,028</w:t>
            </w:r>
          </w:p>
        </w:tc>
        <w:tc>
          <w:tcPr>
            <w:tcW w:w="80" w:type="dxa"/>
            <w:vAlign w:val="bottom"/>
            <w:shd w:val="clear" w:color="auto" w:fill="CFF0FC"/>
          </w:tcPr>
          <w:p>
            <w:pPr>
              <w:spacing w:after="0"/>
              <w:rPr>
                <w:sz w:val="19"/>
                <w:szCs w:val="19"/>
                <w:color w:val="auto"/>
              </w:rPr>
            </w:pPr>
          </w:p>
        </w:tc>
      </w:tr>
      <w:tr>
        <w:trPr>
          <w:trHeight w:val="227"/>
        </w:trPr>
        <w:tc>
          <w:tcPr>
            <w:tcW w:w="4880" w:type="dxa"/>
            <w:vAlign w:val="bottom"/>
          </w:tcPr>
          <w:p>
            <w:pPr>
              <w:spacing w:after="0"/>
              <w:rPr>
                <w:sz w:val="20"/>
                <w:szCs w:val="20"/>
                <w:color w:val="auto"/>
              </w:rPr>
            </w:pPr>
            <w:r>
              <w:rPr>
                <w:rFonts w:ascii="Arial" w:cs="Arial" w:eastAsia="Arial" w:hAnsi="Arial"/>
                <w:sz w:val="18"/>
                <w:szCs w:val="18"/>
                <w:color w:val="auto"/>
              </w:rPr>
              <w:t>Employee related computer equipment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13,829</w:t>
            </w:r>
          </w:p>
        </w:tc>
        <w:tc>
          <w:tcPr>
            <w:tcW w:w="8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14,319</w:t>
            </w:r>
          </w:p>
        </w:tc>
        <w:tc>
          <w:tcPr>
            <w:tcW w:w="80" w:type="dxa"/>
            <w:vAlign w:val="bottom"/>
            <w:shd w:val="clear" w:color="auto" w:fill="CFF0FC"/>
          </w:tcPr>
          <w:p>
            <w:pPr>
              <w:spacing w:after="0"/>
              <w:rPr>
                <w:sz w:val="19"/>
                <w:szCs w:val="19"/>
                <w:color w:val="auto"/>
              </w:rPr>
            </w:pPr>
          </w:p>
        </w:tc>
      </w:tr>
      <w:tr>
        <w:trPr>
          <w:trHeight w:val="227"/>
        </w:trPr>
        <w:tc>
          <w:tcPr>
            <w:tcW w:w="4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74,347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56,618</w:t>
            </w:r>
          </w:p>
        </w:tc>
        <w:tc>
          <w:tcPr>
            <w:tcW w:w="8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Equipment under finance lease</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80" w:type="dxa"/>
            <w:vAlign w:val="bottom"/>
            <w:shd w:val="clear" w:color="auto" w:fill="CFF0FC"/>
          </w:tcPr>
          <w:p>
            <w:pPr>
              <w:spacing w:after="0"/>
              <w:rPr>
                <w:sz w:val="19"/>
                <w:szCs w:val="19"/>
                <w:color w:val="auto"/>
              </w:rPr>
            </w:pPr>
          </w:p>
        </w:tc>
      </w:tr>
      <w:tr>
        <w:trPr>
          <w:trHeight w:val="227"/>
        </w:trPr>
        <w:tc>
          <w:tcPr>
            <w:tcW w:w="4880" w:type="dxa"/>
            <w:vAlign w:val="bottom"/>
          </w:tcPr>
          <w:p>
            <w:pPr>
              <w:spacing w:after="0"/>
              <w:rPr>
                <w:sz w:val="20"/>
                <w:szCs w:val="20"/>
                <w:color w:val="auto"/>
              </w:rPr>
            </w:pPr>
            <w:r>
              <w:rPr>
                <w:rFonts w:ascii="Arial" w:cs="Arial" w:eastAsia="Arial" w:hAnsi="Arial"/>
                <w:sz w:val="18"/>
                <w:szCs w:val="18"/>
                <w:color w:val="auto"/>
              </w:rPr>
              <w:t>Internal-use software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7,770</w:t>
            </w:r>
          </w:p>
        </w:tc>
        <w:tc>
          <w:tcPr>
            <w:tcW w:w="8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3,728</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23,714</w:t>
            </w:r>
          </w:p>
        </w:tc>
        <w:tc>
          <w:tcPr>
            <w:tcW w:w="80" w:type="dxa"/>
            <w:vAlign w:val="bottom"/>
            <w:shd w:val="clear" w:color="auto" w:fill="CFF0FC"/>
          </w:tcPr>
          <w:p>
            <w:pPr>
              <w:spacing w:after="0"/>
              <w:rPr>
                <w:sz w:val="19"/>
                <w:szCs w:val="19"/>
                <w:color w:val="auto"/>
              </w:rPr>
            </w:pPr>
          </w:p>
        </w:tc>
      </w:tr>
      <w:tr>
        <w:trPr>
          <w:trHeight w:val="221"/>
        </w:trPr>
        <w:tc>
          <w:tcPr>
            <w:tcW w:w="488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138,883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132,728</w:t>
            </w:r>
          </w:p>
        </w:tc>
        <w:tc>
          <w:tcPr>
            <w:tcW w:w="8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(53,230)</w:t>
            </w: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(49,079)</w:t>
            </w:r>
          </w:p>
        </w:tc>
      </w:tr>
      <w:tr>
        <w:trPr>
          <w:trHeight w:val="221"/>
        </w:trPr>
        <w:tc>
          <w:tcPr>
            <w:tcW w:w="48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85,653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83,649</w:t>
            </w:r>
          </w:p>
        </w:tc>
        <w:tc>
          <w:tcPr>
            <w:tcW w:w="8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20" w:firstLine="749"/>
        <w:spacing w:after="0" w:line="272" w:lineRule="auto"/>
        <w:rPr>
          <w:sz w:val="20"/>
          <w:szCs w:val="20"/>
          <w:color w:val="auto"/>
        </w:rPr>
      </w:pPr>
      <w:r>
        <w:rPr>
          <w:rFonts w:ascii="Arial" w:cs="Arial" w:eastAsia="Arial" w:hAnsi="Arial"/>
          <w:sz w:val="18"/>
          <w:szCs w:val="18"/>
          <w:color w:val="auto"/>
        </w:rPr>
        <w:t>Depreciation and amortization expense on property and equipment was $4.7 million for the three months ended March 31, 2020 and $3.7 million for the three months ended March 31, 2019.</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Capitalized Software Development Costs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exclusive of those recorded within property and equipment, consisted of the following:</w:t>
      </w:r>
    </w:p>
    <w:p>
      <w:pPr>
        <w:spacing w:after="0" w:line="29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2019</w:t>
            </w:r>
          </w:p>
        </w:tc>
      </w:tr>
      <w:tr>
        <w:trPr>
          <w:trHeight w:val="154"/>
        </w:trPr>
        <w:tc>
          <w:tcPr>
            <w:tcW w:w="3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4"/>
          </w:tcPr>
          <w:p>
            <w:pPr>
              <w:jc w:val="right"/>
              <w:ind w:right="1035"/>
              <w:spacing w:after="0" w:line="154"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8"/>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Gross capitalized software development costs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67,074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61,641</w:t>
            </w:r>
          </w:p>
        </w:tc>
        <w:tc>
          <w:tcPr>
            <w:tcW w:w="80" w:type="dxa"/>
            <w:vAlign w:val="bottom"/>
            <w:shd w:val="clear" w:color="auto" w:fill="CFF0FC"/>
          </w:tcPr>
          <w:p>
            <w:pPr>
              <w:spacing w:after="0"/>
              <w:rPr>
                <w:sz w:val="19"/>
                <w:szCs w:val="19"/>
                <w:color w:val="auto"/>
              </w:rPr>
            </w:pPr>
          </w:p>
        </w:tc>
      </w:tr>
      <w:tr>
        <w:trPr>
          <w:trHeight w:val="228"/>
        </w:trPr>
        <w:tc>
          <w:tcPr>
            <w:tcW w:w="39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(48,248)</w:t>
            </w: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(44,848)</w:t>
            </w:r>
          </w:p>
        </w:tc>
      </w:tr>
      <w:tr>
        <w:trPr>
          <w:trHeight w:val="221"/>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Capitalized software development costs, net</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7" w:lineRule="exact"/>
        <w:rPr>
          <w:sz w:val="20"/>
          <w:szCs w:val="20"/>
          <w:color w:val="auto"/>
        </w:rPr>
      </w:pPr>
    </w:p>
    <w:p>
      <w:pPr>
        <w:ind w:right="40" w:firstLine="510"/>
        <w:spacing w:after="0" w:line="272" w:lineRule="auto"/>
        <w:rPr>
          <w:sz w:val="20"/>
          <w:szCs w:val="20"/>
          <w:color w:val="auto"/>
        </w:rPr>
      </w:pPr>
      <w:r>
        <w:rPr>
          <w:rFonts w:ascii="Arial" w:cs="Arial" w:eastAsia="Arial" w:hAnsi="Arial"/>
          <w:sz w:val="18"/>
          <w:szCs w:val="18"/>
          <w:color w:val="auto"/>
        </w:rPr>
        <w:t>These capitalized software development costs are associated with software developed for customer purchase. Capitalized software development costs recorded within property and equipment are associated with software developed for Company use.</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are amortized on a straight-line basis over their estimated useful life of two years.</w:t>
      </w:r>
    </w:p>
    <w:p>
      <w:pPr>
        <w:spacing w:after="0" w:line="249" w:lineRule="exact"/>
        <w:rPr>
          <w:sz w:val="20"/>
          <w:szCs w:val="20"/>
          <w:color w:val="auto"/>
        </w:rPr>
      </w:pPr>
    </w:p>
    <w:p>
      <w:pPr>
        <w:ind w:right="300" w:firstLine="510"/>
        <w:spacing w:after="0" w:line="272" w:lineRule="auto"/>
        <w:rPr>
          <w:sz w:val="20"/>
          <w:szCs w:val="20"/>
          <w:color w:val="auto"/>
        </w:rPr>
      </w:pPr>
      <w:r>
        <w:rPr>
          <w:rFonts w:ascii="Arial" w:cs="Arial" w:eastAsia="Arial" w:hAnsi="Arial"/>
          <w:sz w:val="18"/>
          <w:szCs w:val="18"/>
          <w:color w:val="auto"/>
        </w:rPr>
        <w:t>The following table summarizes software development costs capitalized, stock-based compensation included in capitalized software development costs, and amortization of capitalized software development costs.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March 31,</w:t>
            </w:r>
          </w:p>
        </w:tc>
      </w:tr>
      <w:tr>
        <w:trPr>
          <w:trHeight w:val="154"/>
        </w:trPr>
        <w:tc>
          <w:tcPr>
            <w:tcW w:w="4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40"/>
              <w:spacing w:after="0" w:line="154"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95"/>
              <w:spacing w:after="0" w:line="154"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4"/>
        </w:trPr>
        <w:tc>
          <w:tcPr>
            <w:tcW w:w="4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Software development costs capitalized</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5,433</w:t>
            </w:r>
          </w:p>
        </w:tc>
        <w:tc>
          <w:tcPr>
            <w:tcW w:w="52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80" w:type="dxa"/>
            <w:vAlign w:val="bottom"/>
            <w:shd w:val="clear" w:color="auto" w:fill="CFF0FC"/>
          </w:tcPr>
          <w:p>
            <w:pPr>
              <w:spacing w:after="0"/>
              <w:rPr>
                <w:sz w:val="19"/>
                <w:szCs w:val="19"/>
                <w:color w:val="auto"/>
              </w:rPr>
            </w:pPr>
          </w:p>
        </w:tc>
      </w:tr>
      <w:tr>
        <w:trPr>
          <w:trHeight w:val="214"/>
        </w:trPr>
        <w:tc>
          <w:tcPr>
            <w:tcW w:w="4720" w:type="dxa"/>
            <w:vAlign w:val="bottom"/>
          </w:tcPr>
          <w:p>
            <w:pPr>
              <w:spacing w:after="0"/>
              <w:rPr>
                <w:sz w:val="20"/>
                <w:szCs w:val="20"/>
                <w:color w:val="auto"/>
              </w:rPr>
            </w:pPr>
            <w:r>
              <w:rPr>
                <w:rFonts w:ascii="Arial" w:cs="Arial" w:eastAsia="Arial" w:hAnsi="Arial"/>
                <w:sz w:val="18"/>
                <w:szCs w:val="18"/>
                <w:color w:val="auto"/>
                <w:w w:val="99"/>
              </w:rPr>
              <w:t>Stock-based compensation included in capitalized software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4720" w:type="dxa"/>
            <w:vAlign w:val="bottom"/>
          </w:tcPr>
          <w:p>
            <w:pPr>
              <w:spacing w:after="0"/>
              <w:rPr>
                <w:sz w:val="20"/>
                <w:szCs w:val="20"/>
                <w:color w:val="auto"/>
              </w:rPr>
            </w:pPr>
            <w:r>
              <w:rPr>
                <w:rFonts w:ascii="Arial" w:cs="Arial" w:eastAsia="Arial" w:hAnsi="Arial"/>
                <w:sz w:val="18"/>
                <w:szCs w:val="18"/>
                <w:color w:val="auto"/>
              </w:rPr>
              <w:t>development costs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838</w:t>
            </w:r>
          </w:p>
        </w:tc>
        <w:tc>
          <w:tcPr>
            <w:tcW w:w="52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3,475</w:t>
            </w:r>
          </w:p>
        </w:tc>
        <w:tc>
          <w:tcPr>
            <w:tcW w:w="520" w:type="dxa"/>
            <w:vAlign w:val="bottom"/>
            <w:shd w:val="clear" w:color="auto" w:fill="CFF0FC"/>
          </w:tcPr>
          <w:p>
            <w:pPr>
              <w:jc w:val="right"/>
              <w:ind w:right="25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8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0.25% Convertible Senior Notes, Convertible Note Hedge and Warrant</w:t>
      </w:r>
    </w:p>
    <w:p>
      <w:pPr>
        <w:spacing w:after="0" w:line="226" w:lineRule="exact"/>
        <w:rPr>
          <w:sz w:val="20"/>
          <w:szCs w:val="20"/>
          <w:color w:val="auto"/>
        </w:rPr>
      </w:pPr>
    </w:p>
    <w:p>
      <w:pPr>
        <w:ind w:firstLine="667"/>
        <w:spacing w:after="0" w:line="287" w:lineRule="auto"/>
        <w:rPr>
          <w:sz w:val="20"/>
          <w:szCs w:val="20"/>
          <w:color w:val="auto"/>
        </w:rPr>
      </w:pPr>
      <w:r>
        <w:rPr>
          <w:rFonts w:ascii="Arial" w:cs="Arial" w:eastAsia="Arial" w:hAnsi="Arial"/>
          <w:sz w:val="16"/>
          <w:szCs w:val="16"/>
          <w:color w:val="auto"/>
        </w:rPr>
        <w:t>In May 2017, the Company issued $350 million aggregate principal amount of 0.25% convertible senior notes due June 1, 2022 in a private offering and an additional $50 million aggregate principal amount of such notes pursuant to the exercise in full of the over-allotment options of the initial purchasers (the “2022 Notes”). The 2022 Notes are convertible at the option of the holders prior to the close of business on the business day immediately preceding February 1, 2022 under certain conditions or upon the occurrence of certain events. Upon conversion, the Company will pay or deliver, as the case may be, cash, shares of the Company’s common stock or a combination of cash and shares of the Company’s common stock, at the Company’s election. Because the last reported sale price of the Company’s common stock for at least 20 trading days during the period of 30 consecutive trading days ending on the last trading day of the calendar quarter ended March 31, 2020 was equal to or greater than 130% of the applicable conversion price on each applicable trading day, the 2022 Notes are convertible at the option of the holders thereof during the calendar quarter ending June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4" w:name="page15"/>
    <w:bookmarkEnd w:id="14"/>
    <w:p>
      <w:pPr>
        <w:ind w:right="80"/>
        <w:spacing w:after="0" w:line="260" w:lineRule="auto"/>
        <w:rPr>
          <w:sz w:val="20"/>
          <w:szCs w:val="20"/>
          <w:color w:val="auto"/>
        </w:rPr>
      </w:pPr>
      <w:r>
        <w:rPr>
          <w:rFonts w:ascii="Arial" w:cs="Arial" w:eastAsia="Arial" w:hAnsi="Arial"/>
          <w:sz w:val="18"/>
          <w:szCs w:val="18"/>
          <w:color w:val="auto"/>
        </w:rPr>
        <w:t>30, 2020. In the first quarter of 2020, the Company settled $2 thousand of the principal balance of the 2022 Notes in cash. As of May 1, 2020, the Company has received conversion notices for approximately $2 thousand of the principal balance of the 2022 Notes, which will be settled in cash during the quarter ended June 30, 2020.</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net carrying amount of the liability component of the 2022 Notes is as follows:</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As of March 31,</w:t>
            </w:r>
          </w:p>
        </w:tc>
        <w:tc>
          <w:tcPr>
            <w:tcW w:w="80" w:type="dxa"/>
            <w:vAlign w:val="bottom"/>
          </w:tcPr>
          <w:p>
            <w:pPr>
              <w:spacing w:after="0"/>
              <w:rPr>
                <w:sz w:val="14"/>
                <w:szCs w:val="14"/>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70"/>
        </w:trPr>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40" w:type="dxa"/>
            <w:vAlign w:val="bottom"/>
            <w:gridSpan w:val="8"/>
          </w:tcPr>
          <w:p>
            <w:pPr>
              <w:jc w:val="right"/>
              <w:ind w:right="136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Principal</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399,990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399,992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Unamortized debt discount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(49,992)</w:t>
            </w:r>
          </w:p>
        </w:tc>
        <w:tc>
          <w:tcPr>
            <w:tcW w:w="80" w:type="dxa"/>
            <w:vAlign w:val="bottom"/>
          </w:tcPr>
          <w:p>
            <w:pPr>
              <w:spacing w:after="0"/>
              <w:rPr>
                <w:sz w:val="19"/>
                <w:szCs w:val="19"/>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(55,299)</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Unamortized issuance costs</w:t>
            </w: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2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(3,733)</w:t>
            </w:r>
          </w:p>
        </w:tc>
        <w:tc>
          <w:tcPr>
            <w:tcW w:w="8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21"/>
        </w:trPr>
        <w:tc>
          <w:tcPr>
            <w:tcW w:w="5340" w:type="dxa"/>
            <w:vAlign w:val="bottom"/>
            <w:gridSpan w:val="3"/>
          </w:tcPr>
          <w:p>
            <w:pPr>
              <w:ind w:left="520"/>
              <w:spacing w:after="0"/>
              <w:rPr>
                <w:sz w:val="20"/>
                <w:szCs w:val="20"/>
                <w:color w:val="auto"/>
              </w:rPr>
            </w:pPr>
            <w:r>
              <w:rPr>
                <w:rFonts w:ascii="Arial" w:cs="Arial" w:eastAsia="Arial" w:hAnsi="Arial"/>
                <w:sz w:val="18"/>
                <w:szCs w:val="18"/>
                <w:color w:val="auto"/>
              </w:rPr>
              <w:t>Net carrying amount</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346,265</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340,564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spacing w:after="0"/>
              <w:rPr>
                <w:sz w:val="20"/>
                <w:szCs w:val="20"/>
                <w:color w:val="auto"/>
              </w:rPr>
            </w:pPr>
            <w:r>
              <w:rPr>
                <w:rFonts w:ascii="Arial" w:cs="Arial" w:eastAsia="Arial" w:hAnsi="Arial"/>
                <w:sz w:val="18"/>
                <w:szCs w:val="18"/>
                <w:color w:val="auto"/>
              </w:rPr>
              <w:t>Interest expense related to the 2022 Notes is as follows:</w:t>
            </w: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34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10"/>
          </w:tcPr>
          <w:p>
            <w:pPr>
              <w:jc w:val="right"/>
              <w:ind w:right="132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500" w:type="dxa"/>
            <w:vAlign w:val="bottom"/>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560" w:type="dxa"/>
            <w:vAlign w:val="bottom"/>
            <w:gridSpan w:val="3"/>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5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 w:type="dxa"/>
            <w:vAlign w:val="bottom"/>
          </w:tcPr>
          <w:p>
            <w:pPr>
              <w:spacing w:after="0"/>
              <w:rPr>
                <w:sz w:val="19"/>
                <w:szCs w:val="19"/>
                <w:color w:val="auto"/>
              </w:rPr>
            </w:pPr>
          </w:p>
        </w:tc>
        <w:tc>
          <w:tcPr>
            <w:tcW w:w="4820" w:type="dxa"/>
            <w:vAlign w:val="bottom"/>
            <w:gridSpan w:val="2"/>
          </w:tcPr>
          <w:p>
            <w:pPr>
              <w:ind w:left="500"/>
              <w:spacing w:after="0"/>
              <w:rPr>
                <w:sz w:val="20"/>
                <w:szCs w:val="20"/>
                <w:color w:val="auto"/>
              </w:rPr>
            </w:pPr>
            <w:r>
              <w:rPr>
                <w:rFonts w:ascii="Arial" w:cs="Arial" w:eastAsia="Arial" w:hAnsi="Arial"/>
                <w:sz w:val="18"/>
                <w:szCs w:val="18"/>
                <w:color w:val="auto"/>
              </w:rPr>
              <w:t>Total interest expense</w:t>
            </w: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left="540" w:right="8520" w:hanging="533"/>
        <w:spacing w:after="0" w:line="450" w:lineRule="auto"/>
        <w:tabs>
          <w:tab w:leader="none" w:pos="179"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Contractual Obligations</w:t>
      </w:r>
    </w:p>
    <w:p>
      <w:pPr>
        <w:spacing w:after="0" w:line="1" w:lineRule="exact"/>
        <w:rPr>
          <w:sz w:val="20"/>
          <w:szCs w:val="20"/>
          <w:color w:val="auto"/>
        </w:rPr>
      </w:pPr>
    </w:p>
    <w:p>
      <w:pPr>
        <w:ind w:right="20" w:firstLine="540"/>
        <w:spacing w:after="0" w:line="273" w:lineRule="auto"/>
        <w:rPr>
          <w:sz w:val="20"/>
          <w:szCs w:val="20"/>
          <w:color w:val="auto"/>
        </w:rPr>
      </w:pPr>
      <w:r>
        <w:rPr>
          <w:rFonts w:ascii="Arial" w:cs="Arial" w:eastAsia="Arial" w:hAnsi="Arial"/>
          <w:sz w:val="17"/>
          <w:szCs w:val="17"/>
          <w:color w:val="auto"/>
        </w:rPr>
        <w:t>The Company leases its office facilities under non-cancelable operating leases that expire at various dates through May 2031. Lease expense for non-cancelable operating leases with free rental periods or scheduled rent increases is recognized on a straight-line basis over the terms of the leases. Improvement reimbursements from landlords of $17.6 million are being amortized on a straight-line basis into lease expense over the terms of the leases. Certain leases contain optional termination dates. The table below only includes payments up to the optional termination date. If the Company were to extend leases beyond the optional termination date, the future commitments would increase by approximately $81.4 million.</w:t>
      </w:r>
    </w:p>
    <w:p>
      <w:pPr>
        <w:spacing w:after="0" w:line="68" w:lineRule="exact"/>
        <w:rPr>
          <w:sz w:val="20"/>
          <w:szCs w:val="20"/>
          <w:color w:val="auto"/>
        </w:rPr>
      </w:pPr>
    </w:p>
    <w:p>
      <w:pPr>
        <w:ind w:right="300" w:firstLine="540"/>
        <w:spacing w:after="0" w:line="272" w:lineRule="auto"/>
        <w:rPr>
          <w:sz w:val="20"/>
          <w:szCs w:val="20"/>
          <w:color w:val="auto"/>
        </w:rPr>
      </w:pPr>
      <w:r>
        <w:rPr>
          <w:rFonts w:ascii="Arial" w:cs="Arial" w:eastAsia="Arial" w:hAnsi="Arial"/>
          <w:sz w:val="18"/>
          <w:szCs w:val="18"/>
          <w:color w:val="auto"/>
        </w:rPr>
        <w:t>Included in the table below are operating lease commitments for leases that have not yet commenced of approximately $66.6 million for facilities with maximum lease terms of approximately 9 years in the United States and 10 years in Germany.</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all operating and finance lease agreements as of March 31, 2020 are as follows:</w:t>
      </w:r>
    </w:p>
    <w:p>
      <w:pPr>
        <w:spacing w:after="0" w:line="80"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Operating</w:t>
            </w:r>
          </w:p>
        </w:tc>
      </w:tr>
      <w:tr>
        <w:trPr>
          <w:trHeight w:val="154"/>
        </w:trPr>
        <w:tc>
          <w:tcPr>
            <w:tcW w:w="6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215"/>
              <w:spacing w:after="0" w:line="154"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3"/>
                <w:szCs w:val="13"/>
                <w:color w:val="auto"/>
              </w:rPr>
            </w:pPr>
          </w:p>
        </w:tc>
      </w:tr>
      <w:tr>
        <w:trPr>
          <w:trHeight w:val="228"/>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32,664</w:t>
            </w:r>
          </w:p>
        </w:tc>
        <w:tc>
          <w:tcPr>
            <w:tcW w:w="80" w:type="dxa"/>
            <w:vAlign w:val="bottom"/>
            <w:shd w:val="clear" w:color="auto" w:fill="CFF0FC"/>
          </w:tcPr>
          <w:p>
            <w:pPr>
              <w:spacing w:after="0"/>
              <w:rPr>
                <w:sz w:val="19"/>
                <w:szCs w:val="19"/>
                <w:color w:val="auto"/>
              </w:rPr>
            </w:pPr>
          </w:p>
        </w:tc>
      </w:tr>
      <w:tr>
        <w:trPr>
          <w:trHeight w:val="227"/>
        </w:trPr>
        <w:tc>
          <w:tcPr>
            <w:tcW w:w="634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48,993</w:t>
            </w:r>
          </w:p>
        </w:tc>
        <w:tc>
          <w:tcPr>
            <w:tcW w:w="8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48,433</w:t>
            </w:r>
          </w:p>
        </w:tc>
        <w:tc>
          <w:tcPr>
            <w:tcW w:w="80" w:type="dxa"/>
            <w:vAlign w:val="bottom"/>
            <w:shd w:val="clear" w:color="auto" w:fill="CFF0FC"/>
          </w:tcPr>
          <w:p>
            <w:pPr>
              <w:spacing w:after="0"/>
              <w:rPr>
                <w:sz w:val="19"/>
                <w:szCs w:val="19"/>
                <w:color w:val="auto"/>
              </w:rPr>
            </w:pPr>
          </w:p>
        </w:tc>
      </w:tr>
      <w:tr>
        <w:trPr>
          <w:trHeight w:val="227"/>
        </w:trPr>
        <w:tc>
          <w:tcPr>
            <w:tcW w:w="634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48,101</w:t>
            </w:r>
          </w:p>
        </w:tc>
        <w:tc>
          <w:tcPr>
            <w:tcW w:w="8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46,892</w:t>
            </w:r>
          </w:p>
        </w:tc>
        <w:tc>
          <w:tcPr>
            <w:tcW w:w="80" w:type="dxa"/>
            <w:vAlign w:val="bottom"/>
            <w:shd w:val="clear" w:color="auto" w:fill="CFF0FC"/>
          </w:tcPr>
          <w:p>
            <w:pPr>
              <w:spacing w:after="0"/>
              <w:rPr>
                <w:sz w:val="19"/>
                <w:szCs w:val="19"/>
                <w:color w:val="auto"/>
              </w:rPr>
            </w:pPr>
          </w:p>
        </w:tc>
      </w:tr>
      <w:tr>
        <w:trPr>
          <w:trHeight w:val="228"/>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177,527</w:t>
            </w:r>
          </w:p>
        </w:tc>
        <w:tc>
          <w:tcPr>
            <w:tcW w:w="80" w:type="dxa"/>
            <w:vAlign w:val="bottom"/>
            <w:tcBorders>
              <w:bottom w:val="single" w:sz="8" w:color="CFF0FC"/>
            </w:tcBorders>
          </w:tcPr>
          <w:p>
            <w:pPr>
              <w:spacing w:after="0"/>
              <w:rPr>
                <w:sz w:val="19"/>
                <w:szCs w:val="19"/>
                <w:color w:val="auto"/>
              </w:rPr>
            </w:pPr>
          </w:p>
        </w:tc>
      </w:tr>
      <w:tr>
        <w:trPr>
          <w:trHeight w:val="221"/>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402,610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3" w:lineRule="exact"/>
        <w:rPr>
          <w:sz w:val="20"/>
          <w:szCs w:val="20"/>
          <w:color w:val="auto"/>
        </w:rPr>
      </w:pPr>
    </w:p>
    <w:p>
      <w:pPr>
        <w:ind w:right="420" w:firstLine="540"/>
        <w:spacing w:after="0" w:line="302" w:lineRule="auto"/>
        <w:rPr>
          <w:sz w:val="20"/>
          <w:szCs w:val="20"/>
          <w:color w:val="auto"/>
        </w:rPr>
      </w:pPr>
      <w:r>
        <w:rPr>
          <w:rFonts w:ascii="Arial" w:cs="Arial" w:eastAsia="Arial" w:hAnsi="Arial"/>
          <w:sz w:val="17"/>
          <w:szCs w:val="17"/>
          <w:color w:val="auto"/>
        </w:rPr>
        <w:t>The Company leases its office facilities under non-cancelable operating leases. Unused spaces are subleased to third parties. Operating sublease income generated under all operating lease agreements for the three months ended March 31, 2020 and 2019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680" w:type="dxa"/>
            <w:vAlign w:val="bottom"/>
          </w:tcPr>
          <w:p>
            <w:pPr>
              <w:spacing w:after="0"/>
              <w:rPr>
                <w:sz w:val="14"/>
                <w:szCs w:val="14"/>
                <w:color w:val="auto"/>
              </w:rPr>
            </w:pPr>
          </w:p>
        </w:tc>
      </w:tr>
      <w:tr>
        <w:trPr>
          <w:trHeight w:val="154"/>
        </w:trPr>
        <w:tc>
          <w:tcPr>
            <w:tcW w:w="17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84"/>
              <w:spacing w:after="0" w:line="154"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00"/>
              <w:spacing w:after="0" w:line="154"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4"/>
        </w:trPr>
        <w:tc>
          <w:tcPr>
            <w:tcW w:w="17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ind w:left="620"/>
              <w:spacing w:after="0" w:line="154" w:lineRule="exact"/>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28"/>
        </w:trPr>
        <w:tc>
          <w:tcPr>
            <w:tcW w:w="170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Operating sublease income</w:t>
            </w:r>
          </w:p>
        </w:tc>
        <w:tc>
          <w:tcPr>
            <w:tcW w:w="2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1,354</w:t>
            </w:r>
          </w:p>
        </w:tc>
        <w:tc>
          <w:tcPr>
            <w:tcW w:w="40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749"/>
        </w:trPr>
        <w:tc>
          <w:tcPr>
            <w:tcW w:w="1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60" w:type="dxa"/>
            <w:vAlign w:val="bottom"/>
          </w:tcPr>
          <w:p>
            <w:pPr>
              <w:jc w:val="right"/>
              <w:ind w:right="1231"/>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6"/>
        </w:trPr>
        <w:tc>
          <w:tcPr>
            <w:tcW w:w="17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5" w:name="page16"/>
    <w:bookmarkEnd w:id="15"/>
    <w:p>
      <w:pPr>
        <w:ind w:right="240" w:firstLine="510"/>
        <w:spacing w:after="0" w:line="260" w:lineRule="auto"/>
        <w:rPr>
          <w:sz w:val="20"/>
          <w:szCs w:val="20"/>
          <w:color w:val="auto"/>
        </w:rPr>
      </w:pPr>
      <w:r>
        <w:rPr>
          <w:rFonts w:ascii="Arial" w:cs="Arial" w:eastAsia="Arial" w:hAnsi="Arial"/>
          <w:sz w:val="18"/>
          <w:szCs w:val="18"/>
          <w:color w:val="auto"/>
        </w:rPr>
        <w:t>As of March 31, 2020, there were no material changes in our vendor commitments under non-cancelable arrangements, as disclosed in the Company’s audited consolidated financial statements for the year ended December 31, 2019 and related notes thereto contained in the Company’s Annual Report on Form 10-K.</w:t>
      </w:r>
    </w:p>
    <w:p>
      <w:pPr>
        <w:spacing w:after="0" w:line="252" w:lineRule="exact"/>
        <w:rPr>
          <w:sz w:val="20"/>
          <w:szCs w:val="20"/>
          <w:color w:val="auto"/>
        </w:rPr>
      </w:pPr>
    </w:p>
    <w:p>
      <w:pPr>
        <w:ind w:right="100" w:firstLine="510"/>
        <w:spacing w:after="0" w:line="272" w:lineRule="auto"/>
        <w:rPr>
          <w:sz w:val="20"/>
          <w:szCs w:val="20"/>
          <w:color w:val="auto"/>
        </w:rPr>
      </w:pPr>
      <w:r>
        <w:rPr>
          <w:rFonts w:ascii="Arial" w:cs="Arial" w:eastAsia="Arial" w:hAnsi="Arial"/>
          <w:sz w:val="18"/>
          <w:szCs w:val="18"/>
          <w:color w:val="auto"/>
        </w:rPr>
        <w:t xml:space="preserve">Subsequent to March 31, 2020, the Company extended a vendor commitment with an incremental three year contractual obligation of approximately </w:t>
      </w:r>
      <w:r>
        <w:rPr>
          <w:rFonts w:ascii="Arial" w:cs="Arial" w:eastAsia="Arial" w:hAnsi="Arial"/>
          <w:sz w:val="18"/>
          <w:szCs w:val="18"/>
          <w:color w:val="212529"/>
        </w:rPr>
        <w:t>$24 million, payable over the remaining three year term of the amended agreement.</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5" w:lineRule="exact"/>
        <w:rPr>
          <w:sz w:val="20"/>
          <w:szCs w:val="20"/>
          <w:color w:val="auto"/>
        </w:rPr>
      </w:pPr>
    </w:p>
    <w:p>
      <w:pPr>
        <w:ind w:right="100" w:firstLine="510"/>
        <w:spacing w:after="0" w:line="260" w:lineRule="auto"/>
        <w:rPr>
          <w:sz w:val="20"/>
          <w:szCs w:val="20"/>
          <w:color w:val="auto"/>
        </w:rPr>
      </w:pPr>
      <w:r>
        <w:rPr>
          <w:rFonts w:ascii="Arial" w:cs="Arial" w:eastAsia="Arial" w:hAnsi="Arial"/>
          <w:sz w:val="18"/>
          <w:szCs w:val="18"/>
          <w:color w:val="212529"/>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Changes in Stockholders’ Equity</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changes in stockholders’ equity for the three months ended March 31, 2020 and 2019.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40" w:type="dxa"/>
            <w:vAlign w:val="bottom"/>
            <w:gridSpan w:val="5"/>
          </w:tcPr>
          <w:p>
            <w:pPr>
              <w:jc w:val="center"/>
              <w:ind w:left="137"/>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40" w:type="dxa"/>
            <w:vAlign w:val="bottom"/>
            <w:gridSpan w:val="5"/>
          </w:tcPr>
          <w:p>
            <w:pPr>
              <w:jc w:val="center"/>
              <w:ind w:left="137"/>
              <w:spacing w:after="0" w:line="147" w:lineRule="exact"/>
              <w:rPr>
                <w:sz w:val="20"/>
                <w:szCs w:val="20"/>
                <w:color w:val="auto"/>
              </w:rPr>
            </w:pPr>
            <w:r>
              <w:rPr>
                <w:rFonts w:ascii="Arial" w:cs="Arial" w:eastAsia="Arial" w:hAnsi="Arial"/>
                <w:sz w:val="14"/>
                <w:szCs w:val="14"/>
                <w:b w:val="1"/>
                <w:bCs w:val="1"/>
                <w:color w:val="auto"/>
                <w:w w:val="90"/>
              </w:rPr>
              <w:t>Stock, $0.001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40"/>
              <w:spacing w:after="0" w:line="147" w:lineRule="exact"/>
              <w:rPr>
                <w:sz w:val="20"/>
                <w:szCs w:val="20"/>
                <w:color w:val="auto"/>
              </w:rPr>
            </w:pPr>
            <w:r>
              <w:rPr>
                <w:rFonts w:ascii="Arial" w:cs="Arial" w:eastAsia="Arial" w:hAnsi="Arial"/>
                <w:sz w:val="14"/>
                <w:szCs w:val="14"/>
                <w:b w:val="1"/>
                <w:bCs w:val="1"/>
                <w:color w:val="auto"/>
              </w:rPr>
              <w:t>Other</w:t>
            </w:r>
          </w:p>
        </w:tc>
        <w:tc>
          <w:tcPr>
            <w:tcW w:w="1200" w:type="dxa"/>
            <w:vAlign w:val="bottom"/>
            <w:gridSpan w:val="5"/>
            <w:vMerge w:val="restart"/>
          </w:tcPr>
          <w:p>
            <w:pPr>
              <w:jc w:val="right"/>
              <w:ind w:right="242"/>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40" w:type="dxa"/>
            <w:vAlign w:val="bottom"/>
            <w:tcBorders>
              <w:bottom w:val="single" w:sz="8" w:color="auto"/>
            </w:tcBorders>
            <w:gridSpan w:val="5"/>
          </w:tcPr>
          <w:p>
            <w:pPr>
              <w:jc w:val="center"/>
              <w:ind w:left="137"/>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12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Balances at December 31, 2019</w:t>
            </w:r>
          </w:p>
        </w:tc>
        <w:tc>
          <w:tcPr>
            <w:tcW w:w="960" w:type="dxa"/>
            <w:vAlign w:val="bottom"/>
            <w:gridSpan w:val="2"/>
          </w:tcPr>
          <w:p>
            <w:pPr>
              <w:jc w:val="right"/>
              <w:ind w:right="280"/>
              <w:spacing w:after="0" w:line="154"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40"/>
              <w:spacing w:after="0" w:line="154"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4"/>
          </w:tcPr>
          <w:p>
            <w:pPr>
              <w:jc w:val="center"/>
              <w:ind w:right="240"/>
              <w:spacing w:after="0" w:line="154" w:lineRule="exact"/>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442"/>
              <w:spacing w:after="0" w:line="154" w:lineRule="exact"/>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right"/>
              <w:ind w:right="480"/>
              <w:spacing w:after="0" w:line="154"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1"/>
        </w:trPr>
        <w:tc>
          <w:tcPr>
            <w:tcW w:w="4160" w:type="dxa"/>
            <w:vAlign w:val="bottom"/>
            <w:gridSpan w:val="2"/>
            <w:vMerge w:val="continue"/>
          </w:tcPr>
          <w:p>
            <w:pPr>
              <w:spacing w:after="0"/>
              <w:rPr>
                <w:sz w:val="19"/>
                <w:szCs w:val="19"/>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42,955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top w:val="single" w:sz="8" w:color="auto"/>
            </w:tcBorders>
          </w:tcPr>
          <w:p>
            <w:pPr>
              <w:jc w:val="right"/>
              <w:ind w:right="58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44</w:t>
            </w: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1,048,380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(398,130)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649,958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Issuance of common stock under stock</w:t>
            </w: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plans, net of shares withheld for</w:t>
            </w: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employee taxes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27,905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16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w w:val="94"/>
              </w:rPr>
              <w:t>Unrealized gain on investments, net of income taxes of</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20" w:type="dxa"/>
            <w:vAlign w:val="bottom"/>
          </w:tcPr>
          <w:p>
            <w:pPr>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16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(17,716)</w:t>
            </w:r>
          </w:p>
        </w:tc>
        <w:tc>
          <w:tcPr>
            <w:tcW w:w="0" w:type="dxa"/>
            <w:vAlign w:val="bottom"/>
          </w:tcPr>
          <w:p>
            <w:pPr>
              <w:spacing w:after="0"/>
              <w:rPr>
                <w:sz w:val="1"/>
                <w:szCs w:val="1"/>
                <w:color w:val="auto"/>
              </w:rPr>
            </w:pPr>
          </w:p>
        </w:tc>
      </w:tr>
      <w:tr>
        <w:trPr>
          <w:trHeight w:val="221"/>
        </w:trPr>
        <w:tc>
          <w:tcPr>
            <w:tcW w:w="4160" w:type="dxa"/>
            <w:vAlign w:val="bottom"/>
            <w:gridSpan w:val="2"/>
          </w:tcPr>
          <w:p>
            <w:pPr>
              <w:spacing w:after="0"/>
              <w:rPr>
                <w:sz w:val="20"/>
                <w:szCs w:val="20"/>
                <w:color w:val="auto"/>
              </w:rPr>
            </w:pPr>
            <w:r>
              <w:rPr>
                <w:rFonts w:ascii="Arial" w:cs="Arial" w:eastAsia="Arial" w:hAnsi="Arial"/>
                <w:sz w:val="18"/>
                <w:szCs w:val="18"/>
                <w:color w:val="auto"/>
              </w:rPr>
              <w:t>Balances at March 31, 2020</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43,366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44</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1,077,605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(415,846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660,973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gridSpan w:val="5"/>
          </w:tcPr>
          <w:p>
            <w:pPr>
              <w:jc w:val="center"/>
              <w:ind w:left="77"/>
              <w:spacing w:after="0"/>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40" w:type="dxa"/>
            <w:vAlign w:val="bottom"/>
            <w:gridSpan w:val="5"/>
          </w:tcPr>
          <w:p>
            <w:pPr>
              <w:jc w:val="center"/>
              <w:ind w:left="77"/>
              <w:spacing w:after="0" w:line="147" w:lineRule="exact"/>
              <w:rPr>
                <w:sz w:val="20"/>
                <w:szCs w:val="20"/>
                <w:color w:val="auto"/>
              </w:rPr>
            </w:pPr>
            <w:r>
              <w:rPr>
                <w:rFonts w:ascii="Arial" w:cs="Arial" w:eastAsia="Arial" w:hAnsi="Arial"/>
                <w:sz w:val="14"/>
                <w:szCs w:val="14"/>
                <w:b w:val="1"/>
                <w:bCs w:val="1"/>
                <w:color w:val="auto"/>
                <w:w w:val="92"/>
              </w:rPr>
              <w:t>Stock, $0.001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80" w:type="dxa"/>
            <w:vAlign w:val="bottom"/>
            <w:gridSpan w:val="4"/>
            <w:vMerge w:val="restart"/>
          </w:tcPr>
          <w:p>
            <w:pPr>
              <w:jc w:val="right"/>
              <w:ind w:right="122"/>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left="57"/>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right"/>
              <w:ind w:right="320"/>
              <w:spacing w:after="0" w:line="154"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60"/>
              <w:spacing w:after="0" w:line="154"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220"/>
              <w:spacing w:after="0" w:line="154" w:lineRule="exact"/>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322"/>
              <w:spacing w:after="0" w:line="154"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right"/>
              <w:ind w:right="420"/>
              <w:spacing w:after="0" w:line="154"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1"/>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2018</w:t>
            </w:r>
          </w:p>
        </w:tc>
        <w:tc>
          <w:tcPr>
            <w:tcW w:w="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39,300</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ind w:right="62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40</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589,708</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(344,384)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244,641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rPr>
              <w:t>Issuance of common stock under stock</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plans, net of shares withheld for</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employee taxes</w:t>
            </w:r>
          </w:p>
        </w:tc>
        <w:tc>
          <w:tcPr>
            <w:tcW w:w="920" w:type="dxa"/>
            <w:vAlign w:val="bottom"/>
          </w:tcPr>
          <w:p>
            <w:pPr>
              <w:jc w:val="right"/>
              <w:spacing w:after="0"/>
              <w:rPr>
                <w:sz w:val="20"/>
                <w:szCs w:val="20"/>
                <w:color w:val="auto"/>
              </w:rPr>
            </w:pPr>
            <w:r>
              <w:rPr>
                <w:rFonts w:ascii="Arial" w:cs="Arial" w:eastAsia="Arial" w:hAnsi="Arial"/>
                <w:sz w:val="18"/>
                <w:szCs w:val="18"/>
                <w:color w:val="auto"/>
              </w:rPr>
              <w:t>440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Issuance of common stock in relation to</w:t>
            </w: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 offering, net of offering costs</w:t>
            </w: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incurred $365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342,628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342,630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4"/>
        </w:trPr>
        <w:tc>
          <w:tcPr>
            <w:tcW w:w="4160" w:type="dxa"/>
            <w:vAlign w:val="bottom"/>
            <w:gridSpan w:val="2"/>
          </w:tcPr>
          <w:p>
            <w:pPr>
              <w:spacing w:after="0"/>
              <w:rPr>
                <w:sz w:val="20"/>
                <w:szCs w:val="20"/>
                <w:color w:val="auto"/>
              </w:rPr>
            </w:pPr>
            <w:r>
              <w:rPr>
                <w:rFonts w:ascii="Arial" w:cs="Arial" w:eastAsia="Arial" w:hAnsi="Arial"/>
                <w:sz w:val="18"/>
                <w:szCs w:val="18"/>
                <w:color w:val="auto"/>
              </w:rPr>
              <w:t>Unrealized gain on investments, net of income</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60" w:type="dxa"/>
            <w:vAlign w:val="bottom"/>
            <w:gridSpan w:val="2"/>
          </w:tcPr>
          <w:p>
            <w:pPr>
              <w:ind w:left="140"/>
              <w:spacing w:after="0"/>
              <w:rPr>
                <w:sz w:val="20"/>
                <w:szCs w:val="20"/>
                <w:color w:val="auto"/>
              </w:rPr>
            </w:pPr>
            <w:r>
              <w:rPr>
                <w:rFonts w:ascii="Arial" w:cs="Arial" w:eastAsia="Arial" w:hAnsi="Arial"/>
                <w:sz w:val="18"/>
                <w:szCs w:val="18"/>
                <w:color w:val="auto"/>
              </w:rPr>
              <w:t>taxes of $113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4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(11,100)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21"/>
        </w:trPr>
        <w:tc>
          <w:tcPr>
            <w:tcW w:w="4120" w:type="dxa"/>
            <w:vAlign w:val="bottom"/>
          </w:tcPr>
          <w:p>
            <w:pPr>
              <w:spacing w:after="0"/>
              <w:rPr>
                <w:sz w:val="20"/>
                <w:szCs w:val="20"/>
                <w:color w:val="auto"/>
              </w:rPr>
            </w:pPr>
            <w:r>
              <w:rPr>
                <w:rFonts w:ascii="Arial" w:cs="Arial" w:eastAsia="Arial" w:hAnsi="Arial"/>
                <w:sz w:val="18"/>
                <w:szCs w:val="18"/>
                <w:color w:val="auto"/>
              </w:rPr>
              <w:t>Balances at March 31, 2019</w:t>
            </w:r>
          </w:p>
        </w:tc>
        <w:tc>
          <w:tcPr>
            <w:tcW w:w="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41,891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955,045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(355,484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599,003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 Changes in Accumulated Other Comprehensive Loss</w:t>
      </w:r>
    </w:p>
    <w:p>
      <w:pPr>
        <w:spacing w:after="0" w:line="119" w:lineRule="exact"/>
        <w:rPr>
          <w:sz w:val="20"/>
          <w:szCs w:val="20"/>
          <w:color w:val="auto"/>
        </w:rPr>
      </w:pPr>
    </w:p>
    <w:p>
      <w:pPr>
        <w:ind w:right="40" w:firstLine="510"/>
        <w:spacing w:after="0" w:line="272" w:lineRule="auto"/>
        <w:rPr>
          <w:sz w:val="20"/>
          <w:szCs w:val="20"/>
          <w:color w:val="auto"/>
        </w:rPr>
      </w:pPr>
      <w:r>
        <w:rPr>
          <w:rFonts w:ascii="Arial" w:cs="Arial" w:eastAsia="Arial" w:hAnsi="Arial"/>
          <w:sz w:val="18"/>
          <w:szCs w:val="18"/>
          <w:color w:val="auto"/>
        </w:rPr>
        <w:t>The following table summarizes the changes in accumulated other comprehensive loss, which is reported as a component of stockholders’ equity, for the three months ended March 31, 2020.</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Cumulative</w:t>
            </w:r>
          </w:p>
        </w:tc>
        <w:tc>
          <w:tcPr>
            <w:tcW w:w="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Unrealized Gain</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400"/>
              <w:spacing w:after="0" w:line="147" w:lineRule="exact"/>
              <w:rPr>
                <w:sz w:val="20"/>
                <w:szCs w:val="20"/>
                <w:color w:val="auto"/>
              </w:rPr>
            </w:pPr>
            <w:r>
              <w:rPr>
                <w:rFonts w:ascii="Arial" w:cs="Arial" w:eastAsia="Arial" w:hAnsi="Arial"/>
                <w:sz w:val="14"/>
                <w:szCs w:val="14"/>
                <w:b w:val="1"/>
                <w:bCs w:val="1"/>
                <w:color w:val="auto"/>
                <w:w w:val="95"/>
              </w:rPr>
              <w:t>Translation</w:t>
            </w:r>
          </w:p>
        </w:tc>
        <w:tc>
          <w:tcPr>
            <w:tcW w:w="80" w:type="dxa"/>
            <w:vAlign w:val="bottom"/>
          </w:tcPr>
          <w:p>
            <w:pPr>
              <w:spacing w:after="0"/>
              <w:rPr>
                <w:sz w:val="12"/>
                <w:szCs w:val="12"/>
                <w:color w:val="auto"/>
              </w:rPr>
            </w:pPr>
          </w:p>
        </w:tc>
        <w:tc>
          <w:tcPr>
            <w:tcW w:w="12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on</w:t>
            </w:r>
          </w:p>
        </w:tc>
        <w:tc>
          <w:tcPr>
            <w:tcW w:w="22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Adjustment</w:t>
            </w:r>
          </w:p>
        </w:tc>
        <w:tc>
          <w:tcPr>
            <w:tcW w:w="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50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at January 1, 2020</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500" w:type="dxa"/>
            <w:vAlign w:val="bottom"/>
          </w:tcPr>
          <w:p>
            <w:pPr>
              <w:ind w:left="240"/>
              <w:spacing w:after="0"/>
              <w:rPr>
                <w:sz w:val="20"/>
                <w:szCs w:val="20"/>
                <w:color w:val="auto"/>
              </w:rPr>
            </w:pPr>
            <w:r>
              <w:rPr>
                <w:rFonts w:ascii="Arial" w:cs="Arial" w:eastAsia="Arial" w:hAnsi="Arial"/>
                <w:sz w:val="18"/>
                <w:szCs w:val="18"/>
                <w:color w:val="auto"/>
              </w:rPr>
              <w:t>Other comprehensive loss before reclassifications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4"/>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reclassified from accumulated other</w:t>
            </w: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comprehensive income</w:t>
            </w:r>
          </w:p>
        </w:tc>
        <w:tc>
          <w:tcPr>
            <w:tcW w:w="7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500" w:type="dxa"/>
            <w:vAlign w:val="bottom"/>
          </w:tcPr>
          <w:p>
            <w:pPr>
              <w:spacing w:after="0"/>
              <w:rPr>
                <w:sz w:val="20"/>
                <w:szCs w:val="20"/>
                <w:color w:val="auto"/>
              </w:rPr>
            </w:pPr>
            <w:r>
              <w:rPr>
                <w:rFonts w:ascii="Arial" w:cs="Arial" w:eastAsia="Arial" w:hAnsi="Arial"/>
                <w:sz w:val="18"/>
                <w:szCs w:val="18"/>
                <w:color w:val="auto"/>
              </w:rPr>
              <w:t>Ending balance at March 31, 2020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Expense</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two tables show stock-based compensation expense by award type and where the stock-based compensation expense is recorded in the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statements of operations:</w:t>
      </w:r>
    </w:p>
    <w:p>
      <w:pPr>
        <w:spacing w:after="0" w:line="281"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540" w:type="dxa"/>
            <w:vAlign w:val="bottom"/>
            <w:tcBorders>
              <w:bottom w:val="single" w:sz="8" w:color="auto"/>
            </w:tcBorders>
            <w:gridSpan w:val="4"/>
          </w:tcPr>
          <w:p>
            <w:pPr>
              <w:jc w:val="center"/>
              <w:ind w:left="440"/>
              <w:spacing w:after="0"/>
              <w:rPr>
                <w:sz w:val="20"/>
                <w:szCs w:val="20"/>
                <w:color w:val="auto"/>
              </w:rPr>
            </w:pPr>
            <w:r>
              <w:rPr>
                <w:rFonts w:ascii="Arial" w:cs="Arial" w:eastAsia="Arial" w:hAnsi="Arial"/>
                <w:sz w:val="14"/>
                <w:szCs w:val="14"/>
                <w:b w:val="1"/>
                <w:bCs w:val="1"/>
                <w:color w:val="auto"/>
                <w:w w:val="95"/>
              </w:rPr>
              <w:t>Three Months End 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gridSpan w:val="3"/>
          </w:tcPr>
          <w:p>
            <w:pPr>
              <w:jc w:val="center"/>
              <w:ind w:right="277"/>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880" w:type="dxa"/>
            <w:vAlign w:val="bottom"/>
            <w:shd w:val="clear" w:color="auto" w:fill="CFF0FC"/>
          </w:tcPr>
          <w:p>
            <w:pPr>
              <w:jc w:val="right"/>
              <w:ind w:right="7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RSUs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24,303</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18,736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8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2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Borders>
              <w:bottom w:val="single" w:sz="8" w:color="auto"/>
            </w:tcBorders>
          </w:tcPr>
          <w:p>
            <w:pPr>
              <w:jc w:val="right"/>
              <w:ind w:right="70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27,463</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Effect of stock-based compensation expense on income by line item:</w:t>
            </w: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69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540" w:type="dxa"/>
            <w:vAlign w:val="bottom"/>
            <w:tcBorders>
              <w:bottom w:val="single" w:sz="8" w:color="auto"/>
            </w:tcBorders>
            <w:gridSpan w:val="4"/>
          </w:tcPr>
          <w:p>
            <w:pPr>
              <w:jc w:val="center"/>
              <w:ind w:left="440"/>
              <w:spacing w:after="0"/>
              <w:rPr>
                <w:sz w:val="20"/>
                <w:szCs w:val="20"/>
                <w:color w:val="auto"/>
              </w:rPr>
            </w:pPr>
            <w:r>
              <w:rPr>
                <w:rFonts w:ascii="Arial" w:cs="Arial" w:eastAsia="Arial" w:hAnsi="Arial"/>
                <w:sz w:val="14"/>
                <w:szCs w:val="14"/>
                <w:b w:val="1"/>
                <w:bCs w:val="1"/>
                <w:color w:val="auto"/>
                <w:w w:val="95"/>
              </w:rPr>
              <w:t>Three Months End March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gridSpan w:val="3"/>
          </w:tcPr>
          <w:p>
            <w:pPr>
              <w:jc w:val="center"/>
              <w:ind w:right="277"/>
              <w:spacing w:after="0" w:line="154" w:lineRule="exact"/>
              <w:rPr>
                <w:sz w:val="20"/>
                <w:szCs w:val="20"/>
                <w:color w:val="auto"/>
              </w:rPr>
            </w:pPr>
            <w:r>
              <w:rPr>
                <w:rFonts w:ascii="Arial" w:cs="Arial" w:eastAsia="Arial" w:hAnsi="Arial"/>
                <w:sz w:val="14"/>
                <w:szCs w:val="14"/>
                <w:b w:val="1"/>
                <w:bCs w:val="1"/>
                <w:color w:val="auto"/>
                <w:w w:val="89"/>
              </w:rPr>
              <w:t>(in thousands)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subscription</w:t>
            </w:r>
          </w:p>
        </w:tc>
        <w:tc>
          <w:tcPr>
            <w:tcW w:w="880" w:type="dxa"/>
            <w:vAlign w:val="bottom"/>
            <w:shd w:val="clear" w:color="auto" w:fill="CFF0FC"/>
          </w:tcPr>
          <w:p>
            <w:pPr>
              <w:jc w:val="right"/>
              <w:ind w:right="7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Cost of revenue, professional services and other</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8,708</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10,816</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6,434</w:t>
            </w:r>
          </w:p>
        </w:tc>
        <w:tc>
          <w:tcPr>
            <w:tcW w:w="2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80" w:type="dxa"/>
            <w:vAlign w:val="bottom"/>
            <w:gridSpan w:val="2"/>
          </w:tcPr>
          <w:p>
            <w:pPr>
              <w:ind w:left="60"/>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Borders>
              <w:bottom w:val="single" w:sz="8" w:color="auto"/>
            </w:tcBorders>
          </w:tcPr>
          <w:p>
            <w:pPr>
              <w:jc w:val="right"/>
              <w:ind w:right="70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27,463</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ind w:right="69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220" w:firstLine="510"/>
        <w:spacing w:after="0" w:line="272" w:lineRule="auto"/>
        <w:rPr>
          <w:sz w:val="20"/>
          <w:szCs w:val="20"/>
          <w:color w:val="auto"/>
        </w:rPr>
      </w:pPr>
      <w:r>
        <w:rPr>
          <w:rFonts w:ascii="Arial" w:cs="Arial" w:eastAsia="Arial" w:hAnsi="Arial"/>
          <w:sz w:val="18"/>
          <w:szCs w:val="18"/>
          <w:color w:val="auto"/>
        </w:rPr>
        <w:t>Capitalized software development costs excluded from stock-based compensation expense is $848 thousand for the three months ended March 31, 2020 and $508 thousand for the three months ended March 31, 2019.</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13. Segment Information and Geographic Data</w:t>
      </w:r>
    </w:p>
    <w:p>
      <w:pPr>
        <w:spacing w:after="0" w:line="11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Company operates as one operating segment. Operating segments are defined as components of an enterprise for which separate financial information is regularly evaluated by the chief operating decision makers (“CODMs”), which are the Company’s chief executive officer and chief operating officer, in deciding how to allocate resources and assess performance. The Company’s CODMs evaluate the Company’s financial information and resources and assess the performance of these resources on a consolidated basis. Since the Company operates in one operating segment, all required financial segment information can be found in the consolidated financial statements. Revenue and long-lived assets by geographic region, based on the physical location of the operations recording the sale or the asset, are as follows: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geographical region:</w:t>
      </w:r>
    </w:p>
    <w:p>
      <w:pPr>
        <w:spacing w:after="0" w:line="29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 March 31,</w:t>
            </w:r>
          </w:p>
        </w:tc>
        <w:tc>
          <w:tcPr>
            <w:tcW w:w="0" w:type="dxa"/>
            <w:vAlign w:val="bottom"/>
          </w:tcPr>
          <w:p>
            <w:pPr>
              <w:spacing w:after="0"/>
              <w:rPr>
                <w:sz w:val="1"/>
                <w:szCs w:val="1"/>
                <w:color w:val="auto"/>
              </w:rPr>
            </w:pPr>
          </w:p>
        </w:tc>
      </w:tr>
      <w:tr>
        <w:trPr>
          <w:trHeight w:val="154"/>
        </w:trPr>
        <w:tc>
          <w:tcPr>
            <w:tcW w:w="3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7"/>
              <w:spacing w:after="0" w:line="154"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4"/>
              <w:spacing w:after="0" w:line="154"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right"/>
              <w:ind w:right="31"/>
              <w:spacing w:after="0" w:line="153"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820" w:type="dxa"/>
            <w:vAlign w:val="bottom"/>
          </w:tcPr>
          <w:p>
            <w:pPr>
              <w:spacing w:after="0"/>
              <w:rPr>
                <w:sz w:val="20"/>
                <w:szCs w:val="20"/>
                <w:color w:val="auto"/>
              </w:rPr>
            </w:pPr>
            <w:r>
              <w:rPr>
                <w:rFonts w:ascii="Arial" w:cs="Arial" w:eastAsia="Arial" w:hAnsi="Arial"/>
                <w:sz w:val="18"/>
                <w:szCs w:val="18"/>
                <w:color w:val="auto"/>
              </w:rPr>
              <w:t>Americas</w:t>
            </w:r>
          </w:p>
        </w:tc>
        <w:tc>
          <w:tcPr>
            <w:tcW w:w="11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131,139</w:t>
            </w:r>
          </w:p>
        </w:tc>
        <w:tc>
          <w:tcPr>
            <w:tcW w:w="26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104,290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 Pacific</w:t>
            </w:r>
          </w:p>
        </w:tc>
        <w:tc>
          <w:tcPr>
            <w:tcW w:w="8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15,158</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198,968</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151,798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Percentage of revenues generated outside</w:t>
            </w:r>
          </w:p>
        </w:tc>
        <w:tc>
          <w:tcPr>
            <w:tcW w:w="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8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140"/>
              <w:spacing w:after="0"/>
              <w:rPr>
                <w:sz w:val="20"/>
                <w:szCs w:val="20"/>
                <w:color w:val="auto"/>
              </w:rPr>
            </w:pPr>
            <w:r>
              <w:rPr>
                <w:rFonts w:ascii="Arial" w:cs="Arial" w:eastAsia="Arial" w:hAnsi="Arial"/>
                <w:sz w:val="18"/>
                <w:szCs w:val="18"/>
                <w:color w:val="auto"/>
              </w:rPr>
              <w:t>of the Americas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80" w:firstLine="510"/>
        <w:spacing w:after="0" w:line="272" w:lineRule="auto"/>
        <w:rPr>
          <w:sz w:val="20"/>
          <w:szCs w:val="20"/>
          <w:color w:val="auto"/>
        </w:rPr>
      </w:pPr>
      <w:r>
        <w:rPr>
          <w:rFonts w:ascii="Arial" w:cs="Arial" w:eastAsia="Arial" w:hAnsi="Arial"/>
          <w:sz w:val="18"/>
          <w:szCs w:val="18"/>
          <w:color w:val="auto"/>
        </w:rPr>
        <w:t>Revenue derived from customers outside the United States (international) was approximately 42% of total revenue in the three months ended March 31, 2020 and 39% of total revenue in the three months ended March 31, 2019.</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long-lived assets by geographical region:</w:t>
      </w:r>
    </w:p>
    <w:p>
      <w:pPr>
        <w:spacing w:after="0" w:line="294"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As of March 31, 2020</w:t>
            </w:r>
          </w:p>
        </w:tc>
        <w:tc>
          <w:tcPr>
            <w:tcW w:w="6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 2019</w:t>
            </w:r>
          </w:p>
        </w:tc>
      </w:tr>
      <w:tr>
        <w:trPr>
          <w:trHeight w:val="154"/>
        </w:trPr>
        <w:tc>
          <w:tcPr>
            <w:tcW w:w="4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ind w:left="720"/>
              <w:spacing w:after="0" w:line="154" w:lineRule="exact"/>
              <w:rPr>
                <w:sz w:val="20"/>
                <w:szCs w:val="20"/>
                <w:color w:val="auto"/>
              </w:rPr>
            </w:pPr>
            <w:r>
              <w:rPr>
                <w:rFonts w:ascii="Arial" w:cs="Arial" w:eastAsia="Arial" w:hAnsi="Arial"/>
                <w:sz w:val="14"/>
                <w:szCs w:val="14"/>
                <w:b w:val="1"/>
                <w:bCs w:val="1"/>
                <w:color w:val="auto"/>
              </w:rPr>
              <w:t>(in thousands)</w:t>
            </w:r>
          </w:p>
        </w:tc>
        <w:tc>
          <w:tcPr>
            <w:tcW w:w="8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8"/>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9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177,690</w:t>
            </w: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175,821</w:t>
            </w:r>
          </w:p>
        </w:tc>
        <w:tc>
          <w:tcPr>
            <w:tcW w:w="180" w:type="dxa"/>
            <w:vAlign w:val="bottom"/>
            <w:shd w:val="clear" w:color="auto" w:fill="CFF0FC"/>
          </w:tcPr>
          <w:p>
            <w:pPr>
              <w:spacing w:after="0"/>
              <w:rPr>
                <w:sz w:val="19"/>
                <w:szCs w:val="19"/>
                <w:color w:val="auto"/>
              </w:rPr>
            </w:pPr>
          </w:p>
        </w:tc>
      </w:tr>
      <w:tr>
        <w:trPr>
          <w:trHeight w:val="227"/>
        </w:trPr>
        <w:tc>
          <w:tcPr>
            <w:tcW w:w="406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124,687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127,395</w:t>
            </w:r>
          </w:p>
        </w:tc>
        <w:tc>
          <w:tcPr>
            <w:tcW w:w="18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5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14,823</w:t>
            </w:r>
          </w:p>
        </w:tc>
        <w:tc>
          <w:tcPr>
            <w:tcW w:w="180" w:type="dxa"/>
            <w:vAlign w:val="bottom"/>
            <w:shd w:val="clear" w:color="auto" w:fill="CFF0FC"/>
          </w:tcPr>
          <w:p>
            <w:pPr>
              <w:spacing w:after="0"/>
              <w:rPr>
                <w:sz w:val="19"/>
                <w:szCs w:val="19"/>
                <w:color w:val="auto"/>
              </w:rPr>
            </w:pPr>
          </w:p>
        </w:tc>
      </w:tr>
      <w:tr>
        <w:trPr>
          <w:trHeight w:val="261"/>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long-lived assets</w:t>
            </w:r>
          </w:p>
        </w:tc>
        <w:tc>
          <w:tcPr>
            <w:tcW w:w="5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316,218</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318,039</w:t>
            </w:r>
          </w:p>
        </w:tc>
        <w:tc>
          <w:tcPr>
            <w:tcW w:w="180" w:type="dxa"/>
            <w:vAlign w:val="bottom"/>
            <w:tcBorders>
              <w:bottom w:val="single" w:sz="8" w:color="CFF0FC"/>
            </w:tcBorders>
          </w:tcPr>
          <w:p>
            <w:pPr>
              <w:spacing w:after="0"/>
              <w:rPr>
                <w:sz w:val="22"/>
                <w:szCs w:val="22"/>
                <w:color w:val="auto"/>
              </w:rPr>
            </w:pPr>
          </w:p>
        </w:tc>
      </w:tr>
      <w:tr>
        <w:trPr>
          <w:trHeight w:val="194"/>
        </w:trPr>
        <w:tc>
          <w:tcPr>
            <w:tcW w:w="40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Percentage of long-lived assets held outside of the</w:t>
            </w:r>
          </w:p>
        </w:tc>
        <w:tc>
          <w:tcPr>
            <w:tcW w:w="5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28"/>
        </w:trPr>
        <w:tc>
          <w:tcPr>
            <w:tcW w:w="4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5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18" w:name="page19"/>
    <w:bookmarkEnd w:id="18"/>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9" w:lineRule="exact"/>
        <w:rPr>
          <w:sz w:val="20"/>
          <w:szCs w:val="20"/>
          <w:color w:val="auto"/>
        </w:rPr>
      </w:pPr>
    </w:p>
    <w:p>
      <w:pPr>
        <w:ind w:right="40" w:firstLine="510"/>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2019 filed with the SEC on February 12, 2020.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9" w:lineRule="exact"/>
        <w:rPr>
          <w:sz w:val="20"/>
          <w:szCs w:val="20"/>
          <w:color w:val="auto"/>
        </w:rPr>
      </w:pPr>
    </w:p>
    <w:p>
      <w:pPr>
        <w:ind w:right="460" w:firstLine="544"/>
        <w:spacing w:after="0" w:line="293" w:lineRule="auto"/>
        <w:rPr>
          <w:sz w:val="20"/>
          <w:szCs w:val="20"/>
          <w:color w:val="auto"/>
        </w:rPr>
      </w:pPr>
      <w:r>
        <w:rPr>
          <w:rFonts w:ascii="Arial" w:cs="Arial" w:eastAsia="Arial" w:hAnsi="Arial"/>
          <w:sz w:val="16"/>
          <w:szCs w:val="16"/>
          <w:color w:val="auto"/>
        </w:rPr>
        <w:t>We provide a cloud-based marketing, sales, and customer service software platform, which we refer to as our Growth Platform, that enables businesses to grow better. At HubSpot, we are committed to helping our customers grow better, which means helping them grow without compromise, always solving for the customer, and creating a better experience for customers and company alike. To that end, our Growth Platform, comprised of Marketing Hub, Sales Hub, Service Hub, and a free customer relationship management system, or CRM, features integrated applications and tools that enable businesses to create a cohesive and adaptable customer experience throughout the customer lifecycle.</w:t>
      </w:r>
    </w:p>
    <w:p>
      <w:pPr>
        <w:spacing w:after="0" w:line="164" w:lineRule="exact"/>
        <w:rPr>
          <w:sz w:val="20"/>
          <w:szCs w:val="20"/>
          <w:color w:val="auto"/>
        </w:rPr>
      </w:pPr>
    </w:p>
    <w:p>
      <w:pPr>
        <w:ind w:firstLine="544"/>
        <w:spacing w:after="0" w:line="287" w:lineRule="auto"/>
        <w:rPr>
          <w:sz w:val="20"/>
          <w:szCs w:val="20"/>
          <w:color w:val="auto"/>
        </w:rPr>
      </w:pPr>
      <w:r>
        <w:rPr>
          <w:rFonts w:ascii="Arial" w:cs="Arial" w:eastAsia="Arial" w:hAnsi="Arial"/>
          <w:sz w:val="16"/>
          <w:szCs w:val="16"/>
          <w:color w:val="auto"/>
        </w:rPr>
        <w:t>We focus on selling to mid-market business-to-business, or B2B, companies, which we define as companies that have between two and 2,000 employees. While our Growth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Growth Platform through our free products and then upgrade to our paid products. As of March 31, 2020, we had 3,578 full-time employees and 78,776 Total Customers of varying sizes in more than 120 countries, representing almost every industry.</w:t>
      </w:r>
    </w:p>
    <w:p>
      <w:pPr>
        <w:spacing w:after="0" w:line="170" w:lineRule="exact"/>
        <w:rPr>
          <w:sz w:val="20"/>
          <w:szCs w:val="20"/>
          <w:color w:val="auto"/>
        </w:rPr>
      </w:pPr>
    </w:p>
    <w:p>
      <w:pPr>
        <w:ind w:right="100" w:firstLine="544"/>
        <w:spacing w:after="0" w:line="289" w:lineRule="auto"/>
        <w:rPr>
          <w:sz w:val="20"/>
          <w:szCs w:val="20"/>
          <w:color w:val="auto"/>
        </w:rPr>
      </w:pPr>
      <w:r>
        <w:rPr>
          <w:rFonts w:ascii="Arial" w:cs="Arial" w:eastAsia="Arial" w:hAnsi="Arial"/>
          <w:sz w:val="16"/>
          <w:szCs w:val="16"/>
          <w:color w:val="auto"/>
        </w:rPr>
        <w:t>We derive most of our revenue from subscriptions to our cloud-based Growth Platform and related professional services, which consist of customer on-boarding and training services. Subscription revenue accounted for 96% of our total revenue for the three months ended March 31, 2020 and 95% of our total revenue for the three months ended March 31, 2019.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subdomains and website visits. Our customers purchase a subscription to one or more of our products and commit for a specified subscription period, which is typically one year or less in duration.</w:t>
      </w:r>
    </w:p>
    <w:p>
      <w:pPr>
        <w:spacing w:after="0" w:line="165" w:lineRule="exact"/>
        <w:rPr>
          <w:sz w:val="20"/>
          <w:szCs w:val="20"/>
          <w:color w:val="auto"/>
        </w:rPr>
      </w:pPr>
    </w:p>
    <w:p>
      <w:pPr>
        <w:jc w:val="both"/>
        <w:ind w:right="80" w:firstLine="544"/>
        <w:spacing w:after="0" w:line="260" w:lineRule="auto"/>
        <w:rPr>
          <w:sz w:val="20"/>
          <w:szCs w:val="20"/>
          <w:color w:val="auto"/>
        </w:rPr>
      </w:pPr>
      <w:r>
        <w:rPr>
          <w:rFonts w:ascii="Arial" w:cs="Arial" w:eastAsia="Arial" w:hAnsi="Arial"/>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85" w:lineRule="exact"/>
        <w:rPr>
          <w:sz w:val="20"/>
          <w:szCs w:val="20"/>
          <w:color w:val="auto"/>
        </w:rPr>
      </w:pPr>
    </w:p>
    <w:p>
      <w:pPr>
        <w:ind w:right="100" w:firstLine="544"/>
        <w:spacing w:after="0" w:line="256" w:lineRule="auto"/>
        <w:rPr>
          <w:sz w:val="20"/>
          <w:szCs w:val="20"/>
          <w:color w:val="auto"/>
        </w:rPr>
      </w:pPr>
      <w:r>
        <w:rPr>
          <w:rFonts w:ascii="Arial" w:cs="Arial" w:eastAsia="Arial" w:hAnsi="Arial"/>
          <w:sz w:val="18"/>
          <w:szCs w:val="18"/>
          <w:color w:val="auto"/>
        </w:rPr>
        <w:t>Many of our customers purchase on-boarding and training services which are designed to help customers enhance their ability to attract, engage and delight their customers using our Growth Platform. Professional services and other revenue accounted for 4% of total revenue for the three months ended March 31, 2020 and 5% of total revenue for the three months ended March 31, 2019. We expect professional services and other margins to range from a moderate loss to breakeven for the foreseeable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Global Events and Company Impact</w:t>
      </w:r>
    </w:p>
    <w:p>
      <w:pPr>
        <w:spacing w:after="0" w:line="226" w:lineRule="exact"/>
        <w:rPr>
          <w:sz w:val="20"/>
          <w:szCs w:val="20"/>
          <w:color w:val="auto"/>
        </w:rPr>
      </w:pPr>
    </w:p>
    <w:p>
      <w:pPr>
        <w:ind w:right="20" w:firstLine="579"/>
        <w:spacing w:after="0" w:line="269" w:lineRule="auto"/>
        <w:rPr>
          <w:sz w:val="20"/>
          <w:szCs w:val="20"/>
          <w:color w:val="auto"/>
        </w:rPr>
      </w:pPr>
      <w:r>
        <w:rPr>
          <w:rFonts w:ascii="Arial" w:cs="Arial" w:eastAsia="Arial" w:hAnsi="Arial"/>
          <w:sz w:val="17"/>
          <w:szCs w:val="17"/>
          <w:color w:val="auto"/>
        </w:rPr>
        <w:t>In December 2019, a novel coronavirus disease, or COVID-19, was reported and in January 2020, the World Health Organization, or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As a result of the COVID-19 pandemic, we have temporarily closed our global offices, including our corporate headquarters, suspended all company-related travel, and all HubSpot employees globally are required to work from home for the foreseeable future. Our plan is to slowly re-open on a market by market basis in accordance with local authority guidelines, and to ensure that our return to work is thoughtful, prudent, and handled with an abundance of caution with the health of our employees being the top priority.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9" w:name="page20"/>
    <w:bookmarkEnd w:id="19"/>
    <w:p>
      <w:pPr>
        <w:ind w:right="20" w:firstLine="540"/>
        <w:spacing w:after="0" w:line="307" w:lineRule="auto"/>
        <w:rPr>
          <w:sz w:val="20"/>
          <w:szCs w:val="20"/>
          <w:color w:val="auto"/>
        </w:rPr>
      </w:pPr>
      <w:r>
        <w:rPr>
          <w:rFonts w:ascii="Arial" w:cs="Arial" w:eastAsia="Arial" w:hAnsi="Arial"/>
          <w:sz w:val="16"/>
          <w:szCs w:val="16"/>
          <w:color w:val="auto"/>
        </w:rPr>
        <w:t>Given that the economic consequences of the COVID-19 pandemic have been exceptionally challenging for many of our customers and prospects, we have also implemented certain changes to our pricing structure, including reducing prices on our Starter Growth Suite, offering certain product functionality free of charge, suspending marketing email send limits, and offering a six-month advance on commissions to certain of our Solutions Partners.</w:t>
      </w:r>
    </w:p>
    <w:p>
      <w:pPr>
        <w:spacing w:after="0" w:line="152" w:lineRule="exact"/>
        <w:rPr>
          <w:sz w:val="20"/>
          <w:szCs w:val="20"/>
          <w:color w:val="auto"/>
        </w:rPr>
      </w:pPr>
    </w:p>
    <w:p>
      <w:pPr>
        <w:ind w:right="100" w:firstLine="540"/>
        <w:spacing w:after="0" w:line="268" w:lineRule="auto"/>
        <w:rPr>
          <w:sz w:val="20"/>
          <w:szCs w:val="20"/>
          <w:color w:val="auto"/>
        </w:rPr>
      </w:pPr>
      <w:r>
        <w:rPr>
          <w:rFonts w:ascii="Arial" w:cs="Arial" w:eastAsia="Arial" w:hAnsi="Arial"/>
          <w:sz w:val="17"/>
          <w:szCs w:val="17"/>
          <w:color w:val="auto"/>
        </w:rPr>
        <w:t>While the broader implications of COVID-19 on our results of operations and overall financial performance remain uncertain, the COVID-19 pandemic and its adverse effects have become more prevalent in the locations where we, our customers and partners conduct business and as a result, we have begun to be negatively affected in our operations. We may experience curtailed customer demand that could adversely impact our business, results of operations and overall financial performance in future periods. Specifically, we may be impacted by changes in our customers’ ability or willingness to purchase our offerings; changes in the timing of our current or prospective customers’ purchasing decisions; pricing discounts or extended payment terms; reductions in the amount or duration of customers’ subscription contracts; or increased customer attrition rates. While our revenue, customer retention, and earnings are relatively predictable as a result of our subscription-based business model, the effect of the COVID-19 pandemic will not be fully reflected in our results of operations and overall financial performance until future periods.</w:t>
      </w:r>
    </w:p>
    <w:p>
      <w:pPr>
        <w:spacing w:after="0" w:line="184" w:lineRule="exact"/>
        <w:rPr>
          <w:sz w:val="20"/>
          <w:szCs w:val="20"/>
          <w:color w:val="auto"/>
        </w:rPr>
      </w:pPr>
    </w:p>
    <w:p>
      <w:pPr>
        <w:ind w:firstLine="540"/>
        <w:spacing w:after="0" w:line="271" w:lineRule="auto"/>
        <w:rPr>
          <w:sz w:val="20"/>
          <w:szCs w:val="20"/>
          <w:color w:val="auto"/>
        </w:rPr>
      </w:pPr>
      <w:r>
        <w:rPr>
          <w:rFonts w:ascii="Arial" w:cs="Arial" w:eastAsia="Arial" w:hAnsi="Arial"/>
          <w:sz w:val="17"/>
          <w:szCs w:val="17"/>
          <w:color w:val="auto"/>
        </w:rPr>
        <w:t>While the implications of the COVID-19 pandemic remain uncertain, we plan to continue to make investments to support business growth. We believe that the growth of our business is dependent on many factors, including our ability to expand our customer base, increase adoption of our Growth Platform within existing customers, develop new products and applications to extend the functionality of our Growth Platform and provide a high level of customer service. We expect to invest in sales and marketing to support customer growth. We also expect to invest in research and development as we continue to introduce new products and applications to extend the functionality of our Growth Platform. We also intend to maintain a high level of customer service and support which we consider critical for our continued success. We plan to continue to invest in our data center infrastructure and services capabilities in order to support continued customer growth. We also expect to continue to incur general and administrative expenses to support our business and to maintain the infrastructure required to be a public company. We expect to use our cash flow from operations and the proceeds from our convertible debt and stock offerings to fund these growth strategies and support our business despite the potential impact from COVID-19 and do not expect to be profitable in the near term.</w:t>
      </w:r>
    </w:p>
    <w:p>
      <w:pPr>
        <w:spacing w:after="0" w:line="179" w:lineRule="exact"/>
        <w:rPr>
          <w:sz w:val="20"/>
          <w:szCs w:val="20"/>
          <w:color w:val="auto"/>
        </w:rPr>
      </w:pPr>
    </w:p>
    <w:p>
      <w:pPr>
        <w:ind w:right="40" w:firstLine="540"/>
        <w:spacing w:after="0" w:line="272" w:lineRule="auto"/>
        <w:rPr>
          <w:sz w:val="20"/>
          <w:szCs w:val="20"/>
          <w:color w:val="auto"/>
        </w:rPr>
      </w:pPr>
      <w:r>
        <w:rPr>
          <w:rFonts w:ascii="Arial" w:cs="Arial" w:eastAsia="Arial" w:hAnsi="Arial"/>
          <w:sz w:val="18"/>
          <w:szCs w:val="18"/>
          <w:color w:val="auto"/>
        </w:rPr>
        <w:t>See the section titled “Risk Factors” included under Part II, Item 1A below for further discussion of the possible impact of the COVID-19 pandemic on our business.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554"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 for the Three Months Ended March 31, 2020 and 2019</w:t>
      </w:r>
    </w:p>
    <w:p>
      <w:pPr>
        <w:spacing w:after="0" w:line="119" w:lineRule="exact"/>
        <w:rPr>
          <w:sz w:val="20"/>
          <w:szCs w:val="20"/>
          <w:color w:val="auto"/>
        </w:rPr>
      </w:pPr>
    </w:p>
    <w:p>
      <w:pPr>
        <w:ind w:firstLine="510"/>
        <w:spacing w:after="0" w:line="251"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tbl>
      <w:tblPr>
        <w:tblLayout w:type="fixed"/>
        <w:tblInd w:w="1700" w:type="dxa"/>
        <w:tblCellMar>
          <w:top w:w="0" w:type="dxa"/>
          <w:left w:w="0" w:type="dxa"/>
          <w:bottom w:w="0" w:type="dxa"/>
          <w:right w:w="0" w:type="dxa"/>
        </w:tblCellMar>
      </w:tblPr>
      <w:tr>
        <w:trPr>
          <w:trHeight w:val="143"/>
        </w:trPr>
        <w:tc>
          <w:tcPr>
            <w:tcW w:w="3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ind w:left="640"/>
              <w:spacing w:after="0" w:line="143" w:lineRule="exact"/>
              <w:rPr>
                <w:sz w:val="20"/>
                <w:szCs w:val="20"/>
                <w:color w:val="auto"/>
              </w:rPr>
            </w:pPr>
            <w:r>
              <w:rPr>
                <w:rFonts w:ascii="Arial" w:cs="Arial" w:eastAsia="Arial" w:hAnsi="Arial"/>
                <w:sz w:val="14"/>
                <w:szCs w:val="14"/>
                <w:b w:val="1"/>
                <w:bCs w:val="1"/>
                <w:color w:val="auto"/>
                <w:w w:val="98"/>
              </w:rPr>
              <w:t>Three Months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54"/>
        </w:trPr>
        <w:tc>
          <w:tcPr>
            <w:tcW w:w="3800" w:type="dxa"/>
            <w:vAlign w:val="bottom"/>
            <w:tcBorders>
              <w:bottom w:val="single" w:sz="8" w:color="CFF0FC"/>
            </w:tcBorders>
            <w:vMerge w:val="continue"/>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92"/>
              <w:spacing w:after="0" w:line="154"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191,229</w:t>
            </w:r>
          </w:p>
        </w:tc>
        <w:tc>
          <w:tcPr>
            <w:tcW w:w="240" w:type="dxa"/>
            <w:vAlign w:val="bottom"/>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144,226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7,739</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0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revenue</w:t>
            </w:r>
          </w:p>
        </w:tc>
        <w:tc>
          <w:tcPr>
            <w:tcW w:w="1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198,968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151,798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21,301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8,551</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0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cost of revenues</w:t>
            </w:r>
          </w:p>
        </w:tc>
        <w:tc>
          <w:tcPr>
            <w:tcW w:w="1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29,578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160,683</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122,220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46,202</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35,177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102,328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74,905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26,255</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21,174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174,785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131,256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(14,102)</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(9,036)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00" w:type="dxa"/>
            <w:vAlign w:val="bottom"/>
          </w:tcPr>
          <w:p>
            <w:pPr>
              <w:spacing w:after="0"/>
              <w:rPr>
                <w:sz w:val="20"/>
                <w:szCs w:val="20"/>
                <w:color w:val="auto"/>
              </w:rPr>
            </w:pPr>
            <w:r>
              <w:rPr>
                <w:rFonts w:ascii="Arial" w:cs="Arial" w:eastAsia="Arial" w:hAnsi="Arial"/>
                <w:sz w:val="18"/>
                <w:szCs w:val="18"/>
                <w:color w:val="auto"/>
              </w:rPr>
              <w:t>Other expense:</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(5,953)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28"/>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1"/>
        </w:trPr>
        <w:tc>
          <w:tcPr>
            <w:tcW w:w="3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expense</w:t>
            </w:r>
          </w:p>
        </w:tc>
        <w:tc>
          <w:tcPr>
            <w:tcW w:w="1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(1,351)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(17,050)</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480"/>
              <w:spacing w:after="0"/>
              <w:rPr>
                <w:sz w:val="20"/>
                <w:szCs w:val="20"/>
                <w:color w:val="auto"/>
              </w:rPr>
            </w:pPr>
            <w:r>
              <w:rPr>
                <w:rFonts w:ascii="Arial" w:cs="Arial" w:eastAsia="Arial" w:hAnsi="Arial"/>
                <w:sz w:val="18"/>
                <w:szCs w:val="18"/>
                <w:color w:val="auto"/>
              </w:rPr>
              <w:t>Income tax expense</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1"/>
        </w:trPr>
        <w:tc>
          <w:tcPr>
            <w:tcW w:w="3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3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(17,716)</w:t>
            </w:r>
          </w:p>
        </w:tc>
        <w:tc>
          <w:tcPr>
            <w:tcW w:w="2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(11,100)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4"/>
          </w:tcPr>
          <w:p>
            <w:pPr>
              <w:jc w:val="center"/>
              <w:ind w:left="373"/>
              <w:spacing w:after="0"/>
              <w:rPr>
                <w:sz w:val="20"/>
                <w:szCs w:val="20"/>
                <w:color w:val="auto"/>
              </w:rPr>
            </w:pPr>
            <w:r>
              <w:rPr>
                <w:rFonts w:ascii="Arial" w:cs="Arial" w:eastAsia="Arial" w:hAnsi="Arial"/>
                <w:sz w:val="14"/>
                <w:szCs w:val="14"/>
                <w:b w:val="1"/>
                <w:bCs w:val="1"/>
                <w:color w:val="auto"/>
                <w:w w:val="93"/>
              </w:rPr>
              <w:t>Three Months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left="373"/>
              <w:spacing w:after="0"/>
              <w:rPr>
                <w:sz w:val="20"/>
                <w:szCs w:val="20"/>
                <w:color w:val="auto"/>
              </w:rPr>
            </w:pPr>
            <w:r>
              <w:rPr>
                <w:rFonts w:ascii="Arial" w:cs="Arial" w:eastAsia="Arial" w:hAnsi="Arial"/>
                <w:sz w:val="14"/>
                <w:szCs w:val="14"/>
                <w:b w:val="1"/>
                <w:bCs w:val="1"/>
                <w:color w:val="auto"/>
                <w:w w:val="95"/>
              </w:rPr>
              <w:t>Ended March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4"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4"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8"/>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revenue</w:t>
            </w:r>
          </w:p>
        </w:tc>
        <w:tc>
          <w:tcPr>
            <w:tcW w:w="1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cost of revenue</w:t>
            </w:r>
          </w:p>
        </w:tc>
        <w:tc>
          <w:tcPr>
            <w:tcW w:w="1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auto"/>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480"/>
              <w:spacing w:after="0"/>
              <w:rPr>
                <w:sz w:val="20"/>
                <w:szCs w:val="20"/>
                <w:color w:val="auto"/>
              </w:rPr>
            </w:pPr>
            <w:r>
              <w:rPr>
                <w:rFonts w:ascii="Arial" w:cs="Arial" w:eastAsia="Arial" w:hAnsi="Arial"/>
                <w:sz w:val="18"/>
                <w:szCs w:val="18"/>
                <w:color w:val="auto"/>
              </w:rPr>
              <w:t>Total other expense</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3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0" w:type="dxa"/>
            <w:vAlign w:val="bottom"/>
            <w:vMerge w:val="continue"/>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480"/>
              <w:spacing w:after="0"/>
              <w:rPr>
                <w:sz w:val="20"/>
                <w:szCs w:val="20"/>
                <w:color w:val="auto"/>
              </w:rPr>
            </w:pPr>
            <w:r>
              <w:rPr>
                <w:rFonts w:ascii="Arial" w:cs="Arial" w:eastAsia="Arial" w:hAnsi="Arial"/>
                <w:sz w:val="18"/>
                <w:szCs w:val="18"/>
                <w:color w:val="auto"/>
              </w:rPr>
              <w:t>Income tax expense</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3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00" w:type="dxa"/>
            <w:vAlign w:val="bottom"/>
            <w:vMerge w:val="continue"/>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Percentages are based on actual values. Totals may not sum due to rounding.</w:t>
      </w:r>
    </w:p>
    <w:p>
      <w:pPr>
        <w:spacing w:after="0" w:line="22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060"/>
          </w:cols>
          <w:pgMar w:left="320" w:top="657" w:right="5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Three Months Ended March 31, 2020 Compared to the Three Months Ended March 31, 2019</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Revenue</w:t>
      </w: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93"/>
              </w:rPr>
              <w:t>Three Months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Ended March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Pr>
          <w:p>
            <w:pPr>
              <w:spacing w:after="0"/>
              <w:rPr>
                <w:sz w:val="14"/>
                <w:szCs w:val="14"/>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4"/>
        </w:trPr>
        <w:tc>
          <w:tcPr>
            <w:tcW w:w="5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00"/>
              <w:spacing w:after="0" w:line="154"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95"/>
              <w:spacing w:after="0" w:line="154"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2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191,229</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144,226</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47,003</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8"/>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7,739</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4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1"/>
        </w:trPr>
        <w:tc>
          <w:tcPr>
            <w:tcW w:w="51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198,968</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151,798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89" w:lineRule="exact"/>
        <w:rPr>
          <w:sz w:val="20"/>
          <w:szCs w:val="20"/>
          <w:color w:val="auto"/>
        </w:rPr>
      </w:pPr>
    </w:p>
    <w:p>
      <w:pPr>
        <w:ind w:right="60" w:firstLine="510"/>
        <w:spacing w:after="0" w:line="252" w:lineRule="auto"/>
        <w:rPr>
          <w:sz w:val="20"/>
          <w:szCs w:val="20"/>
          <w:color w:val="auto"/>
        </w:rPr>
      </w:pPr>
      <w:r>
        <w:rPr>
          <w:rFonts w:ascii="Arial" w:cs="Arial" w:eastAsia="Arial" w:hAnsi="Arial"/>
          <w:sz w:val="18"/>
          <w:szCs w:val="18"/>
          <w:color w:val="auto"/>
        </w:rPr>
        <w:t>Subscription revenue increased during the three months ended March 31, 2020 compared to the same period in 2019 primarily due to the increase in Total Customers, which grew from 60,814 as of March 31, 2019 to 78,776 as of March 31, 2020. Total Average Subscription Revenue per Customer increased from $9,811 for the three months ended March 31, 2019 to $10,018 for the three months ended March 31, 2020. The growth in Total Customers was primarily driven by our increased sales representative capacity to meet market demand as well as the freemium model. The increase in average subscription revenue per customer was driven primarily by existing customers increasing their use of our products, existing customers purchasing additional subscriptions, and new customers purchasing our higher price product plans. The increase in average subscription revenue per customer was partially offset by the continued adoption of our freemium model.</w:t>
      </w:r>
    </w:p>
    <w:p>
      <w:pPr>
        <w:spacing w:after="0" w:line="195" w:lineRule="exact"/>
        <w:rPr>
          <w:sz w:val="20"/>
          <w:szCs w:val="20"/>
          <w:color w:val="auto"/>
        </w:rPr>
      </w:pPr>
    </w:p>
    <w:p>
      <w:pPr>
        <w:ind w:right="180" w:firstLine="749"/>
        <w:spacing w:after="0" w:line="272" w:lineRule="auto"/>
        <w:rPr>
          <w:sz w:val="20"/>
          <w:szCs w:val="20"/>
          <w:color w:val="auto"/>
        </w:rPr>
      </w:pPr>
      <w:r>
        <w:rPr>
          <w:rFonts w:ascii="Arial" w:cs="Arial" w:eastAsia="Arial" w:hAnsi="Arial"/>
          <w:sz w:val="18"/>
          <w:szCs w:val="18"/>
          <w:color w:val="auto"/>
        </w:rPr>
        <w:t>The 2% increase in professional services and other revenue resulted primarily from the increase in Total Customers and from the delivery of on-boarding and training services for the additional subscriptions sold.</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Ended March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5"/>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8"/>
              </w:rPr>
              <w:t>$ Change</w:t>
            </w:r>
          </w:p>
        </w:tc>
        <w:tc>
          <w:tcPr>
            <w:tcW w:w="20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20"/>
                <w:szCs w:val="20"/>
                <w:color w:val="auto"/>
              </w:rPr>
            </w:pP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8,707</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r>
      <w:tr>
        <w:trPr>
          <w:trHeight w:val="227"/>
        </w:trPr>
        <w:tc>
          <w:tcPr>
            <w:tcW w:w="50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160,683</w:t>
            </w:r>
          </w:p>
        </w:tc>
        <w:tc>
          <w:tcPr>
            <w:tcW w:w="30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122,220</w:t>
            </w:r>
          </w:p>
        </w:tc>
        <w:tc>
          <w:tcPr>
            <w:tcW w:w="2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38,463</w:t>
            </w:r>
          </w:p>
        </w:tc>
        <w:tc>
          <w:tcPr>
            <w:tcW w:w="2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29"/>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margin percentage</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40" w:lineRule="exact"/>
        <w:rPr>
          <w:sz w:val="20"/>
          <w:szCs w:val="20"/>
          <w:color w:val="auto"/>
        </w:rPr>
      </w:pPr>
    </w:p>
    <w:p>
      <w:pPr>
        <w:ind w:right="440" w:firstLine="510"/>
        <w:spacing w:after="0" w:line="260" w:lineRule="auto"/>
        <w:rPr>
          <w:sz w:val="20"/>
          <w:szCs w:val="20"/>
          <w:color w:val="auto"/>
        </w:rPr>
      </w:pPr>
      <w:r>
        <w:rPr>
          <w:rFonts w:ascii="Arial" w:cs="Arial" w:eastAsia="Arial" w:hAnsi="Arial"/>
          <w:sz w:val="18"/>
          <w:szCs w:val="18"/>
          <w:color w:val="auto"/>
        </w:rPr>
        <w:t>Total cost of revenue for the three months ended March 31, 2020 increased compared to the same period in 2019 primarily due to an increase in subscription and hosting costs, employee-related costs, amortization of capitalized software development costs, allocated overheard expenses, and amortization of acquired technology. Gross margins remained consistent year-over-year.</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Ended March 31,</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CFF0FC"/>
            </w:tcBorders>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20"/>
                <w:szCs w:val="20"/>
                <w:color w:val="auto"/>
              </w:rPr>
            </w:pPr>
          </w:p>
        </w:tc>
      </w:tr>
      <w:tr>
        <w:trPr>
          <w:trHeight w:val="221"/>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Subscription cost of revenue</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8,433</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r>
      <w:tr>
        <w:trPr>
          <w:trHeight w:val="227"/>
        </w:trPr>
        <w:tc>
          <w:tcPr>
            <w:tcW w:w="4960" w:type="dxa"/>
            <w:vAlign w:val="bottom"/>
            <w:gridSpan w:val="2"/>
          </w:tcPr>
          <w:p>
            <w:pPr>
              <w:spacing w:after="0"/>
              <w:rPr>
                <w:sz w:val="20"/>
                <w:szCs w:val="20"/>
                <w:color w:val="auto"/>
              </w:rPr>
            </w:pPr>
            <w:r>
              <w:rPr>
                <w:rFonts w:ascii="Arial" w:cs="Arial" w:eastAsia="Arial" w:hAnsi="Arial"/>
                <w:sz w:val="18"/>
                <w:szCs w:val="18"/>
                <w:color w:val="auto"/>
              </w:rPr>
              <w:t>Percentage of subscription revenue</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28" w:lineRule="exact"/>
        <w:rPr>
          <w:sz w:val="20"/>
          <w:szCs w:val="20"/>
          <w:color w:val="auto"/>
        </w:rPr>
      </w:pPr>
    </w:p>
    <w:p>
      <w:pPr>
        <w:ind w:right="220" w:firstLine="510"/>
        <w:spacing w:after="0" w:line="272" w:lineRule="auto"/>
        <w:rPr>
          <w:sz w:val="20"/>
          <w:szCs w:val="20"/>
          <w:color w:val="auto"/>
        </w:rPr>
      </w:pPr>
      <w:r>
        <w:rPr>
          <w:rFonts w:ascii="Arial" w:cs="Arial" w:eastAsia="Arial" w:hAnsi="Arial"/>
          <w:sz w:val="18"/>
          <w:szCs w:val="18"/>
          <w:color w:val="auto"/>
        </w:rPr>
        <w:t>The increase in subscription cost of revenue for the three months ended March 31, 2020 compared to the same period in 2019 was primarily due to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57"/>
              <w:spacing w:after="0" w:line="154" w:lineRule="exact"/>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70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57"/>
              <w:spacing w:after="0" w:line="154"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Employee-related costs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acquired technology</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jc w:val="right"/>
              <w:ind w:right="2331"/>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1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700" w:type="dxa"/>
            <w:vAlign w:val="bottom"/>
            <w:tcBorders>
              <w:bottom w:val="single" w:sz="8" w:color="9A9A9A"/>
            </w:tcBorders>
          </w:tcPr>
          <w:p>
            <w:pPr>
              <w:spacing w:after="0"/>
              <w:rPr>
                <w:sz w:val="10"/>
                <w:szCs w:val="10"/>
                <w:color w:val="auto"/>
              </w:rPr>
            </w:pPr>
          </w:p>
        </w:tc>
        <w:tc>
          <w:tcPr>
            <w:tcW w:w="6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22" w:lineRule="exact"/>
        <w:rPr>
          <w:sz w:val="20"/>
          <w:szCs w:val="20"/>
          <w:color w:val="auto"/>
        </w:rPr>
      </w:pPr>
    </w:p>
    <w:p>
      <w:pPr>
        <w:ind w:firstLine="579"/>
        <w:spacing w:after="0" w:line="252" w:lineRule="auto"/>
        <w:rPr>
          <w:sz w:val="20"/>
          <w:szCs w:val="20"/>
          <w:color w:val="auto"/>
        </w:rPr>
      </w:pPr>
      <w:r>
        <w:rPr>
          <w:rFonts w:ascii="Arial" w:cs="Arial" w:eastAsia="Arial" w:hAnsi="Arial"/>
          <w:sz w:val="18"/>
          <w:szCs w:val="18"/>
          <w:color w:val="auto"/>
        </w:rPr>
        <w:t>Subscription and hosting costs increased primarily due to growth in our Total Customer base from 60,814 as of March 31, 2019 to 78,776 as of March 31, 2020, as we focus on the reliability of our Growth Platform.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Allocated overhead expenses increased due to the expansion of our leased space and infrastructure as we continued to grow our business and expand headcount. Amortization of acquired technology increased due to acquired technology being placed into service during the fourth quarter of 2019.</w:t>
      </w:r>
    </w:p>
    <w:p>
      <w:pPr>
        <w:spacing w:after="0" w:line="18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20"/>
                <w:szCs w:val="20"/>
                <w:color w:val="auto"/>
              </w:rPr>
            </w:pPr>
          </w:p>
        </w:tc>
      </w:tr>
      <w:tr>
        <w:trPr>
          <w:trHeight w:val="221"/>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 cost of revenue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r>
        <w:trPr>
          <w:trHeight w:val="227"/>
        </w:trPr>
        <w:tc>
          <w:tcPr>
            <w:tcW w:w="5140" w:type="dxa"/>
            <w:vAlign w:val="bottom"/>
            <w:gridSpan w:val="2"/>
          </w:tcPr>
          <w:p>
            <w:pPr>
              <w:spacing w:after="0"/>
              <w:rPr>
                <w:sz w:val="20"/>
                <w:szCs w:val="20"/>
                <w:color w:val="auto"/>
              </w:rPr>
            </w:pPr>
            <w:r>
              <w:rPr>
                <w:rFonts w:ascii="Arial" w:cs="Arial" w:eastAsia="Arial" w:hAnsi="Arial"/>
                <w:sz w:val="18"/>
                <w:szCs w:val="18"/>
                <w:color w:val="auto"/>
              </w:rPr>
              <w:t>Percentage of professional services and other revenue</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1" w:lineRule="exact"/>
        <w:rPr>
          <w:sz w:val="20"/>
          <w:szCs w:val="20"/>
          <w:color w:val="auto"/>
        </w:rPr>
      </w:pPr>
    </w:p>
    <w:p>
      <w:pPr>
        <w:ind w:right="80" w:firstLine="749"/>
        <w:spacing w:after="0" w:line="272" w:lineRule="auto"/>
        <w:rPr>
          <w:sz w:val="20"/>
          <w:szCs w:val="20"/>
          <w:color w:val="auto"/>
        </w:rPr>
      </w:pPr>
      <w:r>
        <w:rPr>
          <w:rFonts w:ascii="Arial" w:cs="Arial" w:eastAsia="Arial" w:hAnsi="Arial"/>
          <w:sz w:val="18"/>
          <w:szCs w:val="18"/>
          <w:color w:val="auto"/>
        </w:rPr>
        <w:t>The increase in professional services and other cost of revenue for the three months ended March 31, 2020 compared to the same period in 2019 was primarily due to the following:</w:t>
      </w:r>
    </w:p>
    <w:p>
      <w:pPr>
        <w:spacing w:after="0" w:line="246"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5715</wp:posOffset>
            </wp:positionV>
            <wp:extent cx="8515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60"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5715</wp:posOffset>
            </wp:positionV>
            <wp:extent cx="8515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60"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5715</wp:posOffset>
            </wp:positionV>
            <wp:extent cx="4987925" cy="144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87925" cy="144780"/>
                    </a:xfrm>
                    <a:prstGeom prst="rect">
                      <a:avLst/>
                    </a:prstGeom>
                    <a:noFill/>
                  </pic:spPr>
                </pic:pic>
              </a:graphicData>
            </a:graphic>
          </wp:anchor>
        </w:drawing>
      </w:r>
    </w:p>
    <w:p>
      <w:pPr>
        <w:spacing w:after="0" w:line="4" w:lineRule="exact"/>
        <w:rPr>
          <w:sz w:val="20"/>
          <w:szCs w:val="20"/>
          <w:color w:val="auto"/>
        </w:rPr>
      </w:pPr>
    </w:p>
    <w:p>
      <w:pPr>
        <w:ind w:left="1700"/>
        <w:spacing w:after="0"/>
        <w:tabs>
          <w:tab w:leader="none" w:pos="8120" w:val="left"/>
          <w:tab w:leader="none" w:pos="9180" w:val="left"/>
        </w:tabs>
        <w:rPr>
          <w:sz w:val="20"/>
          <w:szCs w:val="20"/>
          <w:color w:val="auto"/>
        </w:rPr>
      </w:pPr>
      <w:r>
        <w:rPr>
          <w:rFonts w:ascii="Arial" w:cs="Arial" w:eastAsia="Arial" w:hAnsi="Arial"/>
          <w:sz w:val="18"/>
          <w:szCs w:val="18"/>
          <w:color w:val="auto"/>
        </w:rPr>
        <w:t>Employee-related costs and allocated overhead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3810</wp:posOffset>
            </wp:positionV>
            <wp:extent cx="8515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12" w:lineRule="exact"/>
        <w:rPr>
          <w:sz w:val="20"/>
          <w:szCs w:val="20"/>
          <w:color w:val="auto"/>
        </w:rPr>
      </w:pPr>
    </w:p>
    <w:p>
      <w:pPr>
        <w:ind w:left="8140"/>
        <w:spacing w:after="0"/>
        <w:tabs>
          <w:tab w:leader="none" w:pos="9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13970</wp:posOffset>
            </wp:positionV>
            <wp:extent cx="8515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5171440</wp:posOffset>
            </wp:positionH>
            <wp:positionV relativeFrom="paragraph">
              <wp:posOffset>31115</wp:posOffset>
            </wp:positionV>
            <wp:extent cx="8515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32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89" w:lineRule="exact"/>
        <w:rPr>
          <w:sz w:val="20"/>
          <w:szCs w:val="20"/>
          <w:color w:val="auto"/>
        </w:rPr>
      </w:pPr>
    </w:p>
    <w:p>
      <w:pPr>
        <w:ind w:right="520" w:firstLine="510"/>
        <w:spacing w:after="0" w:line="272" w:lineRule="auto"/>
        <w:rPr>
          <w:sz w:val="20"/>
          <w:szCs w:val="20"/>
          <w:color w:val="auto"/>
        </w:rPr>
      </w:pPr>
      <w:r>
        <w:rPr>
          <w:rFonts w:ascii="Arial" w:cs="Arial" w:eastAsia="Arial" w:hAnsi="Arial"/>
          <w:sz w:val="18"/>
          <w:szCs w:val="18"/>
          <w:color w:val="auto"/>
        </w:rPr>
        <w:t>Employee-related costs and allocated overhead expenses increased as a result of increased headcount as we continue to grow our professional services organization to support our customer growth.</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Ended March 31,</w:t>
            </w:r>
          </w:p>
        </w:tc>
        <w:tc>
          <w:tcPr>
            <w:tcW w:w="140" w:type="dxa"/>
            <w:vAlign w:val="bottom"/>
          </w:tcPr>
          <w:p>
            <w:pPr>
              <w:spacing w:after="0"/>
              <w:rPr>
                <w:sz w:val="14"/>
                <w:szCs w:val="14"/>
                <w:color w:val="auto"/>
              </w:rPr>
            </w:pPr>
          </w:p>
        </w:tc>
        <w:tc>
          <w:tcPr>
            <w:tcW w:w="8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8"/>
              </w:rPr>
              <w:t>$ Change</w:t>
            </w:r>
          </w:p>
        </w:tc>
        <w:tc>
          <w:tcPr>
            <w:tcW w:w="200" w:type="dxa"/>
            <w:vAlign w:val="bottom"/>
            <w:vMerge w:val="restart"/>
          </w:tcPr>
          <w:p>
            <w:pPr>
              <w:spacing w:after="0"/>
              <w:rPr>
                <w:sz w:val="14"/>
                <w:szCs w:val="14"/>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1"/>
              <w:spacing w:after="0" w:line="154"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7"/>
              <w:spacing w:after="0" w:line="154"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46,202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35,177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11,025</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7"/>
        </w:trPr>
        <w:tc>
          <w:tcPr>
            <w:tcW w:w="504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60" w:firstLine="510"/>
        <w:spacing w:after="0" w:line="272" w:lineRule="auto"/>
        <w:rPr>
          <w:sz w:val="20"/>
          <w:szCs w:val="20"/>
          <w:color w:val="auto"/>
        </w:rPr>
      </w:pPr>
      <w:r>
        <w:rPr>
          <w:rFonts w:ascii="Arial" w:cs="Arial" w:eastAsia="Arial" w:hAnsi="Arial"/>
          <w:sz w:val="18"/>
          <w:szCs w:val="18"/>
          <w:color w:val="auto"/>
        </w:rPr>
        <w:t>The increase in research and development expense for the three months ended March 31, 2020 compared to the same period in 2019 was primarily due to the following:</w:t>
      </w:r>
    </w:p>
    <w:p>
      <w:pPr>
        <w:spacing w:after="0" w:line="246"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5715</wp:posOffset>
            </wp:positionV>
            <wp:extent cx="8515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4"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-635</wp:posOffset>
            </wp:positionV>
            <wp:extent cx="851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jc w:val="center"/>
        <w:ind w:left="63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tbl>
      <w:tblPr>
        <w:tblLayout w:type="fixed"/>
        <w:tblInd w:w="1700" w:type="dxa"/>
        <w:tblCellMar>
          <w:top w:w="0" w:type="dxa"/>
          <w:left w:w="0" w:type="dxa"/>
          <w:bottom w:w="0" w:type="dxa"/>
          <w:right w:w="0" w:type="dxa"/>
        </w:tblCellMar>
      </w:tblPr>
      <w:tr>
        <w:trPr>
          <w:trHeight w:val="208"/>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480" w:type="dxa"/>
            <w:vAlign w:val="bottom"/>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9,141</w:t>
            </w:r>
          </w:p>
        </w:tc>
        <w:tc>
          <w:tcPr>
            <w:tcW w:w="80" w:type="dxa"/>
            <w:vAlign w:val="bottom"/>
            <w:shd w:val="clear" w:color="auto" w:fill="CFF0FC"/>
          </w:tcPr>
          <w:p>
            <w:pPr>
              <w:spacing w:after="0"/>
              <w:rPr>
                <w:sz w:val="18"/>
                <w:szCs w:val="18"/>
                <w:color w:val="auto"/>
              </w:rPr>
            </w:pPr>
          </w:p>
        </w:tc>
      </w:tr>
      <w:tr>
        <w:trPr>
          <w:trHeight w:val="228"/>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80" w:type="dxa"/>
            <w:vAlign w:val="bottom"/>
            <w:tcBorders>
              <w:bottom w:val="single" w:sz="8" w:color="CFF0FC"/>
            </w:tcBorders>
          </w:tcPr>
          <w:p>
            <w:pPr>
              <w:spacing w:after="0"/>
              <w:rPr>
                <w:sz w:val="19"/>
                <w:szCs w:val="19"/>
                <w:color w:val="auto"/>
              </w:rPr>
            </w:pPr>
          </w:p>
        </w:tc>
      </w:tr>
      <w:tr>
        <w:trPr>
          <w:trHeight w:val="234"/>
        </w:trPr>
        <w:tc>
          <w:tcPr>
            <w:tcW w:w="64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02" w:lineRule="exact"/>
        <w:rPr>
          <w:sz w:val="20"/>
          <w:szCs w:val="20"/>
          <w:color w:val="auto"/>
        </w:rPr>
      </w:pPr>
    </w:p>
    <w:p>
      <w:pPr>
        <w:ind w:right="160" w:firstLine="510"/>
        <w:spacing w:after="0" w:line="260" w:lineRule="auto"/>
        <w:rPr>
          <w:sz w:val="20"/>
          <w:szCs w:val="20"/>
          <w:color w:val="auto"/>
        </w:rPr>
      </w:pPr>
      <w:r>
        <w:rPr>
          <w:rFonts w:ascii="Arial" w:cs="Arial" w:eastAsia="Arial" w:hAnsi="Arial"/>
          <w:sz w:val="18"/>
          <w:szCs w:val="18"/>
          <w:color w:val="auto"/>
        </w:rPr>
        <w:t>Employee-related costs increased as a result of increased headcount as we continue to grow our engineering organization to develop new products, increase functionality and to maintain our existing Growth Platform. Allocated overhead expense increased due to expanding our leased space and infrastructure as we continue to grow our business and expand headcount.</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60"/>
          </w:cols>
          <w:pgMar w:left="320" w:top="621" w:right="419" w:bottom="1440" w:gutter="0" w:footer="0" w:header="0"/>
        </w:sectPr>
      </w:pPr>
    </w:p>
    <w:bookmarkStart w:id="23" w:name="page24"/>
    <w:bookmarkEnd w:id="23"/>
    <w:p>
      <w:pPr>
        <w:ind w:left="5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4"/>
                <w:szCs w:val="14"/>
                <w:color w:val="auto"/>
              </w:rPr>
            </w:pPr>
          </w:p>
        </w:tc>
        <w:tc>
          <w:tcPr>
            <w:tcW w:w="8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vMerge w:val="restart"/>
          </w:tcPr>
          <w:p>
            <w:pPr>
              <w:spacing w:after="0"/>
              <w:rPr>
                <w:sz w:val="14"/>
                <w:szCs w:val="14"/>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9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1"/>
              <w:spacing w:after="0" w:line="154"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77"/>
              <w:spacing w:after="0" w:line="154"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FF0FC"/>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74,905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27,423</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7"/>
        </w:trPr>
        <w:tc>
          <w:tcPr>
            <w:tcW w:w="49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00" w:firstLine="510"/>
        <w:spacing w:after="0" w:line="272" w:lineRule="auto"/>
        <w:rPr>
          <w:sz w:val="20"/>
          <w:szCs w:val="20"/>
          <w:color w:val="auto"/>
        </w:rPr>
      </w:pPr>
      <w:r>
        <w:rPr>
          <w:rFonts w:ascii="Arial" w:cs="Arial" w:eastAsia="Arial" w:hAnsi="Arial"/>
          <w:sz w:val="18"/>
          <w:szCs w:val="18"/>
          <w:color w:val="auto"/>
        </w:rPr>
        <w:t>The increase in sales and marketing expense for the three months ended March 31, 2020 compared to the same period in 2019 was primarily due to the following:</w:t>
      </w:r>
    </w:p>
    <w:p>
      <w:pPr>
        <w:spacing w:after="0" w:line="32"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r>
      <w:tr>
        <w:trPr>
          <w:trHeight w:val="154"/>
        </w:trPr>
        <w:tc>
          <w:tcPr>
            <w:tcW w:w="64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57"/>
              <w:spacing w:after="0" w:line="154" w:lineRule="exact"/>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3"/>
                <w:szCs w:val="13"/>
                <w:color w:val="auto"/>
              </w:rPr>
            </w:pPr>
          </w:p>
        </w:tc>
      </w:tr>
      <w:tr>
        <w:trPr>
          <w:trHeight w:val="154"/>
        </w:trPr>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57"/>
              <w:spacing w:after="0" w:line="154"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3"/>
                <w:szCs w:val="13"/>
                <w:color w:val="auto"/>
              </w:rPr>
            </w:pPr>
          </w:p>
        </w:tc>
      </w:tr>
      <w:tr>
        <w:trPr>
          <w:trHeight w:val="228"/>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17,759</w:t>
            </w:r>
          </w:p>
        </w:tc>
        <w:tc>
          <w:tcPr>
            <w:tcW w:w="80" w:type="dxa"/>
            <w:vAlign w:val="bottom"/>
            <w:shd w:val="clear" w:color="auto" w:fill="CFF0FC"/>
          </w:tcPr>
          <w:p>
            <w:pPr>
              <w:spacing w:after="0"/>
              <w:rPr>
                <w:sz w:val="19"/>
                <w:szCs w:val="19"/>
                <w:color w:val="auto"/>
              </w:rPr>
            </w:pPr>
          </w:p>
        </w:tc>
      </w:tr>
      <w:tr>
        <w:trPr>
          <w:trHeight w:val="227"/>
        </w:trPr>
        <w:tc>
          <w:tcPr>
            <w:tcW w:w="6440" w:type="dxa"/>
            <w:vAlign w:val="bottom"/>
          </w:tcPr>
          <w:p>
            <w:pPr>
              <w:spacing w:after="0"/>
              <w:rPr>
                <w:sz w:val="20"/>
                <w:szCs w:val="20"/>
                <w:color w:val="auto"/>
              </w:rPr>
            </w:pPr>
            <w:r>
              <w:rPr>
                <w:rFonts w:ascii="Arial" w:cs="Arial" w:eastAsia="Arial" w:hAnsi="Arial"/>
                <w:sz w:val="18"/>
                <w:szCs w:val="18"/>
                <w:color w:val="auto"/>
              </w:rPr>
              <w:t>Solutions Partner commissions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4,203</w:t>
            </w:r>
          </w:p>
        </w:tc>
        <w:tc>
          <w:tcPr>
            <w:tcW w:w="8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Marketing programs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80" w:type="dxa"/>
            <w:vAlign w:val="bottom"/>
            <w:shd w:val="clear" w:color="auto" w:fill="CFF0FC"/>
          </w:tcPr>
          <w:p>
            <w:pPr>
              <w:spacing w:after="0"/>
              <w:rPr>
                <w:sz w:val="19"/>
                <w:szCs w:val="19"/>
                <w:color w:val="auto"/>
              </w:rPr>
            </w:pPr>
          </w:p>
        </w:tc>
      </w:tr>
      <w:tr>
        <w:trPr>
          <w:trHeight w:val="228"/>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80" w:type="dxa"/>
            <w:vAlign w:val="bottom"/>
            <w:tcBorders>
              <w:bottom w:val="single" w:sz="8" w:color="CFF0FC"/>
            </w:tcBorders>
          </w:tcPr>
          <w:p>
            <w:pPr>
              <w:spacing w:after="0"/>
              <w:rPr>
                <w:sz w:val="19"/>
                <w:szCs w:val="19"/>
                <w:color w:val="auto"/>
              </w:rPr>
            </w:pPr>
          </w:p>
        </w:tc>
      </w:tr>
      <w:tr>
        <w:trPr>
          <w:trHeight w:val="221"/>
        </w:trPr>
        <w:tc>
          <w:tcPr>
            <w:tcW w:w="6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89" w:lineRule="exact"/>
        <w:rPr>
          <w:sz w:val="20"/>
          <w:szCs w:val="20"/>
          <w:color w:val="auto"/>
        </w:rPr>
      </w:pPr>
    </w:p>
    <w:p>
      <w:pPr>
        <w:ind w:firstLine="510"/>
        <w:spacing w:after="0" w:line="298" w:lineRule="auto"/>
        <w:rPr>
          <w:sz w:val="20"/>
          <w:szCs w:val="20"/>
          <w:color w:val="auto"/>
        </w:rPr>
      </w:pPr>
      <w:r>
        <w:rPr>
          <w:rFonts w:ascii="Arial" w:cs="Arial" w:eastAsia="Arial" w:hAnsi="Arial"/>
          <w:sz w:val="16"/>
          <w:szCs w:val="16"/>
          <w:color w:val="auto"/>
        </w:rPr>
        <w:t>Employee-related costs increased as a result of increased headcount as we continue to expand our selling and marketing organizations to grow our customer base. Solutions Partner commissions increased as a result of increased revenue generated through our partners. Marketing programs increased due to the timing and size of certain marketing efforts as we continue to make investments in attracting new customers. Allocated overhead expenses increased due to expanding our leased space and infrastructure as we continue to grow our business and expand headcount.</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Ended March 31,</w:t>
            </w:r>
          </w:p>
        </w:tc>
        <w:tc>
          <w:tcPr>
            <w:tcW w:w="140" w:type="dxa"/>
            <w:vAlign w:val="bottom"/>
          </w:tcPr>
          <w:p>
            <w:pPr>
              <w:spacing w:after="0"/>
              <w:rPr>
                <w:sz w:val="14"/>
                <w:szCs w:val="14"/>
                <w:color w:val="auto"/>
              </w:rPr>
            </w:pPr>
          </w:p>
        </w:tc>
        <w:tc>
          <w:tcPr>
            <w:tcW w:w="8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8"/>
              </w:rPr>
              <w:t>$ Change</w:t>
            </w:r>
          </w:p>
        </w:tc>
        <w:tc>
          <w:tcPr>
            <w:tcW w:w="200" w:type="dxa"/>
            <w:vAlign w:val="bottom"/>
            <w:vMerge w:val="restart"/>
          </w:tcPr>
          <w:p>
            <w:pPr>
              <w:spacing w:after="0"/>
              <w:rPr>
                <w:sz w:val="14"/>
                <w:szCs w:val="14"/>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1"/>
              <w:spacing w:after="0" w:line="154"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97"/>
              <w:spacing w:after="0" w:line="154"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0"/>
        </w:trPr>
        <w:tc>
          <w:tcPr>
            <w:tcW w:w="504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510"/>
        <w:spacing w:after="0" w:line="272" w:lineRule="auto"/>
        <w:rPr>
          <w:sz w:val="20"/>
          <w:szCs w:val="20"/>
          <w:color w:val="auto"/>
        </w:rPr>
      </w:pPr>
      <w:r>
        <w:rPr>
          <w:rFonts w:ascii="Arial" w:cs="Arial" w:eastAsia="Arial" w:hAnsi="Arial"/>
          <w:sz w:val="18"/>
          <w:szCs w:val="18"/>
          <w:color w:val="auto"/>
        </w:rPr>
        <w:t>The increase in general and administrative expense for the three months ended March 31, 2020 compared to the same period in 2019 was primarily due to the following:</w:t>
      </w:r>
    </w:p>
    <w:p>
      <w:pPr>
        <w:sectPr>
          <w:pgSz w:w="11900" w:h="16838" w:orient="portrait"/>
          <w:cols w:equalWidth="0" w:num="1">
            <w:col w:w="11140"/>
          </w:cols>
          <w:pgMar w:left="320" w:top="66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-130175</wp:posOffset>
            </wp:positionV>
            <wp:extent cx="4987925" cy="144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87925" cy="144780"/>
                    </a:xfrm>
                    <a:prstGeom prst="rect">
                      <a:avLst/>
                    </a:prstGeom>
                    <a:noFill/>
                  </pic:spPr>
                </pic:pic>
              </a:graphicData>
            </a:graphic>
          </wp:anchor>
        </w:drawing>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Allocated overhead expenses</w:t>
      </w:r>
    </w:p>
    <w:p>
      <w:pPr>
        <w:spacing w:after="0" w:line="5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Customer credit card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-130175</wp:posOffset>
            </wp:positionV>
            <wp:extent cx="4987925" cy="144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87925" cy="14478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8515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4" w:lineRule="exact"/>
        <w:rPr>
          <w:sz w:val="20"/>
          <w:szCs w:val="20"/>
          <w:color w:val="auto"/>
        </w:rPr>
      </w:pPr>
    </w:p>
    <w:p>
      <w:pPr>
        <w:jc w:val="center"/>
        <w:ind w:right="1660"/>
        <w:spacing w:after="0"/>
        <w:rPr>
          <w:sz w:val="20"/>
          <w:szCs w:val="20"/>
          <w:color w:val="auto"/>
        </w:rPr>
      </w:pPr>
      <w:r>
        <w:rPr>
          <w:rFonts w:ascii="Arial" w:cs="Arial" w:eastAsia="Arial" w:hAnsi="Arial"/>
          <w:sz w:val="14"/>
          <w:szCs w:val="14"/>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8515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jc w:val="center"/>
        <w:ind w:right="1660"/>
        <w:spacing w:after="0"/>
        <w:rPr>
          <w:sz w:val="20"/>
          <w:szCs w:val="20"/>
          <w:color w:val="auto"/>
        </w:rPr>
      </w:pPr>
      <w:r>
        <w:rPr>
          <w:rFonts w:ascii="Arial" w:cs="Arial" w:eastAsia="Arial" w:hAnsi="Arial"/>
          <w:sz w:val="14"/>
          <w:szCs w:val="14"/>
          <w:b w:val="1"/>
          <w:bCs w:val="1"/>
          <w:color w:val="auto"/>
        </w:rPr>
        <w:t>(in thousands)</w:t>
      </w:r>
    </w:p>
    <w:p>
      <w:pPr>
        <w:spacing w:after="0" w:line="13" w:lineRule="exact"/>
        <w:rPr>
          <w:sz w:val="20"/>
          <w:szCs w:val="20"/>
          <w:color w:val="auto"/>
        </w:rPr>
      </w:pPr>
    </w:p>
    <w:p>
      <w:pPr>
        <w:ind w:left="920" w:hanging="916"/>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3,075</w:t>
      </w:r>
    </w:p>
    <w:p>
      <w:pPr>
        <w:spacing w:after="0" w:line="27"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1,336</w:t>
      </w:r>
    </w:p>
    <w:p>
      <w:pPr>
        <w:spacing w:after="0" w:line="43"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851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51" w:lineRule="exact"/>
        <w:rPr>
          <w:sz w:val="20"/>
          <w:szCs w:val="20"/>
          <w:color w:val="auto"/>
        </w:rPr>
      </w:pPr>
    </w:p>
    <w:p>
      <w:pPr>
        <w:ind w:left="920" w:hanging="916"/>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5,081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8515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15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45720</wp:posOffset>
            </wp:positionV>
            <wp:extent cx="8515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772" w:lineRule="exact"/>
        <w:rPr>
          <w:sz w:val="20"/>
          <w:szCs w:val="20"/>
          <w:color w:val="auto"/>
        </w:rPr>
      </w:pPr>
    </w:p>
    <w:p>
      <w:pPr>
        <w:sectPr>
          <w:pgSz w:w="11900" w:h="16838" w:orient="portrait"/>
          <w:cols w:equalWidth="0" w:num="2">
            <w:col w:w="7420" w:space="720"/>
            <w:col w:w="3000"/>
          </w:cols>
          <w:pgMar w:left="320" w:top="661" w:right="439" w:bottom="1440" w:gutter="0" w:footer="0" w:header="0"/>
          <w:type w:val="continuous"/>
        </w:sectPr>
      </w:pPr>
    </w:p>
    <w:p>
      <w:pPr>
        <w:spacing w:after="0" w:line="89" w:lineRule="exact"/>
        <w:rPr>
          <w:sz w:val="20"/>
          <w:szCs w:val="20"/>
          <w:color w:val="auto"/>
        </w:rPr>
      </w:pPr>
    </w:p>
    <w:p>
      <w:pPr>
        <w:jc w:val="both"/>
        <w:ind w:right="40" w:firstLine="510"/>
        <w:spacing w:after="0" w:line="307" w:lineRule="auto"/>
        <w:rPr>
          <w:sz w:val="20"/>
          <w:szCs w:val="20"/>
          <w:color w:val="auto"/>
        </w:rPr>
      </w:pPr>
      <w:r>
        <w:rPr>
          <w:rFonts w:ascii="Arial" w:cs="Arial" w:eastAsia="Arial" w:hAnsi="Arial"/>
          <w:sz w:val="16"/>
          <w:szCs w:val="16"/>
          <w:color w:val="auto"/>
        </w:rPr>
        <w:t>Employee-related costs increased as a result of increased headcount as we continue to grow our business and require additional personnel to support our expanded operations. Allocated overhead expenses increased due to expanding our leased space and infrastructure as we continue to grow our business and expand headcount. Customer credit card fees increased due to increased customer transactions as we continue to grow our business.</w:t>
      </w: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type w:val="continuous"/>
        </w:sectPr>
      </w:pPr>
    </w:p>
    <w:bookmarkStart w:id="24" w:name="page25"/>
    <w:bookmarkEnd w:id="24"/>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15"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Three Months</w:t>
      </w:r>
    </w:p>
    <w:p>
      <w:pPr>
        <w:jc w:val="center"/>
        <w:ind w:left="178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3162935</wp:posOffset>
            </wp:positionH>
            <wp:positionV relativeFrom="paragraph">
              <wp:posOffset>-3810</wp:posOffset>
            </wp:positionV>
            <wp:extent cx="21024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0248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1220" w:type="dxa"/>
            <w:vAlign w:val="bottom"/>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73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375"/>
              <w:spacing w:after="0"/>
              <w:rPr>
                <w:sz w:val="20"/>
                <w:szCs w:val="20"/>
                <w:color w:val="auto"/>
              </w:rPr>
            </w:pPr>
            <w:r>
              <w:rPr>
                <w:rFonts w:ascii="Arial" w:cs="Arial" w:eastAsia="Arial" w:hAnsi="Arial"/>
                <w:sz w:val="14"/>
                <w:szCs w:val="14"/>
                <w:b w:val="1"/>
                <w:bCs w:val="1"/>
                <w:color w:val="auto"/>
              </w:rPr>
              <w:t>% Change</w:t>
            </w:r>
          </w:p>
        </w:tc>
      </w:tr>
      <w:tr>
        <w:trPr>
          <w:trHeight w:val="221"/>
        </w:trPr>
        <w:tc>
          <w:tcPr>
            <w:tcW w:w="48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rPr>
              <w:t>4,057</w:t>
            </w: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ind w:right="153"/>
              <w:spacing w:after="0"/>
              <w:rPr>
                <w:sz w:val="20"/>
                <w:szCs w:val="20"/>
                <w:color w:val="auto"/>
              </w:rPr>
            </w:pPr>
            <w:r>
              <w:rPr>
                <w:rFonts w:ascii="Arial" w:cs="Arial" w:eastAsia="Arial" w:hAnsi="Arial"/>
                <w:sz w:val="18"/>
                <w:szCs w:val="18"/>
                <w:color w:val="auto"/>
              </w:rPr>
              <w:t>4,174</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4980" w:type="dxa"/>
            <w:vAlign w:val="bottom"/>
            <w:gridSpan w:val="3"/>
          </w:tcPr>
          <w:p>
            <w:pPr>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(5,953)</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(5,513)</w:t>
            </w: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4980" w:type="dxa"/>
            <w:vAlign w:val="bottom"/>
            <w:gridSpan w:val="3"/>
          </w:tcPr>
          <w:p>
            <w:pPr>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(1,052)</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8667%</w:t>
            </w:r>
          </w:p>
        </w:tc>
      </w:tr>
      <w:tr>
        <w:trPr>
          <w:trHeight w:val="227"/>
        </w:trPr>
        <w:tc>
          <w:tcPr>
            <w:tcW w:w="4980" w:type="dxa"/>
            <w:vAlign w:val="bottom"/>
            <w:gridSpan w:val="3"/>
          </w:tcPr>
          <w:p>
            <w:pPr>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680" w:type="dxa"/>
            <w:vAlign w:val="bottom"/>
            <w:gridSpan w:val="2"/>
          </w:tcPr>
          <w:p>
            <w:pPr>
              <w:ind w:left="220"/>
              <w:spacing w:after="0"/>
              <w:rPr>
                <w:sz w:val="20"/>
                <w:szCs w:val="20"/>
                <w:color w:val="auto"/>
              </w:rPr>
            </w:pPr>
            <w:r>
              <w:rPr>
                <w:rFonts w:ascii="Arial" w:cs="Arial" w:eastAsia="Arial" w:hAnsi="Arial"/>
                <w:sz w:val="18"/>
                <w:szCs w:val="18"/>
                <w:color w:val="auto"/>
              </w:rPr>
              <w:t>not meaningful</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15" w:lineRule="exact"/>
        <w:rPr>
          <w:sz w:val="20"/>
          <w:szCs w:val="20"/>
          <w:color w:val="auto"/>
        </w:rPr>
      </w:pPr>
    </w:p>
    <w:p>
      <w:pPr>
        <w:ind w:right="160" w:firstLine="544"/>
        <w:spacing w:after="0" w:line="272"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The decrease during the three months ended March 31, 2020 is due to a decrease in yields on our investment balances.</w:t>
      </w:r>
    </w:p>
    <w:p>
      <w:pPr>
        <w:spacing w:after="0" w:line="174" w:lineRule="exact"/>
        <w:rPr>
          <w:sz w:val="20"/>
          <w:szCs w:val="20"/>
          <w:color w:val="auto"/>
        </w:rPr>
      </w:pPr>
    </w:p>
    <w:p>
      <w:pPr>
        <w:ind w:right="60" w:firstLine="544"/>
        <w:spacing w:after="0" w:line="260" w:lineRule="auto"/>
        <w:rPr>
          <w:sz w:val="20"/>
          <w:szCs w:val="20"/>
          <w:color w:val="auto"/>
        </w:rPr>
      </w:pPr>
      <w:r>
        <w:rPr>
          <w:rFonts w:ascii="Arial" w:cs="Arial" w:eastAsia="Arial" w:hAnsi="Arial"/>
          <w:sz w:val="18"/>
          <w:szCs w:val="18"/>
          <w:color w:val="auto"/>
        </w:rPr>
        <w:t>Interest expense primarily consists of amortization of the debt discount and issuance costs related to the 2022 Notes that is recorded as interest expense and contractual interest expense on the 2022 Notes. The increase during the three months ended March 31, 2020 was primarily due to the use of the effective-interest method to amortize the debt discount and issuance costs related to the 2022 Notes.</w:t>
      </w:r>
    </w:p>
    <w:p>
      <w:pPr>
        <w:spacing w:after="0" w:line="185" w:lineRule="exact"/>
        <w:rPr>
          <w:sz w:val="20"/>
          <w:szCs w:val="20"/>
          <w:color w:val="auto"/>
        </w:rPr>
      </w:pPr>
    </w:p>
    <w:p>
      <w:pPr>
        <w:ind w:right="200" w:firstLine="544"/>
        <w:spacing w:after="0" w:line="272" w:lineRule="auto"/>
        <w:rPr>
          <w:sz w:val="20"/>
          <w:szCs w:val="20"/>
          <w:color w:val="auto"/>
        </w:rPr>
      </w:pPr>
      <w:r>
        <w:rPr>
          <w:rFonts w:ascii="Arial" w:cs="Arial" w:eastAsia="Arial" w:hAnsi="Arial"/>
          <w:sz w:val="18"/>
          <w:szCs w:val="18"/>
          <w:color w:val="auto"/>
        </w:rPr>
        <w:t>Other expense primarily consists of the impact of foreign currency transaction gains and losses associated with monetary assets and liabilities. The increase was primarily due to exchange rate fluctuations.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7" w:lineRule="exact"/>
        <w:rPr>
          <w:sz w:val="20"/>
          <w:szCs w:val="20"/>
          <w:color w:val="auto"/>
        </w:rPr>
      </w:pPr>
    </w:p>
    <w:p>
      <w:pPr>
        <w:jc w:val="center"/>
        <w:ind w:left="1520"/>
        <w:spacing w:after="0"/>
        <w:rPr>
          <w:sz w:val="20"/>
          <w:szCs w:val="20"/>
          <w:color w:val="auto"/>
        </w:rPr>
      </w:pPr>
      <w:r>
        <w:rPr>
          <w:rFonts w:ascii="Arial" w:cs="Arial" w:eastAsia="Arial" w:hAnsi="Arial"/>
          <w:sz w:val="14"/>
          <w:szCs w:val="14"/>
          <w:b w:val="1"/>
          <w:bCs w:val="1"/>
          <w:color w:val="auto"/>
        </w:rPr>
        <w:t>Three Months</w:t>
      </w:r>
    </w:p>
    <w:p>
      <w:pPr>
        <w:spacing w:after="0" w:line="2" w:lineRule="exact"/>
        <w:rPr>
          <w:sz w:val="20"/>
          <w:szCs w:val="20"/>
          <w:color w:val="auto"/>
        </w:rPr>
      </w:pPr>
    </w:p>
    <w:p>
      <w:pPr>
        <w:jc w:val="center"/>
        <w:ind w:left="152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3188335</wp:posOffset>
            </wp:positionH>
            <wp:positionV relativeFrom="paragraph">
              <wp:posOffset>-3810</wp:posOffset>
            </wp:positionV>
            <wp:extent cx="17449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44980" cy="8255"/>
                    </a:xfrm>
                    <a:prstGeom prst="rect">
                      <a:avLst/>
                    </a:prstGeom>
                    <a:noFill/>
                  </pic:spPr>
                </pic:pic>
              </a:graphicData>
            </a:graphic>
          </wp:anchor>
        </w:drawing>
      </w:r>
    </w:p>
    <w:p>
      <w:pPr>
        <w:spacing w:after="0" w:line="58"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4"/>
                <w:szCs w:val="14"/>
                <w:color w:val="auto"/>
              </w:rPr>
            </w:pPr>
          </w:p>
        </w:tc>
      </w:tr>
      <w:tr>
        <w:trPr>
          <w:trHeight w:val="221"/>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r>
        <w:trPr>
          <w:trHeight w:val="227"/>
        </w:trPr>
        <w:tc>
          <w:tcPr>
            <w:tcW w:w="444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Income tax expense consists of current and deferred taxes for U.S. and foreign income taxes.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6" w:lineRule="exact"/>
        <w:rPr>
          <w:sz w:val="20"/>
          <w:szCs w:val="20"/>
          <w:color w:val="auto"/>
        </w:rPr>
      </w:pPr>
    </w:p>
    <w:p>
      <w:pPr>
        <w:ind w:right="680" w:firstLine="510"/>
        <w:spacing w:after="0" w:line="272" w:lineRule="auto"/>
        <w:rPr>
          <w:sz w:val="20"/>
          <w:szCs w:val="20"/>
          <w:color w:val="auto"/>
        </w:rPr>
      </w:pPr>
      <w:r>
        <w:rPr>
          <w:rFonts w:ascii="Arial" w:cs="Arial" w:eastAsia="Arial" w:hAnsi="Arial"/>
          <w:sz w:val="18"/>
          <w:szCs w:val="18"/>
          <w:color w:val="auto"/>
        </w:rPr>
        <w:t>Our principal sources of liquidity to date have been cash and cash equivalents, net accounts receivable, our common stock offerings, and our convertible notes offering.</w:t>
      </w:r>
    </w:p>
    <w:p>
      <w:pPr>
        <w:spacing w:after="0" w:line="174" w:lineRule="exact"/>
        <w:rPr>
          <w:sz w:val="20"/>
          <w:szCs w:val="20"/>
          <w:color w:val="auto"/>
        </w:rPr>
      </w:pPr>
    </w:p>
    <w:p>
      <w:pPr>
        <w:ind w:right="160" w:firstLine="510"/>
        <w:spacing w:after="0" w:line="260" w:lineRule="auto"/>
        <w:rPr>
          <w:sz w:val="20"/>
          <w:szCs w:val="20"/>
          <w:color w:val="auto"/>
        </w:rPr>
      </w:pPr>
      <w:r>
        <w:rPr>
          <w:rFonts w:ascii="Arial" w:cs="Arial" w:eastAsia="Arial" w:hAnsi="Arial"/>
          <w:sz w:val="18"/>
          <w:szCs w:val="18"/>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 for the three months ended March 31, 2020 and 2019.</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154"/>
        </w:trPr>
        <w:tc>
          <w:tcPr>
            <w:tcW w:w="4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7"/>
              <w:spacing w:after="0" w:line="154"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34"/>
              <w:spacing w:after="0" w:line="154"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4"/>
        </w:trPr>
        <w:tc>
          <w:tcPr>
            <w:tcW w:w="4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center"/>
              <w:ind w:left="537"/>
              <w:spacing w:after="0" w:line="154"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8"/>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229,133</w:t>
            </w:r>
          </w:p>
        </w:tc>
        <w:tc>
          <w:tcPr>
            <w:tcW w:w="48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285,126</w:t>
            </w:r>
          </w:p>
        </w:tc>
        <w:tc>
          <w:tcPr>
            <w:tcW w:w="80" w:type="dxa"/>
            <w:vAlign w:val="bottom"/>
            <w:shd w:val="clear" w:color="auto" w:fill="CFF0FC"/>
          </w:tcPr>
          <w:p>
            <w:pPr>
              <w:spacing w:after="0"/>
              <w:rPr>
                <w:sz w:val="19"/>
                <w:szCs w:val="19"/>
                <w:color w:val="auto"/>
              </w:rPr>
            </w:pPr>
          </w:p>
        </w:tc>
      </w:tr>
      <w:tr>
        <w:trPr>
          <w:trHeight w:val="227"/>
        </w:trPr>
        <w:tc>
          <w:tcPr>
            <w:tcW w:w="4520" w:type="dxa"/>
            <w:vAlign w:val="bottom"/>
          </w:tcPr>
          <w:p>
            <w:pPr>
              <w:spacing w:after="0"/>
              <w:rPr>
                <w:sz w:val="20"/>
                <w:szCs w:val="20"/>
                <w:color w:val="auto"/>
              </w:rPr>
            </w:pPr>
            <w:r>
              <w:rPr>
                <w:rFonts w:ascii="Arial" w:cs="Arial" w:eastAsia="Arial" w:hAnsi="Arial"/>
                <w:sz w:val="18"/>
                <w:szCs w:val="18"/>
                <w:color w:val="auto"/>
              </w:rPr>
              <w:t>Working capital</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785,368</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814,827</w:t>
            </w:r>
          </w:p>
        </w:tc>
        <w:tc>
          <w:tcPr>
            <w:tcW w:w="80" w:type="dxa"/>
            <w:vAlign w:val="bottom"/>
          </w:tcPr>
          <w:p>
            <w:pPr>
              <w:spacing w:after="0"/>
              <w:rPr>
                <w:sz w:val="19"/>
                <w:szCs w:val="19"/>
                <w:color w:val="auto"/>
              </w:rPr>
            </w:pPr>
          </w:p>
        </w:tc>
      </w:tr>
      <w:tr>
        <w:trPr>
          <w:trHeight w:val="214"/>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cash and cash equivalents provided by operating</w:t>
            </w: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activities</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23,011</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37,716</w:t>
            </w:r>
          </w:p>
        </w:tc>
        <w:tc>
          <w:tcPr>
            <w:tcW w:w="80" w:type="dxa"/>
            <w:vAlign w:val="bottom"/>
            <w:shd w:val="clear" w:color="auto" w:fill="CFF0FC"/>
          </w:tcPr>
          <w:p>
            <w:pPr>
              <w:spacing w:after="0"/>
              <w:rPr>
                <w:sz w:val="19"/>
                <w:szCs w:val="19"/>
                <w:color w:val="auto"/>
              </w:rPr>
            </w:pPr>
          </w:p>
        </w:tc>
      </w:tr>
      <w:tr>
        <w:trPr>
          <w:trHeight w:val="227"/>
        </w:trPr>
        <w:tc>
          <w:tcPr>
            <w:tcW w:w="4520" w:type="dxa"/>
            <w:vAlign w:val="bottom"/>
          </w:tcPr>
          <w:p>
            <w:pPr>
              <w:spacing w:after="0"/>
              <w:rPr>
                <w:sz w:val="20"/>
                <w:szCs w:val="20"/>
                <w:color w:val="auto"/>
              </w:rPr>
            </w:pPr>
            <w:r>
              <w:rPr>
                <w:rFonts w:ascii="Arial" w:cs="Arial" w:eastAsia="Arial" w:hAnsi="Arial"/>
                <w:sz w:val="18"/>
                <w:szCs w:val="18"/>
                <w:color w:val="auto"/>
                <w:w w:val="98"/>
              </w:rPr>
              <w:t>Net cash and cash equivalents used in investing activities</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(72,881)</w:t>
            </w:r>
          </w:p>
        </w:tc>
        <w:tc>
          <w:tcPr>
            <w:tcW w:w="4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(210,127)</w:t>
            </w:r>
          </w:p>
        </w:tc>
      </w:tr>
      <w:tr>
        <w:trPr>
          <w:trHeight w:val="214"/>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cash and cash equivalents provided by</w:t>
            </w: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financing activities</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5,883</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347,227</w:t>
            </w:r>
          </w:p>
        </w:tc>
        <w:tc>
          <w:tcPr>
            <w:tcW w:w="80" w:type="dxa"/>
            <w:vAlign w:val="bottom"/>
            <w:shd w:val="clear" w:color="auto" w:fill="CFF0FC"/>
          </w:tcPr>
          <w:p>
            <w:pPr>
              <w:spacing w:after="0"/>
              <w:rPr>
                <w:sz w:val="19"/>
                <w:szCs w:val="19"/>
                <w:color w:val="auto"/>
              </w:rPr>
            </w:pPr>
          </w:p>
        </w:tc>
      </w:tr>
    </w:tbl>
    <w:p>
      <w:pPr>
        <w:spacing w:after="0" w:line="281" w:lineRule="exact"/>
        <w:rPr>
          <w:sz w:val="20"/>
          <w:szCs w:val="20"/>
          <w:color w:val="auto"/>
        </w:rPr>
      </w:pPr>
    </w:p>
    <w:p>
      <w:pPr>
        <w:jc w:val="both"/>
        <w:ind w:right="280" w:firstLine="510"/>
        <w:spacing w:after="0" w:line="260" w:lineRule="auto"/>
        <w:rPr>
          <w:sz w:val="20"/>
          <w:szCs w:val="20"/>
          <w:color w:val="auto"/>
        </w:rPr>
      </w:pPr>
      <w:r>
        <w:rPr>
          <w:rFonts w:ascii="Arial" w:cs="Arial" w:eastAsia="Arial" w:hAnsi="Arial"/>
          <w:sz w:val="18"/>
          <w:szCs w:val="18"/>
          <w:color w:val="auto"/>
        </w:rPr>
        <w:t>Our cash and cash equivalents at March 31, 2020 were held for working capital purposes. At March 31, 2020, $44.9 million of our cash and cash equivalents was held in accounts outside the United States. As of December 31, 2018, we no longer assert indefinite reinvestment of our foreign earnings because these earnings have been subject to United States Federal tax. While we have concluded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25" w:name="page26"/>
    <w:bookmarkEnd w:id="25"/>
    <w:p>
      <w:pPr>
        <w:ind w:right="380"/>
        <w:spacing w:after="0" w:line="272" w:lineRule="auto"/>
        <w:rPr>
          <w:sz w:val="20"/>
          <w:szCs w:val="20"/>
          <w:color w:val="auto"/>
        </w:rPr>
      </w:pPr>
      <w:r>
        <w:rPr>
          <w:rFonts w:ascii="Arial" w:cs="Arial" w:eastAsia="Arial" w:hAnsi="Arial"/>
          <w:sz w:val="18"/>
          <w:szCs w:val="18"/>
          <w:color w:val="auto"/>
        </w:rPr>
        <w:t>that any incremental tax incurred upon ultimate distribution of these earnings to be immaterial, our current plans do not demonstrate a need to repatriate undistributed earnings to fund our U.S. operations.</w:t>
      </w:r>
    </w:p>
    <w:p>
      <w:pPr>
        <w:spacing w:after="0" w:line="241" w:lineRule="exact"/>
        <w:rPr>
          <w:sz w:val="20"/>
          <w:szCs w:val="20"/>
          <w:color w:val="auto"/>
        </w:rPr>
      </w:pPr>
    </w:p>
    <w:p>
      <w:pPr>
        <w:ind w:right="100" w:firstLine="510"/>
        <w:spacing w:after="0" w:line="276" w:lineRule="auto"/>
        <w:rPr>
          <w:sz w:val="20"/>
          <w:szCs w:val="20"/>
          <w:color w:val="auto"/>
        </w:rPr>
      </w:pPr>
      <w:r>
        <w:rPr>
          <w:rFonts w:ascii="Arial" w:cs="Arial" w:eastAsia="Arial" w:hAnsi="Arial"/>
          <w:sz w:val="17"/>
          <w:szCs w:val="17"/>
          <w:color w:val="auto"/>
        </w:rPr>
        <w:t>Cash from operations could be affected by various risks and uncertainties, including, but not limited to, the effects of the COVID-19 pandemic and other risks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Operating Activities</w:t>
      </w:r>
    </w:p>
    <w:p>
      <w:pPr>
        <w:spacing w:after="0" w:line="115" w:lineRule="exact"/>
        <w:rPr>
          <w:sz w:val="20"/>
          <w:szCs w:val="20"/>
          <w:color w:val="auto"/>
        </w:rPr>
      </w:pPr>
    </w:p>
    <w:p>
      <w:pPr>
        <w:ind w:right="380" w:firstLine="510"/>
        <w:spacing w:after="0" w:line="272" w:lineRule="auto"/>
        <w:rPr>
          <w:sz w:val="20"/>
          <w:szCs w:val="20"/>
          <w:color w:val="auto"/>
        </w:rPr>
      </w:pPr>
      <w:r>
        <w:rPr>
          <w:rFonts w:ascii="Arial" w:cs="Arial" w:eastAsia="Arial" w:hAnsi="Arial"/>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74" w:lineRule="exact"/>
        <w:rPr>
          <w:sz w:val="20"/>
          <w:szCs w:val="20"/>
          <w:color w:val="auto"/>
        </w:rPr>
      </w:pPr>
    </w:p>
    <w:p>
      <w:pPr>
        <w:ind w:firstLine="544"/>
        <w:spacing w:after="0" w:line="252" w:lineRule="auto"/>
        <w:rPr>
          <w:sz w:val="20"/>
          <w:szCs w:val="20"/>
          <w:color w:val="auto"/>
        </w:rPr>
      </w:pPr>
      <w:r>
        <w:rPr>
          <w:rFonts w:ascii="Arial" w:cs="Arial" w:eastAsia="Arial" w:hAnsi="Arial"/>
          <w:sz w:val="18"/>
          <w:szCs w:val="18"/>
          <w:color w:val="auto"/>
        </w:rPr>
        <w:t>Net cash and cash equivalents provided by operating activities during the three months ended March 31, 2020 primarily reflected our net loss of $17.7 million and accretion of bond discounts of $2.2 million offset by non-cash expenses that included $8.7 million of depreciation and amortization, $27.5 million in stock-based compensation, and $5.7 million of amortization of debt discount and issuance costs. Working capital sources of cash and cash equivalents included a $10.8 million increase in deferred revenue primarily resulting from the growth in the number of customers invoiced during the period, a $9.8 million decrease in accounts receivable related to increased collection, a $1.5 million increase in accounts payable related to timing of bill payments, and a $5.7 million increase in right-of-use asset. These sources of cash and cash equivalents were offset by a $15.1 million increase in prepaid expenses and other assets, a $5.3 million decrease in operating lease liabilities, a $5.4 million decrease in accrued expenses and other liabilities, and a $1.5 million increase in deferred commissions.</w:t>
      </w:r>
    </w:p>
    <w:p>
      <w:pPr>
        <w:spacing w:after="0" w:line="192" w:lineRule="exact"/>
        <w:rPr>
          <w:sz w:val="20"/>
          <w:szCs w:val="20"/>
          <w:color w:val="auto"/>
        </w:rPr>
      </w:pPr>
    </w:p>
    <w:p>
      <w:pPr>
        <w:ind w:right="140" w:firstLine="616"/>
        <w:spacing w:after="0" w:line="268" w:lineRule="auto"/>
        <w:rPr>
          <w:sz w:val="20"/>
          <w:szCs w:val="20"/>
          <w:color w:val="auto"/>
        </w:rPr>
      </w:pPr>
      <w:r>
        <w:rPr>
          <w:rFonts w:ascii="Arial" w:cs="Arial" w:eastAsia="Arial" w:hAnsi="Arial"/>
          <w:sz w:val="17"/>
          <w:szCs w:val="17"/>
          <w:color w:val="auto"/>
        </w:rPr>
        <w:t>Net cash and cash equivalents provided by operating activities during the three months ended March 31, 2019 primarily reflected our net loss of $11.1 million and accretion of bond discounts of $2.8 million offset by non-cash expenses that included $7.0 million of depreciation and amortization, $21.2 million in stock-based compensation and $5.3 million of amortization of debt discount and issuance costs. Working capital sources of cash and cash equivalents included an $8.9 million increase in deferred revenue primarily resulting from the growth in the number of customers invoiced during the period, a $7.8 million decrease in accounts receivable related to increased collection, a $5.5 million increase in right-of-use asset, a $4.9 million increase in accounts payable related to timing of bill payments, and a $0.9 million decrease in prepaid expenses and other assets. These sources of cash and cash equivalents were offset by a $4.1 million decrease in operating lease liabilities, a $3.3 million increase in deferred commissions and a $2.1 million decrease in accrued expenses and other liabilities.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Used in Investing Activities</w:t>
      </w:r>
    </w:p>
    <w:p>
      <w:pPr>
        <w:spacing w:after="0" w:line="115" w:lineRule="exact"/>
        <w:rPr>
          <w:sz w:val="20"/>
          <w:szCs w:val="20"/>
          <w:color w:val="auto"/>
        </w:rPr>
      </w:pPr>
    </w:p>
    <w:p>
      <w:pPr>
        <w:ind w:right="40" w:firstLine="544"/>
        <w:spacing w:after="0" w:line="260" w:lineRule="auto"/>
        <w:rPr>
          <w:sz w:val="20"/>
          <w:szCs w:val="20"/>
          <w:color w:val="auto"/>
        </w:rPr>
      </w:pPr>
      <w:r>
        <w:rPr>
          <w:rFonts w:ascii="Arial" w:cs="Arial" w:eastAsia="Arial" w:hAnsi="Arial"/>
          <w:sz w:val="18"/>
          <w:szCs w:val="18"/>
          <w:color w:val="auto"/>
        </w:rPr>
        <w:t>Our investing activities have consisted primarily of purchases and maturities of investments, property and equipment purchases, and capitalization of software development costs. Capitalized software development costs are related to new products or improvements to our existing software platform that expands the functionality for our customers.</w:t>
      </w:r>
    </w:p>
    <w:p>
      <w:pPr>
        <w:spacing w:after="0" w:line="185" w:lineRule="exact"/>
        <w:rPr>
          <w:sz w:val="20"/>
          <w:szCs w:val="20"/>
          <w:color w:val="auto"/>
        </w:rPr>
      </w:pPr>
    </w:p>
    <w:p>
      <w:pPr>
        <w:ind w:right="300" w:firstLine="544"/>
        <w:spacing w:after="0" w:line="260" w:lineRule="auto"/>
        <w:rPr>
          <w:sz w:val="20"/>
          <w:szCs w:val="20"/>
          <w:color w:val="auto"/>
        </w:rPr>
      </w:pPr>
      <w:r>
        <w:rPr>
          <w:rFonts w:ascii="Arial" w:cs="Arial" w:eastAsia="Arial" w:hAnsi="Arial"/>
          <w:sz w:val="18"/>
          <w:szCs w:val="18"/>
          <w:color w:val="auto"/>
        </w:rPr>
        <w:t>Net cash and cash equivalents used in investing activities during the three months ended March 31, 2020 consisted primarily of $439.9 million purchases of investments, $11.1 million of purchased property and equipment, and $4.8 million of capitalized software development costs. These uses of cash were offset by $382.9 million received related to the maturity of investments.</w:t>
      </w:r>
    </w:p>
    <w:p>
      <w:pPr>
        <w:spacing w:after="0" w:line="185" w:lineRule="exact"/>
        <w:rPr>
          <w:sz w:val="20"/>
          <w:szCs w:val="20"/>
          <w:color w:val="auto"/>
        </w:rPr>
      </w:pPr>
    </w:p>
    <w:p>
      <w:pPr>
        <w:ind w:right="20" w:firstLine="580"/>
        <w:spacing w:after="0" w:line="260" w:lineRule="auto"/>
        <w:rPr>
          <w:sz w:val="20"/>
          <w:szCs w:val="20"/>
          <w:color w:val="auto"/>
        </w:rPr>
      </w:pPr>
      <w:r>
        <w:rPr>
          <w:rFonts w:ascii="Arial" w:cs="Arial" w:eastAsia="Arial" w:hAnsi="Arial"/>
          <w:sz w:val="18"/>
          <w:szCs w:val="18"/>
          <w:color w:val="auto"/>
        </w:rPr>
        <w:t>Net cash and cash equivalents used in investing activities during the three months ended March 31, 2019 consisted primarily of $386.5 million purchases of investments, $4.3 million of purchased property and equipment, and $2.8 million of capitalized software development costs. These uses of cash were offset by $183.5 million received related to the maturity of investments.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Financing Activities</w:t>
      </w:r>
    </w:p>
    <w:p>
      <w:pPr>
        <w:spacing w:after="0" w:line="115" w:lineRule="exact"/>
        <w:rPr>
          <w:sz w:val="20"/>
          <w:szCs w:val="20"/>
          <w:color w:val="auto"/>
        </w:rPr>
      </w:pPr>
    </w:p>
    <w:p>
      <w:pPr>
        <w:ind w:right="580" w:firstLine="510"/>
        <w:spacing w:after="0" w:line="302" w:lineRule="auto"/>
        <w:rPr>
          <w:sz w:val="20"/>
          <w:szCs w:val="20"/>
          <w:color w:val="auto"/>
        </w:rPr>
      </w:pPr>
      <w:r>
        <w:rPr>
          <w:rFonts w:ascii="Arial" w:cs="Arial" w:eastAsia="Arial" w:hAnsi="Arial"/>
          <w:sz w:val="17"/>
          <w:szCs w:val="17"/>
          <w:color w:val="auto"/>
        </w:rPr>
        <w:t>Our financing activities have consisted primarily of our stock offerings, the issuance of our common stock under our stock plans, payments of employee taxes related to the net share settlement of stock-based awards, and repayments of our finance lease obligations.</w:t>
      </w:r>
    </w:p>
    <w:p>
      <w:pPr>
        <w:spacing w:after="0" w:line="152" w:lineRule="exact"/>
        <w:rPr>
          <w:sz w:val="20"/>
          <w:szCs w:val="20"/>
          <w:color w:val="auto"/>
        </w:rPr>
      </w:pPr>
    </w:p>
    <w:p>
      <w:pPr>
        <w:ind w:right="240" w:firstLine="544"/>
        <w:spacing w:after="0" w:line="260" w:lineRule="auto"/>
        <w:rPr>
          <w:sz w:val="20"/>
          <w:szCs w:val="20"/>
          <w:color w:val="auto"/>
        </w:rPr>
      </w:pPr>
      <w:r>
        <w:rPr>
          <w:rFonts w:ascii="Arial" w:cs="Arial" w:eastAsia="Arial" w:hAnsi="Arial"/>
          <w:sz w:val="18"/>
          <w:szCs w:val="18"/>
          <w:color w:val="auto"/>
        </w:rPr>
        <w:t>For the three months ended March 31, 2020 cash provided by financing activities consisted of $6.9 million of proceeds related to issuance of common stock under stock plans. This source of cash was offset by $0.9 million used for payment of employee taxes related to the net share settlement of stock-based awards.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26" w:name="page27"/>
    <w:bookmarkEnd w:id="26"/>
    <w:p>
      <w:pPr>
        <w:ind w:right="140" w:firstLine="580"/>
        <w:spacing w:after="0" w:line="260" w:lineRule="auto"/>
        <w:rPr>
          <w:sz w:val="20"/>
          <w:szCs w:val="20"/>
          <w:color w:val="auto"/>
        </w:rPr>
      </w:pPr>
      <w:r>
        <w:rPr>
          <w:rFonts w:ascii="Arial" w:cs="Arial" w:eastAsia="Arial" w:hAnsi="Arial"/>
          <w:sz w:val="18"/>
          <w:szCs w:val="18"/>
          <w:color w:val="auto"/>
        </w:rPr>
        <w:t>For the three months ended March 31, 2019, cash provided by financing activities consisted primarily of $342.7 million of net proceeds related to common stock offering and $5.7 million of proceeds related to issuance of common stock under stock plans. This source of cash was offset by $1.1 million used for payment of employee taxes related to the net share settlement of stock-based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6" w:lineRule="exact"/>
        <w:rPr>
          <w:sz w:val="20"/>
          <w:szCs w:val="20"/>
          <w:color w:val="auto"/>
        </w:rPr>
      </w:pPr>
    </w:p>
    <w:p>
      <w:pPr>
        <w:ind w:right="620" w:firstLine="749"/>
        <w:spacing w:after="0" w:line="336" w:lineRule="auto"/>
        <w:rPr>
          <w:sz w:val="20"/>
          <w:szCs w:val="20"/>
          <w:color w:val="auto"/>
        </w:rPr>
      </w:pPr>
      <w:r>
        <w:rPr>
          <w:rFonts w:ascii="Arial" w:cs="Arial" w:eastAsia="Arial" w:hAnsi="Arial"/>
          <w:sz w:val="16"/>
          <w:szCs w:val="16"/>
          <w:color w:val="auto"/>
        </w:rPr>
        <w:t>There have been no significant changes in our critical accounting policies and estimates during the three months ended March 31, 2020 as compared to the critical accounting policies and estimates disclosed in our Annual Report on Form 10-K for the year ended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9" w:lineRule="exact"/>
        <w:rPr>
          <w:sz w:val="20"/>
          <w:szCs w:val="20"/>
          <w:color w:val="auto"/>
        </w:rPr>
      </w:pPr>
    </w:p>
    <w:p>
      <w:pPr>
        <w:ind w:right="80" w:firstLine="510"/>
        <w:spacing w:after="0" w:line="260" w:lineRule="auto"/>
        <w:rPr>
          <w:sz w:val="20"/>
          <w:szCs w:val="20"/>
          <w:color w:val="auto"/>
        </w:rPr>
      </w:pPr>
      <w:r>
        <w:rPr>
          <w:rFonts w:ascii="Arial" w:cs="Arial" w:eastAsia="Arial" w:hAnsi="Arial"/>
          <w:sz w:val="18"/>
          <w:szCs w:val="18"/>
          <w:color w:val="auto"/>
        </w:rPr>
        <w:t>As of March 31, 2020, there were no material changes in our contractual obligations and commitments from those disclosed in the Annual Report on Form 10-K filed with the SEC on February 12, 2020, other than those in the notes to the consolidated financial statements appearing elsewhere in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ind w:right="160" w:firstLine="510"/>
        <w:spacing w:after="0" w:line="272" w:lineRule="auto"/>
        <w:rPr>
          <w:sz w:val="20"/>
          <w:szCs w:val="20"/>
          <w:color w:val="auto"/>
        </w:rPr>
      </w:pPr>
      <w:r>
        <w:rPr>
          <w:rFonts w:ascii="Arial" w:cs="Arial" w:eastAsia="Arial" w:hAnsi="Arial"/>
          <w:sz w:val="18"/>
          <w:szCs w:val="18"/>
          <w:color w:val="auto"/>
        </w:rPr>
        <w:t xml:space="preserve">For information on recent accounting pronouncements,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appearing elsewhere in this Quarterly Report on Form 10-Q.</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ind w:right="460" w:firstLine="510"/>
        <w:spacing w:after="0" w:line="260" w:lineRule="auto"/>
        <w:rPr>
          <w:sz w:val="20"/>
          <w:szCs w:val="20"/>
          <w:color w:val="auto"/>
        </w:rPr>
      </w:pPr>
      <w:r>
        <w:rPr>
          <w:rFonts w:ascii="Arial" w:cs="Arial" w:eastAsia="Arial" w:hAnsi="Arial"/>
          <w:sz w:val="18"/>
          <w:szCs w:val="18"/>
          <w:color w:val="auto"/>
        </w:rPr>
        <w:t>During the three months ended March 31, 2020, we had no material off-balance sheet arrangements, exclusive of operating leases and indemnifications of officers, directors and employees for certain events or occurrences while the officer, director or employee is, or was, serving at our request in such capacity.</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5" w:lineRule="exact"/>
        <w:rPr>
          <w:sz w:val="20"/>
          <w:szCs w:val="20"/>
          <w:color w:val="auto"/>
        </w:rPr>
      </w:pPr>
    </w:p>
    <w:p>
      <w:pPr>
        <w:ind w:right="360" w:firstLine="544"/>
        <w:spacing w:after="0" w:line="282"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primarily the Euro, British Pound Sterling, Australian dollar, Singaporean dollar, Japanese Yen, and Colombian Peso. Since we translate foreign currencies into U.S. dollars for financial reporting purposes, currency fluctuations can have an impact on our financial results.</w:t>
      </w:r>
    </w:p>
    <w:p>
      <w:pPr>
        <w:spacing w:after="0" w:line="169" w:lineRule="exact"/>
        <w:rPr>
          <w:sz w:val="20"/>
          <w:szCs w:val="20"/>
          <w:color w:val="auto"/>
        </w:rPr>
      </w:pPr>
    </w:p>
    <w:p>
      <w:pPr>
        <w:ind w:right="40" w:firstLine="544"/>
        <w:spacing w:after="0" w:line="293" w:lineRule="auto"/>
        <w:rPr>
          <w:sz w:val="20"/>
          <w:szCs w:val="20"/>
          <w:color w:val="auto"/>
        </w:rPr>
      </w:pPr>
      <w:r>
        <w:rPr>
          <w:rFonts w:ascii="Arial" w:cs="Arial" w:eastAsia="Arial" w:hAnsi="Arial"/>
          <w:sz w:val="16"/>
          <w:szCs w:val="16"/>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periods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5" w:lineRule="exact"/>
        <w:rPr>
          <w:sz w:val="20"/>
          <w:szCs w:val="20"/>
          <w:color w:val="auto"/>
        </w:rPr>
      </w:pPr>
    </w:p>
    <w:p>
      <w:pPr>
        <w:ind w:firstLine="544"/>
        <w:spacing w:after="0" w:line="273" w:lineRule="auto"/>
        <w:rPr>
          <w:sz w:val="20"/>
          <w:szCs w:val="20"/>
          <w:color w:val="auto"/>
        </w:rPr>
      </w:pPr>
      <w:r>
        <w:rPr>
          <w:rFonts w:ascii="Arial" w:cs="Arial" w:eastAsia="Arial" w:hAnsi="Arial"/>
          <w:sz w:val="17"/>
          <w:szCs w:val="17"/>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5" w:lineRule="exact"/>
        <w:rPr>
          <w:sz w:val="20"/>
          <w:szCs w:val="20"/>
          <w:color w:val="auto"/>
        </w:rPr>
      </w:pPr>
    </w:p>
    <w:p>
      <w:pPr>
        <w:ind w:right="120" w:firstLine="544"/>
        <w:spacing w:after="0" w:line="260" w:lineRule="auto"/>
        <w:rPr>
          <w:sz w:val="20"/>
          <w:szCs w:val="20"/>
          <w:color w:val="auto"/>
        </w:rPr>
      </w:pPr>
      <w:r>
        <w:rPr>
          <w:rFonts w:ascii="Arial" w:cs="Arial" w:eastAsia="Arial" w:hAnsi="Arial"/>
          <w:sz w:val="18"/>
          <w:szCs w:val="18"/>
          <w:color w:val="auto"/>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b w:val="1"/>
          <w:bCs w:val="1"/>
          <w:i w:val="1"/>
          <w:iCs w:val="1"/>
          <w:color w:val="auto"/>
        </w:rPr>
        <w:t>Market Risk and Market Interest Risk</w:t>
      </w:r>
    </w:p>
    <w:p>
      <w:pPr>
        <w:spacing w:after="0" w:line="115" w:lineRule="exact"/>
        <w:rPr>
          <w:sz w:val="20"/>
          <w:szCs w:val="20"/>
          <w:color w:val="auto"/>
        </w:rPr>
      </w:pPr>
    </w:p>
    <w:p>
      <w:pPr>
        <w:ind w:right="20" w:firstLine="544"/>
        <w:spacing w:after="0" w:line="269" w:lineRule="auto"/>
        <w:rPr>
          <w:sz w:val="20"/>
          <w:szCs w:val="20"/>
          <w:color w:val="auto"/>
        </w:rPr>
      </w:pPr>
      <w:r>
        <w:rPr>
          <w:rFonts w:ascii="Arial" w:cs="Arial" w:eastAsia="Arial" w:hAnsi="Arial"/>
          <w:sz w:val="17"/>
          <w:szCs w:val="17"/>
          <w:color w:val="auto"/>
        </w:rPr>
        <w:t>In May 2017, we issued $400 million aggregate principal amount of 0.25% convertible senior notes due 2022, of which $2 thousand was settled in cash during the first quarter of 2020. 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 of 2022 Notes will increase as interest rates fall and decrease as interest rates rise. Additionally, we carry the convertible senior notes at face value less unamortized discount on our balance sheet, and we present the fair value for required disclosure purposes only.</w:t>
      </w:r>
    </w:p>
    <w:p>
      <w:pPr>
        <w:spacing w:after="0" w:line="222" w:lineRule="exact"/>
        <w:rPr>
          <w:sz w:val="20"/>
          <w:szCs w:val="20"/>
          <w:color w:val="auto"/>
        </w:rPr>
      </w:pPr>
    </w:p>
    <w:p>
      <w:pPr>
        <w:ind w:right="60" w:firstLine="544"/>
        <w:spacing w:after="0" w:line="260" w:lineRule="auto"/>
        <w:rPr>
          <w:sz w:val="20"/>
          <w:szCs w:val="20"/>
          <w:color w:val="auto"/>
        </w:rPr>
      </w:pPr>
      <w:r>
        <w:rPr>
          <w:rFonts w:ascii="Arial" w:cs="Arial" w:eastAsia="Arial" w:hAnsi="Arial"/>
          <w:sz w:val="18"/>
          <w:szCs w:val="18"/>
          <w:color w:val="auto"/>
        </w:rPr>
        <w:t>The table below provides a sensitivity analysis of hypothetical 10% changes of our stock price as of March 31, 2020 and the estimated impact on the fair value of the 2022 Notes. The selected scenarios are not predictions of future events, but rather are intended to illustrate the effect such event may have on the fair value of the 2022 Notes.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3"/>
              </w:rPr>
              <w:t>Estimated change</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Hypothetical</w:t>
            </w:r>
          </w:p>
        </w:tc>
        <w:tc>
          <w:tcPr>
            <w:tcW w:w="0" w:type="dxa"/>
            <w:vAlign w:val="bottom"/>
          </w:tcPr>
          <w:p>
            <w:pPr>
              <w:spacing w:after="0"/>
              <w:rPr>
                <w:sz w:val="1"/>
                <w:szCs w:val="1"/>
                <w:color w:val="auto"/>
              </w:rPr>
            </w:pPr>
          </w:p>
        </w:tc>
      </w:tr>
      <w:tr>
        <w:trPr>
          <w:trHeight w:val="147"/>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Hypothetical change in HubSpot stock price</w:t>
            </w:r>
          </w:p>
        </w:tc>
        <w:tc>
          <w:tcPr>
            <w:tcW w:w="1560" w:type="dxa"/>
            <w:vAlign w:val="bottom"/>
          </w:tcPr>
          <w:p>
            <w:pPr>
              <w:spacing w:after="0"/>
              <w:rPr>
                <w:sz w:val="12"/>
                <w:szCs w:val="12"/>
                <w:color w:val="auto"/>
              </w:rPr>
            </w:pPr>
          </w:p>
        </w:tc>
        <w:tc>
          <w:tcPr>
            <w:tcW w:w="136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260" w:type="dxa"/>
            <w:vAlign w:val="bottom"/>
            <w:vMerge w:val="restart"/>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6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8"/>
              </w:rPr>
              <w:t>percentage increase</w:t>
            </w:r>
          </w:p>
        </w:tc>
        <w:tc>
          <w:tcPr>
            <w:tcW w:w="0" w:type="dxa"/>
            <w:vAlign w:val="bottom"/>
          </w:tcPr>
          <w:p>
            <w:pPr>
              <w:spacing w:after="0"/>
              <w:rPr>
                <w:sz w:val="1"/>
                <w:szCs w:val="1"/>
                <w:color w:val="auto"/>
              </w:rPr>
            </w:pPr>
          </w:p>
        </w:tc>
      </w:tr>
      <w:tr>
        <w:trPr>
          <w:trHeight w:val="170"/>
        </w:trPr>
        <w:tc>
          <w:tcPr>
            <w:tcW w:w="392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in fair value</w:t>
            </w:r>
          </w:p>
        </w:tc>
        <w:tc>
          <w:tcPr>
            <w:tcW w:w="16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(decrease) in fair value</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10% increase</w:t>
            </w: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647,088</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49,280</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7"/>
        </w:trPr>
        <w:tc>
          <w:tcPr>
            <w:tcW w:w="3920" w:type="dxa"/>
            <w:vAlign w:val="bottom"/>
          </w:tcPr>
          <w:p>
            <w:pPr>
              <w:spacing w:after="0"/>
              <w:rPr>
                <w:sz w:val="20"/>
                <w:szCs w:val="20"/>
                <w:color w:val="auto"/>
              </w:rPr>
            </w:pPr>
            <w:r>
              <w:rPr>
                <w:rFonts w:ascii="Arial" w:cs="Arial" w:eastAsia="Arial" w:hAnsi="Arial"/>
                <w:sz w:val="18"/>
                <w:szCs w:val="18"/>
                <w:color w:val="auto"/>
              </w:rPr>
              <w:t>No change</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597,808</w:t>
            </w:r>
          </w:p>
        </w:tc>
        <w:tc>
          <w:tcPr>
            <w:tcW w:w="26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10% decrease</w:t>
            </w: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548,936</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(48,872)</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38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9" w:lineRule="exact"/>
        <w:rPr>
          <w:sz w:val="20"/>
          <w:szCs w:val="20"/>
          <w:color w:val="auto"/>
        </w:rPr>
      </w:pPr>
    </w:p>
    <w:p>
      <w:pPr>
        <w:ind w:firstLine="510"/>
        <w:spacing w:after="0" w:line="298" w:lineRule="auto"/>
        <w:rPr>
          <w:sz w:val="20"/>
          <w:szCs w:val="20"/>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59" w:lineRule="exact"/>
        <w:rPr>
          <w:sz w:val="20"/>
          <w:szCs w:val="20"/>
          <w:color w:val="auto"/>
        </w:rPr>
      </w:pPr>
    </w:p>
    <w:p>
      <w:pPr>
        <w:jc w:val="both"/>
        <w:ind w:right="80" w:firstLine="510"/>
        <w:spacing w:after="0" w:line="260"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8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u w:val="single" w:color="auto"/>
          <w:color w:val="auto"/>
        </w:rPr>
        <w:t>Inherent Limitations of Internal Controls</w:t>
      </w:r>
      <w:r>
        <w:rPr>
          <w:rFonts w:ascii="Arial" w:cs="Arial" w:eastAsia="Arial" w:hAnsi="Arial"/>
          <w:sz w:val="16"/>
          <w:szCs w:val="16"/>
          <w:color w:val="auto"/>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9" w:lineRule="exact"/>
        <w:rPr>
          <w:sz w:val="20"/>
          <w:szCs w:val="20"/>
          <w:color w:val="auto"/>
        </w:rPr>
      </w:pPr>
    </w:p>
    <w:p>
      <w:pPr>
        <w:ind w:firstLine="510"/>
        <w:spacing w:after="0" w:line="276"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29" w:name="page30"/>
    <w:bookmarkEnd w:id="29"/>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9"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333"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The effects of the COVID-19 pandemic have materially affected how we and our customers are operating our businesses, and the duration and extent to which this will impact our future results of operations and overall financial performance remains uncertain.</w:t>
      </w:r>
    </w:p>
    <w:p>
      <w:pPr>
        <w:spacing w:after="0" w:line="67" w:lineRule="exact"/>
        <w:rPr>
          <w:sz w:val="20"/>
          <w:szCs w:val="20"/>
          <w:color w:val="auto"/>
        </w:rPr>
      </w:pPr>
    </w:p>
    <w:p>
      <w:pPr>
        <w:ind w:firstLine="749"/>
        <w:spacing w:after="0" w:line="252" w:lineRule="auto"/>
        <w:rPr>
          <w:sz w:val="20"/>
          <w:szCs w:val="20"/>
          <w:color w:val="auto"/>
        </w:rPr>
      </w:pPr>
      <w:r>
        <w:rPr>
          <w:rFonts w:ascii="Arial" w:cs="Arial" w:eastAsia="Arial" w:hAnsi="Arial"/>
          <w:sz w:val="18"/>
          <w:szCs w:val="18"/>
          <w:color w:val="auto"/>
        </w:rPr>
        <w:t>In December 2019, a novel coronavirus disease, or COVID-19, was reported and in January 2020, the World Health Organization, or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The COVID-19 pandemic, which has continued to spread, and the related adverse public health developments, including orders to shelter-in-place, travel restrictions, and mandated business closures, have adversely affected workforces, organizations, customers, economies, and financial markets globally, leading to an economic downturn and increased market volatility. It has also disrupted the normal operations of many businesses, including ours.</w:t>
      </w:r>
    </w:p>
    <w:p>
      <w:pPr>
        <w:spacing w:after="0" w:line="87" w:lineRule="exact"/>
        <w:rPr>
          <w:sz w:val="20"/>
          <w:szCs w:val="20"/>
          <w:color w:val="auto"/>
        </w:rPr>
      </w:pPr>
    </w:p>
    <w:p>
      <w:pPr>
        <w:ind w:right="120" w:firstLine="749"/>
        <w:spacing w:after="0" w:line="252" w:lineRule="auto"/>
        <w:rPr>
          <w:sz w:val="20"/>
          <w:szCs w:val="20"/>
          <w:color w:val="auto"/>
        </w:rPr>
      </w:pPr>
      <w:r>
        <w:rPr>
          <w:rFonts w:ascii="Arial" w:cs="Arial" w:eastAsia="Arial" w:hAnsi="Arial"/>
          <w:sz w:val="18"/>
          <w:szCs w:val="18"/>
          <w:color w:val="auto"/>
        </w:rPr>
        <w:t>As a result of the COVID-19 pandemic, we have temporarily closed our global offices, including our corporate headquarters, suspended all company-related travel, and all HubSpot employees globally are required to work from home for the foreseeable future. We have shifted our Solutions Partner events to virtual-only experiences, and have cancelled other customer and industry events. We may deem it advisable to similarly alter, postpone or cancel entirely additional customer, employee or industry events in the future, including INBOUND 2020. All of these changes may disrupt the way we operate our business. Given that the economic consequences of the COVID-19 pandemic have been exceptionally challenging for many of our customers and prospects, we have also implemented certain changes to our pricing structure, including reducing prices on our Starter Growth Suite, offering certain product functionality free of charge, suspending marketing email send limits, and offering a six-month advance on commissions to certain of our Solutions Partners.</w:t>
      </w:r>
    </w:p>
    <w:p>
      <w:pPr>
        <w:spacing w:after="0" w:line="84" w:lineRule="exact"/>
        <w:rPr>
          <w:sz w:val="20"/>
          <w:szCs w:val="20"/>
          <w:color w:val="auto"/>
        </w:rPr>
      </w:pPr>
    </w:p>
    <w:p>
      <w:pPr>
        <w:ind w:right="120" w:firstLine="749"/>
        <w:spacing w:after="0" w:line="276" w:lineRule="auto"/>
        <w:rPr>
          <w:sz w:val="20"/>
          <w:szCs w:val="20"/>
          <w:color w:val="auto"/>
        </w:rPr>
      </w:pPr>
      <w:r>
        <w:rPr>
          <w:rFonts w:ascii="Arial" w:cs="Arial" w:eastAsia="Arial" w:hAnsi="Arial"/>
          <w:sz w:val="17"/>
          <w:szCs w:val="17"/>
          <w:color w:val="auto"/>
        </w:rPr>
        <w:t>Moreover, the conditions caused by the COVID-19 pandemic can affect the rate of spending on software products and could adversely affect our customers’ ability or willingness to purchase our offerings; the timing of our current or prospective customers’ purchasing decisions; pricing discounts or extended payment terms; reductions in the amount or duration of customers’ subscription contracts; or increase customer attrition rates, all of which could adversely affect our future sales, operating results and overall financial performance.</w:t>
      </w:r>
    </w:p>
    <w:p>
      <w:pPr>
        <w:spacing w:after="0" w:line="66"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Our operations have also begun to be negatively affected by a range of external factors related to the COVID-19 pandemic that are not within our control. For example, many cities, counties, states, and even countries have imposed or may impose a wide range of restrictions on the physical movement of our employees, partners and customers to limit the spread of COVID-19. If the COVID-19 pandemic has a substantial impact on the productivity of our employees, and partners or a continued substantial impact on the attendance of our employees, or a continued and substantial impact on the ability of our customers to purchase our offerings, our results of operations and overall financial performance may be harmed.</w:t>
      </w:r>
    </w:p>
    <w:p>
      <w:pPr>
        <w:spacing w:after="0" w:line="57" w:lineRule="exact"/>
        <w:rPr>
          <w:sz w:val="20"/>
          <w:szCs w:val="20"/>
          <w:color w:val="auto"/>
        </w:rPr>
      </w:pPr>
    </w:p>
    <w:p>
      <w:pPr>
        <w:ind w:right="160" w:firstLine="749"/>
        <w:spacing w:after="0" w:line="256" w:lineRule="auto"/>
        <w:rPr>
          <w:sz w:val="20"/>
          <w:szCs w:val="20"/>
          <w:color w:val="auto"/>
        </w:rPr>
      </w:pPr>
      <w:r>
        <w:rPr>
          <w:rFonts w:ascii="Arial" w:cs="Arial" w:eastAsia="Arial" w:hAnsi="Arial"/>
          <w:sz w:val="18"/>
          <w:szCs w:val="18"/>
          <w:color w:val="auto"/>
        </w:rPr>
        <w:t>The duration and extent of the impact from the COVID-19 pandemic depends on future developments that cannot be accurately predicted at this time, such as the severity and transmission rate of the virus, the extent and effectiveness of containment actions, the disruption caused by such actions, and the impact of these and other factors on our employees, customers, partners and vendors. If we are not able to respond to and manage the impact of such events effectively, our business will be harmed.</w:t>
      </w:r>
    </w:p>
    <w:p>
      <w:pPr>
        <w:spacing w:after="0" w:line="82" w:lineRule="exact"/>
        <w:rPr>
          <w:sz w:val="20"/>
          <w:szCs w:val="20"/>
          <w:color w:val="auto"/>
        </w:rPr>
      </w:pPr>
    </w:p>
    <w:p>
      <w:pPr>
        <w:ind w:right="80" w:firstLine="749"/>
        <w:spacing w:after="0" w:line="298" w:lineRule="auto"/>
        <w:rPr>
          <w:sz w:val="20"/>
          <w:szCs w:val="20"/>
          <w:color w:val="auto"/>
        </w:rPr>
      </w:pPr>
      <w:r>
        <w:rPr>
          <w:rFonts w:ascii="Arial" w:cs="Arial" w:eastAsia="Arial" w:hAnsi="Arial"/>
          <w:sz w:val="16"/>
          <w:szCs w:val="16"/>
          <w:color w:val="auto"/>
        </w:rPr>
        <w:t>To the extent the COVID-19 pandemic adversely affects our business and financial results, it may also have the effect of heightening many of the other risks described in this “Risk Factors” section, including, in particular, risks related to our dependence on customer renewals, the addition of new customers and increased revenue from existing customer, risks that our operating results could be negatively affected by changes in the sizes or types of businesses that purchase our platform and the risk that weakened global economic conditions may harm our industry, business and results of operations.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30" w:name="page31"/>
    <w:bookmarkEnd w:id="30"/>
    <w:p>
      <w:pPr>
        <w:ind w:right="20" w:firstLine="510"/>
        <w:spacing w:after="0" w:line="287" w:lineRule="auto"/>
        <w:rPr>
          <w:sz w:val="20"/>
          <w:szCs w:val="20"/>
          <w:color w:val="auto"/>
        </w:rPr>
      </w:pPr>
      <w:r>
        <w:rPr>
          <w:rFonts w:ascii="Arial" w:cs="Arial" w:eastAsia="Arial" w:hAnsi="Arial"/>
          <w:sz w:val="16"/>
          <w:szCs w:val="16"/>
          <w:color w:val="auto"/>
        </w:rPr>
        <w:t>We generated net losses of $17.7 million and $11.1 million for the three months ended March 31, 2020 and 2019, respectively. As of March 31, 2020, we had an accumulated deficit of $415.8 million. We will need to generate and sustain increased revenue levels in future periods to become profitable, and, even if we do, we may not be able to maintain or increase our level of profitability. We intend to continue to expend significant funds to grow our marketing, sales and customer service operations, develop and enhance our Growth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p>
    <w:p>
      <w:pPr>
        <w:spacing w:after="0" w:line="277"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i w:val="1"/>
          <w:iCs w:val="1"/>
          <w:color w:val="auto"/>
        </w:rPr>
        <w:t>We are dependent upon customer renewals, the addition of new customers, increased revenue from existing customers and the continued growth of the market for a Growth Platform.</w:t>
      </w:r>
    </w:p>
    <w:p>
      <w:pPr>
        <w:spacing w:after="0" w:line="67"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We derive, and expect to continue to derive, a substantial portion of our revenue from the sale of subscriptions to our Growth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w:t>
      </w:r>
    </w:p>
    <w:p>
      <w:pPr>
        <w:ind w:right="140"/>
        <w:spacing w:after="0" w:line="250" w:lineRule="auto"/>
        <w:rPr>
          <w:sz w:val="20"/>
          <w:szCs w:val="20"/>
          <w:color w:val="auto"/>
        </w:rPr>
      </w:pPr>
      <w:r>
        <w:rPr>
          <w:rFonts w:ascii="Arial" w:cs="Arial" w:eastAsia="Arial" w:hAnsi="Arial"/>
          <w:sz w:val="18"/>
          <w:szCs w:val="18"/>
          <w:color w:val="auto"/>
        </w:rPr>
        <w:t>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15" w:lineRule="exact"/>
        <w:rPr>
          <w:sz w:val="20"/>
          <w:szCs w:val="20"/>
          <w:color w:val="auto"/>
        </w:rPr>
      </w:pPr>
    </w:p>
    <w:p>
      <w:pPr>
        <w:ind w:right="60" w:firstLine="510"/>
        <w:spacing w:after="0" w:line="284" w:lineRule="auto"/>
        <w:rPr>
          <w:sz w:val="20"/>
          <w:szCs w:val="20"/>
          <w:color w:val="auto"/>
        </w:rPr>
      </w:pPr>
      <w:r>
        <w:rPr>
          <w:rFonts w:ascii="Arial" w:cs="Arial" w:eastAsia="Arial" w:hAnsi="Arial"/>
          <w:sz w:val="16"/>
          <w:szCs w:val="16"/>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 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283"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78" w:lineRule="exact"/>
        <w:rPr>
          <w:sz w:val="20"/>
          <w:szCs w:val="20"/>
          <w:color w:val="auto"/>
        </w:rPr>
      </w:pPr>
    </w:p>
    <w:p>
      <w:pPr>
        <w:ind w:right="120" w:firstLine="510"/>
        <w:spacing w:after="0" w:line="260" w:lineRule="auto"/>
        <w:rPr>
          <w:sz w:val="20"/>
          <w:szCs w:val="20"/>
          <w:color w:val="auto"/>
        </w:rPr>
      </w:pPr>
      <w:r>
        <w:rPr>
          <w:rFonts w:ascii="Arial" w:cs="Arial" w:eastAsia="Arial" w:hAnsi="Arial"/>
          <w:sz w:val="18"/>
          <w:szCs w:val="18"/>
          <w:color w:val="auto"/>
        </w:rPr>
        <w:t>The marketing, sales and customer service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8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face intense competition from other software companies that develop marketing, sales and customer service software and from marketing services companies that provide interactive marketing services. Competition could significantly impede our ability to sell subscriptions to our Growth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color w:val="auto"/>
        </w:rPr>
        <w:t>Our competitors include:</w:t>
      </w:r>
    </w:p>
    <w:p>
      <w:pPr>
        <w:spacing w:after="0" w:line="115"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service software providers;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content management systems.</w:t>
      </w:r>
    </w:p>
    <w:p>
      <w:pPr>
        <w:spacing w:after="0" w:line="222" w:lineRule="exact"/>
        <w:rPr>
          <w:sz w:val="20"/>
          <w:szCs w:val="20"/>
          <w:color w:val="auto"/>
        </w:rPr>
      </w:pPr>
    </w:p>
    <w:p>
      <w:pPr>
        <w:ind w:right="20" w:firstLine="374"/>
        <w:spacing w:after="0" w:line="291" w:lineRule="auto"/>
        <w:rPr>
          <w:sz w:val="20"/>
          <w:szCs w:val="20"/>
          <w:color w:val="auto"/>
        </w:rPr>
      </w:pPr>
      <w:r>
        <w:rPr>
          <w:rFonts w:ascii="Arial" w:cs="Arial" w:eastAsia="Arial" w:hAnsi="Arial"/>
          <w:sz w:val="16"/>
          <w:szCs w:val="16"/>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63"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and customer service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Growth Platform could substantially decline.</w:t>
      </w:r>
    </w:p>
    <w:p>
      <w:pPr>
        <w:spacing w:after="0" w:line="184" w:lineRule="exact"/>
        <w:rPr>
          <w:sz w:val="20"/>
          <w:szCs w:val="20"/>
          <w:color w:val="auto"/>
        </w:rPr>
      </w:pPr>
    </w:p>
    <w:p>
      <w:pPr>
        <w:ind w:right="160" w:firstLine="374"/>
        <w:spacing w:after="0" w:line="254"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299" w:lineRule="exact"/>
        <w:rPr>
          <w:sz w:val="20"/>
          <w:szCs w:val="20"/>
          <w:color w:val="auto"/>
        </w:rPr>
      </w:pPr>
    </w:p>
    <w:p>
      <w:pPr>
        <w:ind w:right="280"/>
        <w:spacing w:after="0" w:line="373"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ind w:right="40" w:firstLine="510"/>
        <w:spacing w:after="0" w:line="289" w:lineRule="auto"/>
        <w:rPr>
          <w:sz w:val="20"/>
          <w:szCs w:val="20"/>
          <w:color w:val="auto"/>
        </w:rPr>
      </w:pPr>
      <w:r>
        <w:rPr>
          <w:rFonts w:ascii="Arial" w:cs="Arial" w:eastAsia="Arial" w:hAnsi="Arial"/>
          <w:sz w:val="16"/>
          <w:szCs w:val="16"/>
          <w:color w:val="auto"/>
        </w:rPr>
        <w:t>Our head count and operations have grown substantially. For example, we had 3,578 full-time employees as of March 31, 2020, as compared with 3,387 as of December 31, 2019 and we have opened 8 international offices since 2013. We also plan to open additional international offices in the future.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If our new employees perform poorly, or if we are unsuccessful in recruiting, hiring, training, managing and integrating these new employees, or retaining these or our existing employees, our business may suffer.</w:t>
      </w:r>
    </w:p>
    <w:p>
      <w:pPr>
        <w:spacing w:after="0" w:line="16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addition, to manage the expected continued growth of our head count, operations and geographic expansion, we will need to continue to improve our information technology infrastructure, operational, financial and management systems and procedures. Our anticipated additional head 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299"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auto"/>
        </w:rPr>
        <w:t>Failure to effectively develop and expand our marketing, sales and customer service capabilities could harm our ability to increase our customer base and achieve broader market acceptance of our platform.</w:t>
      </w:r>
    </w:p>
    <w:p>
      <w:pPr>
        <w:spacing w:after="0" w:line="67" w:lineRule="exact"/>
        <w:rPr>
          <w:sz w:val="20"/>
          <w:szCs w:val="20"/>
          <w:color w:val="auto"/>
        </w:rPr>
      </w:pPr>
    </w:p>
    <w:p>
      <w:pPr>
        <w:ind w:right="180" w:firstLine="510"/>
        <w:spacing w:after="0" w:line="256" w:lineRule="auto"/>
        <w:rPr>
          <w:sz w:val="20"/>
          <w:szCs w:val="20"/>
          <w:color w:val="auto"/>
        </w:rPr>
      </w:pPr>
      <w:r>
        <w:rPr>
          <w:rFonts w:ascii="Arial" w:cs="Arial" w:eastAsia="Arial" w:hAnsi="Arial"/>
          <w:sz w:val="18"/>
          <w:szCs w:val="18"/>
          <w:color w:val="auto"/>
        </w:rPr>
        <w:t>To increase Total Customers and achieve broader market acceptance of our Growth Platform, we will need to expand our marketing, sales and customer service operations,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32" w:name="page33"/>
    <w:bookmarkEnd w:id="32"/>
    <w:p>
      <w:pPr>
        <w:jc w:val="both"/>
        <w:spacing w:after="0" w:line="256" w:lineRule="auto"/>
        <w:rPr>
          <w:sz w:val="20"/>
          <w:szCs w:val="20"/>
          <w:color w:val="auto"/>
        </w:rPr>
      </w:pPr>
      <w:r>
        <w:rPr>
          <w:rFonts w:ascii="Arial" w:cs="Arial" w:eastAsia="Arial" w:hAnsi="Arial"/>
          <w:sz w:val="18"/>
          <w:szCs w:val="18"/>
          <w:color w:val="auto"/>
        </w:rPr>
        <w:t>Growth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rate of growth of our business depends on the continued participation and level of service of our Solutions Partners.</w:t>
      </w:r>
    </w:p>
    <w:p>
      <w:pPr>
        <w:spacing w:after="0" w:line="115" w:lineRule="exact"/>
        <w:rPr>
          <w:sz w:val="20"/>
          <w:szCs w:val="20"/>
          <w:color w:val="auto"/>
        </w:rPr>
      </w:pPr>
    </w:p>
    <w:p>
      <w:pPr>
        <w:ind w:right="180" w:firstLine="510"/>
        <w:spacing w:after="0" w:line="298" w:lineRule="auto"/>
        <w:rPr>
          <w:sz w:val="20"/>
          <w:szCs w:val="20"/>
          <w:color w:val="auto"/>
        </w:rPr>
      </w:pPr>
      <w:r>
        <w:rPr>
          <w:rFonts w:ascii="Arial" w:cs="Arial" w:eastAsia="Arial" w:hAnsi="Arial"/>
          <w:sz w:val="16"/>
          <w:szCs w:val="16"/>
          <w:color w:val="212529"/>
        </w:rPr>
        <w:t>We rely on our Solutions Partners to provide certain services to our customers, as well as pursue sales of our Growth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266" w:lineRule="exact"/>
        <w:rPr>
          <w:sz w:val="20"/>
          <w:szCs w:val="20"/>
          <w:color w:val="auto"/>
        </w:rPr>
      </w:pPr>
    </w:p>
    <w:p>
      <w:pPr>
        <w:ind w:right="600"/>
        <w:spacing w:after="0" w:line="272"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6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believe that a critical component to our success has been our company culture, which is based on transparency and personal autonomy. We have invested substantial time and resources in building our team within this company culture. Any failure to preserve our culture could negatively affect our ability to retain and recruit personnel and to effectively focus on and pursue our corporate objectives. As we grow as and continue to develop the infrastructure of a public company, we may find it difficult to maintain these important aspects of our company culture. If we fail to maintain our company culture, our business may be adversely impacted.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thought leadership position, our business may suffer.</w:t>
      </w:r>
    </w:p>
    <w:p>
      <w:pPr>
        <w:spacing w:after="0" w:line="11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believe that maintaining our thought leadership position in inbound marketing, sales and services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and services,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27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67"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Growth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33" w:name="page34"/>
    <w:bookmarkEnd w:id="33"/>
    <w:p>
      <w:pPr>
        <w:ind w:right="220"/>
        <w:spacing w:after="0" w:line="272"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Growth Platform may become less competitive.</w:t>
      </w:r>
    </w:p>
    <w:p>
      <w:pPr>
        <w:spacing w:after="0" w:line="67"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Our future success depends on our ability to adapt and innovate our Growth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Growth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15"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Our success and future growth depend upon the continued services of our management team, including our co-founders, Brian Halligan and Dharmesh Shah, and other key employees in the areas of research and development, marketing, sales, services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115"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and services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Many of the companies with which we compete for experienced personnel have greater resources than we do. 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115" w:lineRule="exact"/>
        <w:rPr>
          <w:sz w:val="20"/>
          <w:szCs w:val="20"/>
          <w:color w:val="auto"/>
        </w:rPr>
      </w:pPr>
    </w:p>
    <w:p>
      <w:pPr>
        <w:ind w:right="320" w:firstLine="510"/>
        <w:spacing w:after="0" w:line="313" w:lineRule="auto"/>
        <w:rPr>
          <w:sz w:val="20"/>
          <w:szCs w:val="20"/>
          <w:color w:val="auto"/>
        </w:rPr>
      </w:pPr>
      <w:r>
        <w:rPr>
          <w:rFonts w:ascii="Arial" w:cs="Arial" w:eastAsia="Arial" w:hAnsi="Arial"/>
          <w:sz w:val="15"/>
          <w:szCs w:val="15"/>
          <w:color w:val="auto"/>
        </w:rPr>
        <w:t>High-quality education, training and customer support are important for the successful marketing, sale and use of our Growth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Growth Platform and provide effective ongoing support, our ability to sell additional functionality and services to, or to retain, existing customers may suffer and our reputation with existing or potential customers may be harmed.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4" w:name="page35"/>
    <w:bookmarkEnd w:id="34"/>
    <w:p>
      <w:pPr>
        <w:ind w:right="120"/>
        <w:spacing w:after="0" w:line="272"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67" w:lineRule="exact"/>
        <w:rPr>
          <w:sz w:val="20"/>
          <w:szCs w:val="20"/>
          <w:color w:val="auto"/>
        </w:rPr>
      </w:pPr>
    </w:p>
    <w:p>
      <w:pPr>
        <w:ind w:right="80" w:firstLine="510"/>
        <w:spacing w:after="0" w:line="285" w:lineRule="auto"/>
        <w:rPr>
          <w:sz w:val="20"/>
          <w:szCs w:val="20"/>
          <w:color w:val="auto"/>
        </w:rPr>
      </w:pPr>
      <w:r>
        <w:rPr>
          <w:rFonts w:ascii="Arial" w:cs="Arial" w:eastAsia="Arial" w:hAnsi="Arial"/>
          <w:sz w:val="16"/>
          <w:szCs w:val="16"/>
          <w:color w:val="auto"/>
        </w:rPr>
        <w:t>As usage of our Growth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Growth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278" w:lineRule="exact"/>
        <w:rPr>
          <w:sz w:val="20"/>
          <w:szCs w:val="20"/>
          <w:color w:val="auto"/>
        </w:rPr>
      </w:pPr>
    </w:p>
    <w:p>
      <w:pPr>
        <w:ind w:right="380"/>
        <w:spacing w:after="0" w:line="336"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21" w:lineRule="exact"/>
        <w:rPr>
          <w:sz w:val="20"/>
          <w:szCs w:val="20"/>
          <w:color w:val="auto"/>
        </w:rPr>
      </w:pPr>
    </w:p>
    <w:p>
      <w:pPr>
        <w:ind w:right="200" w:firstLine="510"/>
        <w:spacing w:after="0" w:line="269" w:lineRule="auto"/>
        <w:rPr>
          <w:sz w:val="20"/>
          <w:szCs w:val="20"/>
          <w:color w:val="auto"/>
        </w:rPr>
      </w:pPr>
      <w:r>
        <w:rPr>
          <w:rFonts w:ascii="Arial" w:cs="Arial" w:eastAsia="Arial" w:hAnsi="Arial"/>
          <w:sz w:val="17"/>
          <w:szCs w:val="17"/>
          <w:color w:val="auto"/>
        </w:rPr>
        <w:t>To remain competitive, we must continue to develop new product offerings, applications, features and enhancements to our existing Growth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289"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Growth Platform purchased or used by our customers could negatively affect our operating results.</w:t>
      </w:r>
    </w:p>
    <w:p>
      <w:pPr>
        <w:spacing w:after="0" w:line="6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Our strategy is to sell subscriptions to our Growth Platform to mid-sized businesses, but we have sold and will continue to sell to organizations ranging from small businesses to enterprises. Our gross margins can vary depending on numerous factors related to the implementation and use of our Growth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84"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7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for example, the acquisition of PieSync in 2019. We may not be able to fully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9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line="252" w:lineRule="auto"/>
        <w:rPr>
          <w:sz w:val="20"/>
          <w:szCs w:val="20"/>
          <w:color w:val="auto"/>
        </w:rPr>
      </w:pPr>
      <w:r>
        <w:rPr>
          <w:rFonts w:ascii="Arial" w:cs="Arial" w:eastAsia="Arial" w:hAnsi="Arial"/>
          <w:sz w:val="18"/>
          <w:szCs w:val="18"/>
          <w:color w:val="auto"/>
        </w:rPr>
        <w:t>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95" w:lineRule="exact"/>
        <w:rPr>
          <w:sz w:val="20"/>
          <w:szCs w:val="20"/>
          <w:color w:val="auto"/>
        </w:rPr>
      </w:pPr>
    </w:p>
    <w:p>
      <w:pPr>
        <w:ind w:right="60" w:firstLine="510"/>
        <w:spacing w:after="0" w:line="282"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27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67" w:lineRule="exact"/>
        <w:rPr>
          <w:sz w:val="20"/>
          <w:szCs w:val="20"/>
          <w:color w:val="auto"/>
        </w:rPr>
      </w:pPr>
    </w:p>
    <w:p>
      <w:pPr>
        <w:ind w:right="160" w:firstLine="510"/>
        <w:spacing w:after="0" w:line="256"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We have opened 8 international offices since 2013. We also plan to open additional offices in the future. These international offices focus primarily on sales, professional services and support. We also have a development team in Dublin, Ireland. Our current international operations and future initiatives will involve a variety of risks, including:</w:t>
      </w:r>
    </w:p>
    <w:p>
      <w:pPr>
        <w:spacing w:after="0" w:line="82"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maintaining our company culture with a dispersed and distant workforce;</w:t>
      </w:r>
    </w:p>
    <w:p>
      <w:pPr>
        <w:spacing w:after="0" w:line="114" w:lineRule="exact"/>
        <w:rPr>
          <w:rFonts w:ascii="Arial" w:cs="Arial" w:eastAsia="Arial" w:hAnsi="Arial"/>
          <w:sz w:val="18"/>
          <w:szCs w:val="18"/>
          <w:color w:val="auto"/>
        </w:rPr>
      </w:pPr>
    </w:p>
    <w:p>
      <w:pPr>
        <w:ind w:left="1020" w:right="840" w:hanging="503"/>
        <w:spacing w:after="0" w:line="27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information, particularly in the European Union;</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114" w:lineRule="exact"/>
        <w:rPr>
          <w:rFonts w:ascii="Arial" w:cs="Arial" w:eastAsia="Arial" w:hAnsi="Arial"/>
          <w:sz w:val="18"/>
          <w:szCs w:val="18"/>
          <w:color w:val="auto"/>
        </w:rPr>
      </w:pPr>
    </w:p>
    <w:p>
      <w:pPr>
        <w:ind w:left="1020" w:right="20" w:hanging="503"/>
        <w:spacing w:after="0" w:line="27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67" w:lineRule="exact"/>
        <w:rPr>
          <w:rFonts w:ascii="Arial" w:cs="Arial" w:eastAsia="Arial" w:hAnsi="Arial"/>
          <w:sz w:val="18"/>
          <w:szCs w:val="18"/>
          <w:color w:val="auto"/>
        </w:rPr>
      </w:pPr>
    </w:p>
    <w:p>
      <w:pPr>
        <w:ind w:left="1020" w:right="680" w:hanging="503"/>
        <w:spacing w:after="0" w:line="27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67" w:lineRule="exact"/>
        <w:rPr>
          <w:rFonts w:ascii="Arial" w:cs="Arial" w:eastAsia="Arial" w:hAnsi="Arial"/>
          <w:sz w:val="18"/>
          <w:szCs w:val="18"/>
          <w:color w:val="auto"/>
        </w:rPr>
      </w:pPr>
    </w:p>
    <w:p>
      <w:pPr>
        <w:ind w:left="1020" w:right="200" w:hanging="503"/>
        <w:spacing w:after="0" w:line="27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7" w:lineRule="exact"/>
        <w:rPr>
          <w:rFonts w:ascii="Arial" w:cs="Arial" w:eastAsia="Arial" w:hAnsi="Arial"/>
          <w:sz w:val="18"/>
          <w:szCs w:val="18"/>
          <w:color w:val="auto"/>
        </w:rPr>
      </w:pPr>
    </w:p>
    <w:p>
      <w:pPr>
        <w:ind w:left="1020" w:right="540" w:hanging="503"/>
        <w:spacing w:after="0" w:line="27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7" w:lineRule="exact"/>
        <w:rPr>
          <w:rFonts w:ascii="Arial" w:cs="Arial" w:eastAsia="Arial" w:hAnsi="Arial"/>
          <w:sz w:val="18"/>
          <w:szCs w:val="18"/>
          <w:color w:val="auto"/>
        </w:rPr>
      </w:pPr>
    </w:p>
    <w:p>
      <w:pPr>
        <w:ind w:left="1020" w:right="80" w:hanging="503"/>
        <w:spacing w:after="0" w:line="27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economic uncertainty caused by global political events, including the United Kingdom's exit from the European Union, on January 31, 2020, or "Brexit", and similar geopolitical developments;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37" w:lineRule="exact"/>
        <w:rPr>
          <w:rFonts w:ascii="Arial" w:cs="Arial" w:eastAsia="Arial" w:hAnsi="Arial"/>
          <w:sz w:val="16"/>
          <w:szCs w:val="16"/>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4" w:lineRule="exact"/>
        <w:rPr>
          <w:rFonts w:ascii="Arial" w:cs="Arial" w:eastAsia="Arial" w:hAnsi="Arial"/>
          <w:sz w:val="18"/>
          <w:szCs w:val="18"/>
          <w:color w:val="auto"/>
        </w:rPr>
      </w:pPr>
    </w:p>
    <w:p>
      <w:pPr>
        <w:ind w:left="1020" w:right="200" w:hanging="503"/>
        <w:spacing w:after="0" w:line="260"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7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2"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36" w:name="page37"/>
    <w:bookmarkEnd w:id="36"/>
    <w:p>
      <w:pPr>
        <w:ind w:right="120"/>
        <w:spacing w:after="0" w:line="302"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44" w:lineRule="exact"/>
        <w:rPr>
          <w:sz w:val="20"/>
          <w:szCs w:val="20"/>
          <w:color w:val="auto"/>
        </w:rPr>
      </w:pPr>
    </w:p>
    <w:p>
      <w:pPr>
        <w:ind w:right="60" w:firstLine="510"/>
        <w:spacing w:after="0" w:line="252" w:lineRule="auto"/>
        <w:rPr>
          <w:sz w:val="20"/>
          <w:szCs w:val="20"/>
          <w:color w:val="auto"/>
        </w:rPr>
      </w:pPr>
      <w:r>
        <w:rPr>
          <w:rFonts w:ascii="Arial" w:cs="Arial" w:eastAsia="Arial" w:hAnsi="Arial"/>
          <w:sz w:val="18"/>
          <w:szCs w:val="18"/>
          <w:color w:val="auto"/>
        </w:rPr>
        <w:t>We currently serve the majority of our platform functions from third-party data center hosting facilities operated by Amazon Web Services located in northern Virginia and Google Cloud Platform located in Frankfurt, Germany.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95"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302" w:lineRule="exact"/>
        <w:rPr>
          <w:sz w:val="20"/>
          <w:szCs w:val="20"/>
          <w:color w:val="auto"/>
        </w:rPr>
      </w:pPr>
    </w:p>
    <w:p>
      <w:pPr>
        <w:ind w:right="120"/>
        <w:spacing w:after="0" w:line="302" w:lineRule="auto"/>
        <w:rPr>
          <w:sz w:val="20"/>
          <w:szCs w:val="20"/>
          <w:color w:val="auto"/>
        </w:rPr>
      </w:pPr>
      <w:r>
        <w:rPr>
          <w:rFonts w:ascii="Arial" w:cs="Arial" w:eastAsia="Arial" w:hAnsi="Arial"/>
          <w:sz w:val="17"/>
          <w:szCs w:val="17"/>
          <w:b w:val="1"/>
          <w:bCs w:val="1"/>
          <w:i w:val="1"/>
          <w:iCs w:val="1"/>
          <w:color w:val="auto"/>
        </w:rPr>
        <w:t>If our Growth Platform has outages or fails due to defects or similar problems, and if we fail to correct any defect or other software problems, we could lose customers, become subject to service performance or warranty claims or incur significant costs.</w:t>
      </w:r>
    </w:p>
    <w:p>
      <w:pPr>
        <w:spacing w:after="0" w:line="44"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Our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For example, in March 2019, we had a product outage due to the failure of one of the infrastructure systems that supports multiple parts of our platform. Although no data from prior to the outage was lost, our customers experienced disruptions in using our platform during the outage.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72"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color w:val="auto"/>
        </w:rPr>
        <w:t>In addition, third-party apps and features on our Growth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15" w:lineRule="exact"/>
        <w:rPr>
          <w:sz w:val="20"/>
          <w:szCs w:val="20"/>
          <w:color w:val="auto"/>
        </w:rPr>
      </w:pPr>
    </w:p>
    <w:p>
      <w:pPr>
        <w:ind w:right="20" w:firstLine="510"/>
        <w:spacing w:after="0" w:line="260"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Growth Platform or services to cover the changes. As a result, our operating results may be significantly worse than forecasted.</w:t>
      </w:r>
    </w:p>
    <w:p>
      <w:pPr>
        <w:spacing w:after="0" w:line="292"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b w:val="1"/>
          <w:bCs w:val="1"/>
          <w:i w:val="1"/>
          <w:iCs w:val="1"/>
          <w:color w:val="auto"/>
        </w:rPr>
        <w:t>If we do not or cannot maintain the compatibility of our Growth Platform with third-party applications that our customers use in their businesses, our revenue will decline.</w:t>
      </w:r>
    </w:p>
    <w:p>
      <w:pPr>
        <w:spacing w:after="0" w:line="67"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A significant percentage of our customers choose to integrate our platform with certain capabilities provided by third-party application providers using application programming interfaces, or APIs, published by these providers. The functionality and popularity of our Growth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or services purposes, or fail to renew existing relationships pursuant to which we currently provide such integration, we may not be able to offer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7" w:name="page38"/>
    <w:bookmarkEnd w:id="37"/>
    <w:p>
      <w:pPr>
        <w:ind w:right="280"/>
        <w:spacing w:after="0" w:line="272" w:lineRule="auto"/>
        <w:rPr>
          <w:sz w:val="20"/>
          <w:szCs w:val="20"/>
          <w:color w:val="auto"/>
        </w:rPr>
      </w:pPr>
      <w:r>
        <w:rPr>
          <w:rFonts w:ascii="Arial" w:cs="Arial" w:eastAsia="Arial" w:hAnsi="Arial"/>
          <w:sz w:val="18"/>
          <w:szCs w:val="18"/>
          <w:color w:val="auto"/>
        </w:rPr>
        <w:t>the functionality that our customers need, which would negatively impact our ability to generate new revenue or maintain existing revenue and adversely impact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15"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Select functionality of our Growth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Growth Platform.</w:t>
      </w:r>
    </w:p>
    <w:p>
      <w:pPr>
        <w:spacing w:after="0" w:line="13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information.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Growth Platform and reduce overall demand for it, or lead to significant fines, penalties or liabilities for any noncompliance or loss of any such action.</w:t>
      </w:r>
    </w:p>
    <w:p>
      <w:pPr>
        <w:spacing w:after="0" w:line="28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78"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or FTC, and various state, local and foreign agencies. We collect personally identifiable information and other data from our customers and leads. We also handle personally identifiable information about our customers’ customers. We use this information to provide services to our customers, to support, expand and improve our business. We may also share customers’ personally identifiable information with third parties as authorized by the customer or as described in our privacy policy.</w:t>
      </w:r>
    </w:p>
    <w:p>
      <w:pPr>
        <w:spacing w:after="0" w:line="19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release or transfer of personally identifiable information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65"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Laws and regulations concerning privacy, data protection and information security are evolving, and changes to such laws and regulations could require us to change features of our platform or restrict our customers’ ability to collect and use email addresses, page viewing data and personal information, which may reduce demand for our platform. Our failure to comply with federal, state and international data privacy laws and regulations could harm our ability to successfully operate our business and pursue our business goals. For example, California recently enacted the California Consumer Privacy Act, or CCPA, that will, among other things, require covered companies to provide new disclosures to California consumers and afford such consumers new abilities to opt-out of certain sales of personal information. The CCPA recently was amended, and it is possible that it will be amended again before it goes into effect. We cannot yet predict the impact of the CCPA on our business or operations, but it may require us to modify our data processing practices and policies and to incur substantial costs and expenses in an effort to comply.</w:t>
      </w:r>
    </w:p>
    <w:p>
      <w:pPr>
        <w:spacing w:after="0" w:line="184"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In addition, several foreign countries and governmental bodies, including the European Union and Canada, have regulations dealing with the collection and use of personal information obtained from their residents, which are often more restrictive than those in the United States. Laws and regulations in these jurisdictions apply broadly to the collection, use, storage, disclosure and security of personal information that identifies or may be used to identify an individual. In relevant part, these laws and regulations may affect our ability to engage in lead generation activities by imposing heightened requirements, such as affirmative opt-ins or consent prior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8" w:name="page39"/>
    <w:bookmarkEnd w:id="38"/>
    <w:p>
      <w:pPr>
        <w:ind w:right="180"/>
        <w:spacing w:after="0" w:line="272" w:lineRule="auto"/>
        <w:rPr>
          <w:sz w:val="20"/>
          <w:szCs w:val="20"/>
          <w:color w:val="auto"/>
        </w:rPr>
      </w:pPr>
      <w:r>
        <w:rPr>
          <w:rFonts w:ascii="Arial" w:cs="Arial" w:eastAsia="Arial" w:hAnsi="Arial"/>
          <w:sz w:val="18"/>
          <w:szCs w:val="18"/>
          <w:color w:val="auto"/>
        </w:rPr>
        <w:t>sending commercial correspondence or engaging in electronic tracking activities. For example, a recent ruling of the European Court of Justice in Case C-673/17 provides that a pre-checked opt-in is insufficient to constitute a valid active consumer consent to cookie storage.</w:t>
      </w:r>
    </w:p>
    <w:p>
      <w:pPr>
        <w:spacing w:after="0" w:line="174"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Within the European Union, legislators have adopted the General Data Protection Regulation, or GDPR, and which became effective in May 2018 which may impose additional obligations and risk upon our business and which may increase substantially the penalties to which we could be subject in the event of any non-compliance. In addition, Brexit could also lead to further legislative and regulatory changes, depending on the final terms of Brexit and the agreements or arrangements negotiated with the European Union. It remains unclear how the United Kingdom data protection laws or regulations will develop in the medium to longer term and how data transfers to and from the United Kingdom will be regulated. We may incur substantial expense in complying with the new obligations to be imposed by the GDPR and we may be required to make significant changes in our business operations, all of which may adversely affect our revenues and our business overall.</w:t>
      </w:r>
    </w:p>
    <w:p>
      <w:pPr>
        <w:spacing w:after="0" w:line="182" w:lineRule="exact"/>
        <w:rPr>
          <w:sz w:val="20"/>
          <w:szCs w:val="20"/>
          <w:color w:val="auto"/>
        </w:rPr>
      </w:pPr>
    </w:p>
    <w:p>
      <w:pPr>
        <w:ind w:right="40" w:firstLine="510"/>
        <w:spacing w:after="0" w:line="266" w:lineRule="auto"/>
        <w:rPr>
          <w:sz w:val="20"/>
          <w:szCs w:val="20"/>
          <w:color w:val="auto"/>
        </w:rPr>
      </w:pPr>
      <w:r>
        <w:rPr>
          <w:rFonts w:ascii="Arial" w:cs="Arial" w:eastAsia="Arial" w:hAnsi="Arial"/>
          <w:sz w:val="17"/>
          <w:szCs w:val="17"/>
          <w:color w:val="212529"/>
        </w:rPr>
        <w:t>On May 23, 2016, the European Parliament adopted a resolution and on July 8, 2016 the European Member State representatives approved the final version of the EU-US Privacy Shield as a successor to the Safe Harbor framework. As of August 1, 2016, interested companies have been permitted to register for the program. We are currently certified to the EU-US Privacy Shield. There continue to be concerns about whether the EU-US Privacy Shield will face additional challenges. Until the remaining legal uncertainties regarding the future of the EU-US Privacy Shield are settled,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customers. We may also experience hesitancy, reluctance, or refusal by European or multi-national customers to continue to use our services due to the potential risk exposure to such customers in the event the EU-US Privacy Shield is invalidated. Such customers may view any alternative approaches to compliance as being too costly, too burdensome, too legally uncertain or otherwise objectionable and therefore decide not to do business with us. For example, some of our customers or potential customers in the EU may require their vendors to host all personal data within the EU and may decide to do business with one of our competitors who hosts personal data within the EU instead of doing business with us.</w:t>
      </w:r>
    </w:p>
    <w:p>
      <w:pPr>
        <w:spacing w:after="0" w:line="18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addition, 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29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Growth Platform may be perceived as not being secure, our customers may be harmed and may curtail or cease their use of our platform, our reputation may be damaged and we may incur significant liabilities.</w:t>
      </w:r>
    </w:p>
    <w:p>
      <w:pPr>
        <w:spacing w:after="0" w:line="78"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Our operations involve the storage and transmission of data of our customers and their customers, including personally identifiable information.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are compromised as a result of third-party action, employee or customer error, malfeasance, stolen or fraudulently obtained log-in credentials or otherwise, our reputation could be damaged, our business may be harmed and we could incur significant liability.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w:t>
      </w:r>
    </w:p>
    <w:p>
      <w:pPr>
        <w:spacing w:after="0" w:line="173" w:lineRule="exact"/>
        <w:rPr>
          <w:sz w:val="20"/>
          <w:szCs w:val="20"/>
          <w:color w:val="auto"/>
        </w:rPr>
      </w:pPr>
    </w:p>
    <w:p>
      <w:pPr>
        <w:ind w:right="40" w:firstLine="510"/>
        <w:spacing w:after="0" w:line="260" w:lineRule="auto"/>
        <w:rPr>
          <w:sz w:val="20"/>
          <w:szCs w:val="20"/>
          <w:color w:val="auto"/>
        </w:rPr>
      </w:pPr>
      <w:r>
        <w:rPr>
          <w:rFonts w:ascii="Arial" w:cs="Arial" w:eastAsia="Arial" w:hAnsi="Arial"/>
          <w:sz w:val="18"/>
          <w:szCs w:val="18"/>
          <w:color w:val="auto"/>
        </w:rPr>
        <w:t>Many governments have enacted laws requiring companies to notify individuals of data security incidents or unauthorized transfers involving certain types of personal data. In addition, some of our customers contractually require notification of any data security compromise. Security compromises experienced by our competitors, by our customers or by us may lead to public</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39" w:name="page40"/>
    <w:bookmarkEnd w:id="39"/>
    <w:p>
      <w:pPr>
        <w:ind w:right="220"/>
        <w:spacing w:after="0" w:line="256" w:lineRule="auto"/>
        <w:rPr>
          <w:sz w:val="20"/>
          <w:szCs w:val="20"/>
          <w:color w:val="auto"/>
        </w:rPr>
      </w:pPr>
      <w:r>
        <w:rPr>
          <w:rFonts w:ascii="Arial" w:cs="Arial" w:eastAsia="Arial" w:hAnsi="Arial"/>
          <w:sz w:val="18"/>
          <w:szCs w:val="18"/>
          <w:color w:val="auto"/>
        </w:rPr>
        <w:t>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89"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1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Growth Platform if they are concerned that they may infringe third-party intellectual property rights. The occurrence of any of these events may have a material adverse effect on our business.</w:t>
      </w:r>
    </w:p>
    <w:p>
      <w:pPr>
        <w:spacing w:after="0" w:line="169"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272"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67"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0" w:name="page41"/>
    <w:bookmarkEnd w:id="40"/>
    <w:p>
      <w:pPr>
        <w:ind w:right="20" w:firstLine="510"/>
        <w:spacing w:after="0" w:line="276"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73"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15" w:lineRule="exact"/>
        <w:rPr>
          <w:sz w:val="20"/>
          <w:szCs w:val="20"/>
          <w:color w:val="auto"/>
        </w:rPr>
      </w:pPr>
    </w:p>
    <w:p>
      <w:pPr>
        <w:ind w:right="80" w:firstLine="510"/>
        <w:spacing w:after="0" w:line="267" w:lineRule="auto"/>
        <w:rPr>
          <w:sz w:val="20"/>
          <w:szCs w:val="20"/>
          <w:color w:val="auto"/>
        </w:rPr>
      </w:pPr>
      <w:r>
        <w:rPr>
          <w:rFonts w:ascii="Arial" w:cs="Arial" w:eastAsia="Arial" w:hAnsi="Arial"/>
          <w:sz w:val="17"/>
          <w:szCs w:val="17"/>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Taxation</w:t>
      </w:r>
    </w:p>
    <w:p>
      <w:pPr>
        <w:spacing w:after="0" w:line="132" w:lineRule="exact"/>
        <w:rPr>
          <w:sz w:val="20"/>
          <w:szCs w:val="20"/>
          <w:color w:val="auto"/>
        </w:rPr>
      </w:pPr>
    </w:p>
    <w:p>
      <w:pPr>
        <w:ind w:right="340"/>
        <w:spacing w:after="0" w:line="272"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6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Growth Platform that may violate our policy on acceptable use which prohibits content that is threatening, abusive, harassing, deceptive, false, misleading, vulgar, obscene, or indecent. While such content may not be illegal, use of our Growth Platform for such content could harm our reputation resulting in a loss of business.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15" w:lineRule="exact"/>
        <w:rPr>
          <w:sz w:val="20"/>
          <w:szCs w:val="20"/>
          <w:color w:val="auto"/>
        </w:rPr>
      </w:pPr>
    </w:p>
    <w:p>
      <w:pPr>
        <w:ind w:left="740" w:hanging="371"/>
        <w:spacing w:after="0" w:line="268"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Digital Millennium Copyright Act of 1998, or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76" w:lineRule="exact"/>
        <w:rPr>
          <w:rFonts w:ascii="Arial" w:cs="Arial" w:eastAsia="Arial" w:hAnsi="Arial"/>
          <w:sz w:val="17"/>
          <w:szCs w:val="17"/>
          <w:color w:val="auto"/>
        </w:rPr>
      </w:pPr>
    </w:p>
    <w:p>
      <w:pPr>
        <w:ind w:left="740" w:right="80" w:hanging="371"/>
        <w:spacing w:after="0" w:line="25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Communications Decency Act of 1996, or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1" w:name="page42"/>
    <w:bookmarkEnd w:id="41"/>
    <w:p>
      <w:pPr>
        <w:ind w:left="740" w:right="600"/>
        <w:spacing w:after="0" w:line="272" w:lineRule="auto"/>
        <w:rPr>
          <w:sz w:val="20"/>
          <w:szCs w:val="20"/>
          <w:color w:val="auto"/>
        </w:rPr>
      </w:pPr>
      <w:r>
        <w:rPr>
          <w:rFonts w:ascii="Arial" w:cs="Arial" w:eastAsia="Arial" w:hAnsi="Arial"/>
          <w:sz w:val="18"/>
          <w:szCs w:val="18"/>
          <w:color w:val="auto"/>
        </w:rPr>
        <w:t>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67" w:lineRule="exact"/>
        <w:rPr>
          <w:sz w:val="20"/>
          <w:szCs w:val="20"/>
          <w:color w:val="auto"/>
        </w:rPr>
      </w:pPr>
    </w:p>
    <w:p>
      <w:pPr>
        <w:ind w:left="740" w:right="20" w:hanging="371"/>
        <w:spacing w:after="0" w:line="268"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addition to the CDA, the Securing the Protection of our Enduring and Established Constitutional Heritage Act, or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80" w:lineRule="exact"/>
        <w:rPr>
          <w:sz w:val="20"/>
          <w:szCs w:val="20"/>
          <w:color w:val="auto"/>
        </w:rPr>
      </w:pPr>
    </w:p>
    <w:p>
      <w:pPr>
        <w:ind w:firstLine="374"/>
        <w:spacing w:after="0" w:line="252"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302"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67" w:lineRule="exact"/>
        <w:rPr>
          <w:sz w:val="20"/>
          <w:szCs w:val="20"/>
          <w:color w:val="auto"/>
        </w:rPr>
      </w:pPr>
    </w:p>
    <w:p>
      <w:pPr>
        <w:ind w:right="40" w:firstLine="510"/>
        <w:spacing w:after="0" w:line="252" w:lineRule="auto"/>
        <w:rPr>
          <w:sz w:val="20"/>
          <w:szCs w:val="20"/>
          <w:color w:val="auto"/>
        </w:rPr>
      </w:pPr>
      <w:r>
        <w:rPr>
          <w:rFonts w:ascii="Arial" w:cs="Arial" w:eastAsia="Arial" w:hAnsi="Arial"/>
          <w:sz w:val="18"/>
          <w:szCs w:val="18"/>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Growth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302" w:lineRule="exact"/>
        <w:rPr>
          <w:sz w:val="20"/>
          <w:szCs w:val="20"/>
          <w:color w:val="auto"/>
        </w:rPr>
      </w:pPr>
    </w:p>
    <w:p>
      <w:pPr>
        <w:ind w:right="420"/>
        <w:spacing w:after="0" w:line="272"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Growth Platform and adversely impact our business.</w:t>
      </w:r>
    </w:p>
    <w:p>
      <w:pPr>
        <w:spacing w:after="0" w:line="6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Growth Platform in the future. Additionally, new, changed, modified or newly interpreted or applied tax laws could increase our customers’ and our compliance, operating and other costs, as well as the costs of our platform. Any or all of these events could adversely impact our business and financial performance.</w:t>
      </w:r>
    </w:p>
    <w:p>
      <w:pPr>
        <w:spacing w:after="0" w:line="272"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67"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Changes in tax laws, such as tax reform in the United States or changes in tax laws resulting from the Organization for Economic Co-operation and Development’s multi-jurisdictional plan of action to address “base erosion and profit shifting,” could impact our effective tax rate.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1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carryforwards, which could adversely affect our profitability.</w:t>
      </w:r>
    </w:p>
    <w:p>
      <w:pPr>
        <w:spacing w:after="0" w:line="126"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As of December 31, 2019, we had federal and state net operating loss carryforwards due to prior period losses, which, if not utilized, will begin to expire in 2027 for federal purposes and begin to expire in 2023 for state purposes. These net operating loss carryforwards could expire unused and be unavailable to offset future income tax liabilities, which could adversely affect our profitability. In addition, under Section 382 of the Internal Revenue Code of 1986, as amended, which we refer to as the Code, our ability to utilize net operating loss carryforwards or other tax attributes, such as research tax credits, in any taxable year may be further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It is possible that an ownership change in connection with a future offering, or any future ownership change, could have a material effect on the use of our net operating loss carryforwards or other tax attributes, which could adversely affect our profitability. Net operating loss carryforwards incurred for periods beginning on or after January 1, 2018 would not expire unused as a result of these limitations because they can be carried forward indefinitely.</w:t>
      </w:r>
    </w:p>
    <w:p>
      <w:pPr>
        <w:spacing w:after="0" w:line="289"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Growth Platform and our ability to conduct business.</w:t>
      </w:r>
    </w:p>
    <w:p>
      <w:pPr>
        <w:spacing w:after="0" w:line="6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8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Growth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299" w:lineRule="exact"/>
        <w:rPr>
          <w:sz w:val="20"/>
          <w:szCs w:val="20"/>
          <w:color w:val="auto"/>
        </w:rPr>
      </w:pPr>
    </w:p>
    <w:p>
      <w:pPr>
        <w:ind w:right="300"/>
        <w:spacing w:after="0" w:line="373"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Growth Platform and potentially subject us to regulatory enforcement or private litigation.</w:t>
      </w:r>
    </w:p>
    <w:p>
      <w:pPr>
        <w:ind w:right="140" w:firstLine="510"/>
        <w:spacing w:after="0" w:line="268" w:lineRule="auto"/>
        <w:rPr>
          <w:sz w:val="20"/>
          <w:szCs w:val="20"/>
          <w:color w:val="auto"/>
        </w:rPr>
      </w:pPr>
      <w:r>
        <w:rPr>
          <w:rFonts w:ascii="Arial" w:cs="Arial" w:eastAsia="Arial" w:hAnsi="Arial"/>
          <w:sz w:val="17"/>
          <w:szCs w:val="17"/>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 party websites. These policies could have a significant impact on the operation of our Growth Platform and could impair our attractiveness to customers, which would harm our business.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firstLine="510"/>
        <w:spacing w:after="0" w:line="273"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Growth Platform to decrease and adversely impact our financial results.</w:t>
      </w:r>
    </w:p>
    <w:p>
      <w:pPr>
        <w:spacing w:after="0" w:line="175"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addition, the Controlling the Assault of Non-Solicited Pornography and Marketing Act of 2003, or the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Growth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80" w:lineRule="exact"/>
        <w:rPr>
          <w:sz w:val="20"/>
          <w:szCs w:val="20"/>
          <w:color w:val="auto"/>
        </w:rPr>
      </w:pPr>
    </w:p>
    <w:p>
      <w:pPr>
        <w:ind w:right="20" w:firstLine="510"/>
        <w:spacing w:after="0" w:line="252" w:lineRule="auto"/>
        <w:rPr>
          <w:sz w:val="20"/>
          <w:szCs w:val="20"/>
          <w:color w:val="auto"/>
        </w:rPr>
      </w:pPr>
      <w:r>
        <w:rPr>
          <w:rFonts w:ascii="Arial" w:cs="Arial" w:eastAsia="Arial" w:hAnsi="Arial"/>
          <w:sz w:val="18"/>
          <w:szCs w:val="18"/>
          <w:color w:val="auto"/>
        </w:rPr>
        <w:t>While these laws and regulations generally govern our customers’ use of our platform, we may be subject to certain laws as a data processor on behalf of, or as a business associate of, our customers. For example, laws and regulations governing the collection, use and disclosure of personal information include, in the United States, rules and regulations promulgated under the authority of the Federal Trade Commission, the Health Insurance Portability and Accountability Act of 1996, the Gramm-Leach-Bliley Act of 1999 and state breach notification laws, and internationally, the Data Protection Directive in the European Union and the Federal Data Protection Act in Germany.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299" w:lineRule="exact"/>
        <w:rPr>
          <w:sz w:val="20"/>
          <w:szCs w:val="20"/>
          <w:color w:val="auto"/>
        </w:rPr>
      </w:pPr>
    </w:p>
    <w:p>
      <w:pPr>
        <w:ind w:right="480"/>
        <w:spacing w:after="0" w:line="272"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67"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119"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67" w:lineRule="exact"/>
        <w:rPr>
          <w:sz w:val="20"/>
          <w:szCs w:val="20"/>
          <w:color w:val="auto"/>
        </w:rPr>
      </w:pPr>
    </w:p>
    <w:p>
      <w:pPr>
        <w:ind w:right="280" w:firstLine="510"/>
        <w:spacing w:after="0" w:line="256"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spacing w:after="0" w:line="82"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spending on marketing, sales and customer service software by our current or prospective customers;</w:t>
      </w:r>
    </w:p>
    <w:p>
      <w:pPr>
        <w:spacing w:after="0" w:line="114" w:lineRule="exact"/>
        <w:rPr>
          <w:rFonts w:ascii="Arial" w:cs="Arial" w:eastAsia="Arial" w:hAnsi="Arial"/>
          <w:sz w:val="18"/>
          <w:szCs w:val="18"/>
          <w:color w:val="auto"/>
        </w:rPr>
      </w:pPr>
    </w:p>
    <w:p>
      <w:pPr>
        <w:ind w:left="1020" w:right="84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our Growth Platform subscriptions effectively so that we are able to attract and retain customers without compromising our profitability;</w:t>
      </w:r>
    </w:p>
    <w:p>
      <w:pPr>
        <w:spacing w:after="0" w:line="67" w:lineRule="exact"/>
        <w:rPr>
          <w:rFonts w:ascii="Arial" w:cs="Arial" w:eastAsia="Arial" w:hAnsi="Arial"/>
          <w:sz w:val="18"/>
          <w:szCs w:val="18"/>
          <w:color w:val="auto"/>
        </w:rPr>
      </w:pPr>
    </w:p>
    <w:p>
      <w:pPr>
        <w:ind w:left="1020" w:right="200" w:hanging="503"/>
        <w:spacing w:after="0" w:line="27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new customers for our marketing, sales and customer service software, increasing our existing customers’ use of our platform and providing our customers with excellent customer support;</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renewal rates and the amounts for which agreements are renewed;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awareness of our thought leadership and brand;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4" w:name="page45"/>
    <w:bookmarkEnd w:id="44"/>
    <w:p>
      <w:pPr>
        <w:ind w:left="1020" w:right="380" w:hanging="503"/>
        <w:spacing w:after="0" w:line="27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14" w:lineRule="exact"/>
        <w:rPr>
          <w:rFonts w:ascii="Arial" w:cs="Arial" w:eastAsia="Arial" w:hAnsi="Arial"/>
          <w:sz w:val="18"/>
          <w:szCs w:val="18"/>
          <w:color w:val="auto"/>
        </w:rPr>
      </w:pPr>
    </w:p>
    <w:p>
      <w:pPr>
        <w:ind w:left="1020" w:right="20" w:hanging="503"/>
        <w:spacing w:after="0" w:line="27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while maintaining our company culture;</w:t>
      </w:r>
    </w:p>
    <w:p>
      <w:pPr>
        <w:spacing w:after="0" w:line="137" w:lineRule="exact"/>
        <w:rPr>
          <w:rFonts w:ascii="Arial" w:cs="Arial" w:eastAsia="Arial" w:hAnsi="Arial"/>
          <w:sz w:val="16"/>
          <w:szCs w:val="16"/>
          <w:color w:val="auto"/>
        </w:rPr>
      </w:pPr>
    </w:p>
    <w:p>
      <w:pPr>
        <w:ind w:left="1020" w:right="620" w:hanging="503"/>
        <w:spacing w:after="0" w:line="27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Growth Platform in new markets outside of the United States;</w:t>
      </w:r>
    </w:p>
    <w:p>
      <w:pPr>
        <w:spacing w:after="0" w:line="67" w:lineRule="exact"/>
        <w:rPr>
          <w:rFonts w:ascii="Arial" w:cs="Arial" w:eastAsia="Arial" w:hAnsi="Arial"/>
          <w:sz w:val="18"/>
          <w:szCs w:val="18"/>
          <w:color w:val="auto"/>
        </w:rPr>
      </w:pPr>
    </w:p>
    <w:p>
      <w:pPr>
        <w:ind w:left="1020" w:right="380" w:hanging="503"/>
        <w:spacing w:after="0" w:line="27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222" w:lineRule="exact"/>
        <w:rPr>
          <w:sz w:val="20"/>
          <w:szCs w:val="20"/>
          <w:color w:val="auto"/>
        </w:rPr>
      </w:pPr>
    </w:p>
    <w:p>
      <w:pPr>
        <w:ind w:right="80" w:firstLine="374"/>
        <w:spacing w:after="0" w:line="282"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276"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67" w:lineRule="exact"/>
        <w:rPr>
          <w:sz w:val="20"/>
          <w:szCs w:val="20"/>
          <w:color w:val="auto"/>
        </w:rPr>
      </w:pPr>
    </w:p>
    <w:p>
      <w:pPr>
        <w:ind w:right="60" w:firstLine="374"/>
        <w:spacing w:after="0" w:line="282" w:lineRule="auto"/>
        <w:rPr>
          <w:sz w:val="20"/>
          <w:szCs w:val="20"/>
          <w:color w:val="auto"/>
        </w:rPr>
      </w:pPr>
      <w:r>
        <w:rPr>
          <w:rFonts w:ascii="Arial" w:cs="Arial" w:eastAsia="Arial" w:hAnsi="Arial"/>
          <w:sz w:val="17"/>
          <w:szCs w:val="17"/>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276"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67"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We offer our Growth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77"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2022 Notes or to repurchase the 2022 Notes for cash upon a fundamental change, which could adversely affect our business and results of operations.</w:t>
      </w:r>
    </w:p>
    <w:p>
      <w:pPr>
        <w:spacing w:after="0" w:line="62"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We incurred indebtedness in the aggregate principal amount of $400.0 million in connection with the issuance of our 0.25% convertible senior notes due June 1, 2022, or the 2022 Notes. Our ability to make scheduled payments of the principal of, to pay interest on or to refinance our indebtedness, including the 2022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45" w:name="page46"/>
    <w:bookmarkEnd w:id="45"/>
    <w:p>
      <w:pPr>
        <w:ind w:right="100" w:firstLine="510"/>
        <w:spacing w:after="0" w:line="285" w:lineRule="auto"/>
        <w:rPr>
          <w:sz w:val="20"/>
          <w:szCs w:val="20"/>
          <w:color w:val="auto"/>
        </w:rPr>
      </w:pPr>
      <w:r>
        <w:rPr>
          <w:rFonts w:ascii="Arial" w:cs="Arial" w:eastAsia="Arial" w:hAnsi="Arial"/>
          <w:sz w:val="16"/>
          <w:szCs w:val="16"/>
          <w:color w:val="auto"/>
        </w:rPr>
        <w:t>In addition, holders of the 2022 Notes have the right to require us to repurchase their 2022 Notes upon the occurrence of a fundamental change at a fundamental change repurchase price equal to 100% of the principal amount of the 2022 Notes to be repurchased, plus accrued and unpaid interest, if any. Upon conversion of the 2022 Notes, unless we elect to deliver solely shares of our common stock to settle such conversion (other than paying cash in lieu of delivering any fractional share), we will be required to make cash payments in respect of the 2022 Notes being converted. We may not have enough available cash or be able to obtain financing at the time we are required to make repurchases of 2022 Notes surrendered therefor or 2022 Notes being converted. In addition, our ability to repurchase the 2022 Notes or to pay cash upon conversions of the 2022 Notes may be limited by law, by regulatory authority or by agreements governing our future indebtedness. Our failure to repurchase 2022 Notes at a time when the repurchase is required by the indenture governing the notes or to pay any cash payable on future conversions of the 2022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2022 Notes or make cash payments upon conversions thereof.</w:t>
      </w:r>
    </w:p>
    <w:p>
      <w:pPr>
        <w:spacing w:after="0" w:line="170" w:lineRule="exact"/>
        <w:rPr>
          <w:sz w:val="20"/>
          <w:szCs w:val="20"/>
          <w:color w:val="auto"/>
        </w:rPr>
      </w:pPr>
    </w:p>
    <w:p>
      <w:pPr>
        <w:ind w:right="1100" w:firstLine="510"/>
        <w:spacing w:after="0" w:line="272"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67" w:lineRule="exact"/>
        <w:rPr>
          <w:sz w:val="20"/>
          <w:szCs w:val="20"/>
          <w:color w:val="auto"/>
        </w:rPr>
      </w:pPr>
    </w:p>
    <w:p>
      <w:pPr>
        <w:ind w:left="1020" w:right="480" w:hanging="503"/>
        <w:spacing w:after="0" w:line="272"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222" w:lineRule="exact"/>
        <w:rPr>
          <w:sz w:val="20"/>
          <w:szCs w:val="20"/>
          <w:color w:val="auto"/>
        </w:rPr>
      </w:pPr>
    </w:p>
    <w:p>
      <w:pPr>
        <w:ind w:right="680" w:firstLine="510"/>
        <w:spacing w:after="0" w:line="302" w:lineRule="auto"/>
        <w:rPr>
          <w:sz w:val="20"/>
          <w:szCs w:val="20"/>
          <w:color w:val="auto"/>
        </w:rPr>
      </w:pPr>
      <w:r>
        <w:rPr>
          <w:rFonts w:ascii="Arial" w:cs="Arial" w:eastAsia="Arial" w:hAnsi="Arial"/>
          <w:sz w:val="17"/>
          <w:szCs w:val="17"/>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2022 Notes, if triggered, may adversely affect our financial condition and operating results.</w:t>
      </w:r>
    </w:p>
    <w:p>
      <w:pPr>
        <w:spacing w:after="0" w:line="12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In the event the conditional conversion feature of the 2022 Notes is triggered, holders of 2022 Notes will be entitled to convert the 2022 Notes at any time during specified periods at their option. Because the last reported sale price of our common stock for at least 20 trading days during the period of 30 consecutive trading days ending on the last trading day of the calendar quarter ended March 31, 2020 was equal to or greater than 130% of the applicable conversion price on each applicable trading day, the 2022 Notes are convertible at the option of the holders thereof during the calendar quarter ending June 30, 2020. During the quarter ended March 31, 2020, we settled approximately $2 thousand of the principal balance of the 2022 Notes in cash. Whether the 2022 Notes will be convertible following such calendar quarter will depend on the continued satisfaction of this condition or another conversion condition in the future. If one or more holders elect to convert their 2022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2022 Notes, we could be required under applicable accounting rules to reclassify all or a portion of the outstanding principal of the 2022 Notes as a current rather than long-term liability, which would result in a material reduction of our net working capital.</w:t>
      </w:r>
    </w:p>
    <w:p>
      <w:pPr>
        <w:spacing w:after="0" w:line="278"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2022 Notes, could have a material effect on our reported financial results.</w:t>
      </w:r>
    </w:p>
    <w:p>
      <w:pPr>
        <w:spacing w:after="0" w:line="67"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 xml:space="preserve">Under Financial Accounting Standards Board Accounting Standards Codification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which we refer to as ASC 470-20, an entity must separately account for the liability and equity components of convertible debt instruments (such as the 2022 Notes) that may be settled entirely or partially in cash upon conversion in a manner that reflects the issuer’s economic interest cost. ASC 470-20 requires the value of the conversion option of the 2022 Notes, representing the equity component, to be recorded as additional paid-in capital within stockholders’ equity in our consolidated balance sheet and as a discount to the 2022 Notes, which reduces their initial carrying value. The carrying value of the 2022 Notes, net of the discount recorded, will be accreted up to the principal amount of the 2022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2022 Notes.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46" w:name="page47"/>
    <w:bookmarkEnd w:id="46"/>
    <w:p>
      <w:pPr>
        <w:ind w:right="20" w:firstLine="510"/>
        <w:spacing w:after="0" w:line="269" w:lineRule="auto"/>
        <w:rPr>
          <w:sz w:val="20"/>
          <w:szCs w:val="20"/>
          <w:color w:val="auto"/>
        </w:rPr>
      </w:pPr>
      <w:r>
        <w:rPr>
          <w:rFonts w:ascii="Arial" w:cs="Arial" w:eastAsia="Arial" w:hAnsi="Arial"/>
          <w:sz w:val="17"/>
          <w:szCs w:val="17"/>
          <w:color w:val="auto"/>
        </w:rPr>
        <w:t>In addition, under certain circumstances, convertible debt instruments (such as the 2022 Notes) that may be settled entirely or partly in cash are currently accounted for utilizing the treasury stock method, the effect of which is that the shares issuable upon conversion of the 2022 Notes are not included in the calculation of diluted earnings per share except to the extent that the conversion value of the 2022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2022 Notes, then our diluted earnings per share would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w:t>
      </w:r>
    </w:p>
    <w:p>
      <w:pPr>
        <w:spacing w:after="0" w:line="115"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We face exposure to movements in currency exchange rates, which may cause our revenue and operating results to differ materially from expectations. As we have expanded our international operations our exposure exchange rate fluctuations has increased, in particular with respect to the Euro, British Pound Sterling, Australian Dollar, Singapore Dollar, Japanese Yen and Colombian Peso.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Furthermore, global political events, including Brexit and similar geopolitical developments, fluctuating commodity prices and trade tariff developments, have caused global economic uncertainty, which could amplify the volatility of currency fluctuations.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Weakened global economic conditions may harm our industry, business and results of operations.</w:t>
      </w:r>
    </w:p>
    <w:p>
      <w:pPr>
        <w:spacing w:after="0" w:line="11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and overall uncertainty with respect to the economy, including with respect to tariff and trade issues. In particular, the economies of countries in Europe have been experiencing weakness associated with high sovereign debt levels, weakness in the banking sector, uncertainty over the future of the Euro zone and volatility in the value of the pound sterling and the Euro, including instability surrounding Brexit. We have operations, as well as current and potential new customers, throughout most of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price you purchased them.</w:t>
      </w:r>
    </w:p>
    <w:p>
      <w:pPr>
        <w:spacing w:after="0" w:line="115" w:lineRule="exact"/>
        <w:rPr>
          <w:sz w:val="20"/>
          <w:szCs w:val="20"/>
          <w:color w:val="auto"/>
        </w:rPr>
      </w:pPr>
    </w:p>
    <w:p>
      <w:pPr>
        <w:ind w:right="200" w:firstLine="510"/>
        <w:spacing w:after="0" w:line="256" w:lineRule="auto"/>
        <w:rPr>
          <w:sz w:val="20"/>
          <w:szCs w:val="20"/>
          <w:color w:val="auto"/>
        </w:rPr>
      </w:pPr>
      <w:r>
        <w:rPr>
          <w:rFonts w:ascii="Arial" w:cs="Arial" w:eastAsia="Arial" w:hAnsi="Arial"/>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$207.98, through March 31, 2020. The market price of our common stock may fluctuate significantly in response to numerous factors, many of which are beyond our control, including:</w:t>
      </w:r>
    </w:p>
    <w:p>
      <w:pPr>
        <w:spacing w:after="0" w:line="82" w:lineRule="exact"/>
        <w:rPr>
          <w:sz w:val="20"/>
          <w:szCs w:val="20"/>
          <w:color w:val="auto"/>
        </w:rPr>
      </w:pPr>
    </w:p>
    <w:p>
      <w:pPr>
        <w:ind w:left="1020" w:right="440" w:hanging="503"/>
        <w:spacing w:after="0" w:line="272"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67" w:lineRule="exact"/>
        <w:rPr>
          <w:rFonts w:ascii="Arial" w:cs="Arial" w:eastAsia="Arial" w:hAnsi="Arial"/>
          <w:sz w:val="18"/>
          <w:szCs w:val="18"/>
          <w:color w:val="auto"/>
        </w:rPr>
      </w:pPr>
    </w:p>
    <w:p>
      <w:pPr>
        <w:ind w:left="1020" w:right="420" w:hanging="503"/>
        <w:spacing w:after="0" w:line="272"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4" w:lineRule="exact"/>
        <w:rPr>
          <w:rFonts w:ascii="Arial" w:cs="Arial" w:eastAsia="Arial" w:hAnsi="Arial"/>
          <w:sz w:val="18"/>
          <w:szCs w:val="18"/>
          <w:color w:val="auto"/>
        </w:rPr>
      </w:pPr>
    </w:p>
    <w:p>
      <w:pPr>
        <w:ind w:left="1020" w:right="40" w:hanging="503"/>
        <w:spacing w:after="0" w:line="302"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44" w:lineRule="exact"/>
        <w:rPr>
          <w:rFonts w:ascii="Arial" w:cs="Arial" w:eastAsia="Arial" w:hAnsi="Arial"/>
          <w:sz w:val="17"/>
          <w:szCs w:val="17"/>
          <w:color w:val="auto"/>
        </w:rPr>
      </w:pPr>
    </w:p>
    <w:p>
      <w:pPr>
        <w:ind w:left="1020" w:right="600" w:hanging="503"/>
        <w:spacing w:after="0" w:line="272"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47" w:name="page48"/>
    <w:bookmarkEnd w:id="47"/>
    <w:p>
      <w:pPr>
        <w:ind w:left="1020" w:right="560" w:hanging="503"/>
        <w:spacing w:after="0" w:line="272"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sales of large blocks of our common stock or the dilutive effect of our 2022 Notes or any other equity or equity-linked financings;</w:t>
      </w:r>
    </w:p>
    <w:p>
      <w:pPr>
        <w:spacing w:after="0" w:line="126" w:lineRule="exact"/>
        <w:rPr>
          <w:rFonts w:ascii="Arial" w:cs="Arial" w:eastAsia="Arial" w:hAnsi="Arial"/>
          <w:sz w:val="17"/>
          <w:szCs w:val="17"/>
          <w:color w:val="auto"/>
        </w:rPr>
      </w:pPr>
    </w:p>
    <w:p>
      <w:pPr>
        <w:ind w:left="1020" w:right="240" w:hanging="503"/>
        <w:spacing w:after="0" w:line="272"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key personnel;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economic, industry and market conditions and trends.</w:t>
      </w:r>
    </w:p>
    <w:p>
      <w:pPr>
        <w:spacing w:after="0" w:line="222" w:lineRule="exact"/>
        <w:rPr>
          <w:sz w:val="20"/>
          <w:szCs w:val="20"/>
          <w:color w:val="auto"/>
        </w:rPr>
      </w:pPr>
    </w:p>
    <w:p>
      <w:pPr>
        <w:jc w:val="both"/>
        <w:ind w:right="140" w:firstLine="374"/>
        <w:spacing w:after="0" w:line="260"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85" w:lineRule="exact"/>
        <w:rPr>
          <w:sz w:val="20"/>
          <w:szCs w:val="20"/>
          <w:color w:val="auto"/>
        </w:rPr>
      </w:pPr>
    </w:p>
    <w:p>
      <w:pPr>
        <w:ind w:right="320" w:firstLine="374"/>
        <w:spacing w:after="0" w:line="260"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92"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of 2002, or the Sarbanes-Oxley Act, the Dodd-Frank Wall Street Reform and Consumer Protection Act, or the Dodd-Frank Act, and the rules and regulations of the New York Stock Exchange, or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9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2" w:lineRule="exact"/>
        <w:rPr>
          <w:sz w:val="20"/>
          <w:szCs w:val="20"/>
          <w:color w:val="auto"/>
        </w:rPr>
      </w:pPr>
    </w:p>
    <w:p>
      <w:pPr>
        <w:ind w:right="220" w:firstLine="510"/>
        <w:spacing w:after="0" w:line="254" w:lineRule="auto"/>
        <w:rPr>
          <w:sz w:val="20"/>
          <w:szCs w:val="20"/>
          <w:color w:val="auto"/>
        </w:rPr>
      </w:pPr>
      <w:r>
        <w:rPr>
          <w:rFonts w:ascii="Arial" w:cs="Arial" w:eastAsia="Arial" w:hAnsi="Arial"/>
          <w:sz w:val="18"/>
          <w:szCs w:val="18"/>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raise capital in the future may be limited, and our failure to raise capital when needed could prevent us from growing.</w:t>
      </w:r>
    </w:p>
    <w:p>
      <w:pPr>
        <w:spacing w:after="0" w:line="12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2022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15" w:lineRule="exact"/>
        <w:rPr>
          <w:sz w:val="20"/>
          <w:szCs w:val="20"/>
          <w:color w:val="auto"/>
        </w:rPr>
      </w:pPr>
    </w:p>
    <w:p>
      <w:pPr>
        <w:ind w:right="20" w:firstLine="510"/>
        <w:spacing w:after="0" w:line="260"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8" w:lineRule="exact"/>
        <w:rPr>
          <w:sz w:val="20"/>
          <w:szCs w:val="20"/>
          <w:color w:val="auto"/>
        </w:rPr>
      </w:pPr>
    </w:p>
    <w:p>
      <w:pPr>
        <w:ind w:left="1020" w:right="800" w:hanging="503"/>
        <w:spacing w:after="0" w:line="272"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for a classified board of directors whose members serve staggered three-year terms;</w:t>
      </w:r>
    </w:p>
    <w:p>
      <w:pPr>
        <w:spacing w:after="0" w:line="114" w:lineRule="exact"/>
        <w:rPr>
          <w:rFonts w:ascii="Arial" w:cs="Arial" w:eastAsia="Arial" w:hAnsi="Arial"/>
          <w:sz w:val="18"/>
          <w:szCs w:val="18"/>
          <w:color w:val="auto"/>
        </w:rPr>
      </w:pPr>
    </w:p>
    <w:p>
      <w:pPr>
        <w:ind w:left="1020" w:hanging="503"/>
        <w:spacing w:after="0" w:line="272"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4" w:lineRule="exact"/>
        <w:rPr>
          <w:rFonts w:ascii="Arial" w:cs="Arial" w:eastAsia="Arial" w:hAnsi="Arial"/>
          <w:sz w:val="18"/>
          <w:szCs w:val="18"/>
          <w:color w:val="auto"/>
        </w:rPr>
      </w:pPr>
    </w:p>
    <w:p>
      <w:pPr>
        <w:ind w:left="1020" w:right="560" w:hanging="503"/>
        <w:spacing w:after="0" w:line="272"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37"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 our board of directors to modify, alter or repeal our amended and restated bylaws;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2" w:lineRule="exact"/>
        <w:rPr>
          <w:sz w:val="20"/>
          <w:szCs w:val="20"/>
          <w:color w:val="auto"/>
        </w:rPr>
      </w:pPr>
    </w:p>
    <w:p>
      <w:pPr>
        <w:ind w:right="140" w:firstLine="510"/>
        <w:spacing w:after="0" w:line="336"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28" w:lineRule="exact"/>
        <w:rPr>
          <w:sz w:val="20"/>
          <w:szCs w:val="20"/>
          <w:color w:val="auto"/>
        </w:rPr>
      </w:pPr>
    </w:p>
    <w:p>
      <w:pPr>
        <w:ind w:right="240" w:firstLine="510"/>
        <w:spacing w:after="0" w:line="260"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9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49" w:name="page50"/>
    <w:bookmarkEnd w:id="49"/>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Report.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14"/>
                <w:szCs w:val="14"/>
                <w:color w:val="auto"/>
              </w:rPr>
            </w:pPr>
          </w:p>
        </w:tc>
        <w:tc>
          <w:tcPr>
            <w:tcW w:w="9260" w:type="dxa"/>
            <w:vAlign w:val="bottom"/>
            <w:gridSpan w:val="3"/>
            <w:vMerge w:val="restart"/>
          </w:tcPr>
          <w:p>
            <w:pPr>
              <w:ind w:left="396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5"/>
        </w:trPr>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8"/>
              </w:rPr>
              <w:t>Number</w:t>
            </w:r>
          </w:p>
        </w:tc>
        <w:tc>
          <w:tcPr>
            <w:tcW w:w="660" w:type="dxa"/>
            <w:vAlign w:val="bottom"/>
          </w:tcPr>
          <w:p>
            <w:pPr>
              <w:spacing w:after="0"/>
              <w:rPr>
                <w:sz w:val="16"/>
                <w:szCs w:val="16"/>
                <w:color w:val="auto"/>
              </w:rPr>
            </w:pPr>
          </w:p>
        </w:tc>
        <w:tc>
          <w:tcPr>
            <w:tcW w:w="9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right"/>
              <w:ind w:right="513"/>
              <w:spacing w:after="0"/>
              <w:rPr>
                <w:sz w:val="20"/>
                <w:szCs w:val="20"/>
                <w:color w:val="auto"/>
              </w:rPr>
            </w:pPr>
            <w:r>
              <w:rPr>
                <w:rFonts w:ascii="Arial" w:cs="Arial" w:eastAsia="Arial" w:hAnsi="Arial"/>
                <w:sz w:val="18"/>
                <w:szCs w:val="18"/>
                <w:color w:val="auto"/>
              </w:rPr>
              <w:t>3.1(1)</w:t>
            </w:r>
          </w:p>
        </w:tc>
        <w:tc>
          <w:tcPr>
            <w:tcW w:w="9920" w:type="dxa"/>
            <w:vAlign w:val="bottom"/>
            <w:gridSpan w:val="4"/>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Amended and Restated Certificate of Incorporation of the Registrant</w:t>
              </w:r>
            </w:hyperlink>
          </w:p>
        </w:tc>
        <w:tc>
          <w:tcPr>
            <w:tcW w:w="0" w:type="dxa"/>
            <w:vAlign w:val="bottom"/>
          </w:tcPr>
          <w:p>
            <w:pPr>
              <w:spacing w:after="0"/>
              <w:rPr>
                <w:sz w:val="1"/>
                <w:szCs w:val="1"/>
                <w:color w:val="auto"/>
              </w:rPr>
            </w:pPr>
          </w:p>
        </w:tc>
      </w:tr>
      <w:tr>
        <w:trPr>
          <w:trHeight w:val="335"/>
        </w:trPr>
        <w:tc>
          <w:tcPr>
            <w:tcW w:w="1220" w:type="dxa"/>
            <w:vAlign w:val="bottom"/>
          </w:tcPr>
          <w:p>
            <w:pPr>
              <w:jc w:val="right"/>
              <w:ind w:right="513"/>
              <w:spacing w:after="0"/>
              <w:rPr>
                <w:sz w:val="20"/>
                <w:szCs w:val="20"/>
                <w:color w:val="auto"/>
              </w:rPr>
            </w:pPr>
            <w:r>
              <w:rPr>
                <w:rFonts w:ascii="Arial" w:cs="Arial" w:eastAsia="Arial" w:hAnsi="Arial"/>
                <w:sz w:val="18"/>
                <w:szCs w:val="18"/>
                <w:color w:val="auto"/>
              </w:rPr>
              <w:t>3.2(2)</w:t>
            </w:r>
          </w:p>
        </w:tc>
        <w:tc>
          <w:tcPr>
            <w:tcW w:w="9920" w:type="dxa"/>
            <w:vAlign w:val="bottom"/>
            <w:gridSpan w:val="4"/>
          </w:tcPr>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Second Amended and Restated Bylaws of the Registrant</w:t>
              </w:r>
            </w:hyperlink>
          </w:p>
        </w:tc>
        <w:tc>
          <w:tcPr>
            <w:tcW w:w="0" w:type="dxa"/>
            <w:vAlign w:val="bottom"/>
          </w:tcPr>
          <w:p>
            <w:pPr>
              <w:spacing w:after="0"/>
              <w:rPr>
                <w:sz w:val="1"/>
                <w:szCs w:val="1"/>
                <w:color w:val="auto"/>
              </w:rPr>
            </w:pPr>
          </w:p>
        </w:tc>
      </w:tr>
      <w:tr>
        <w:trPr>
          <w:trHeight w:val="429"/>
        </w:trPr>
        <w:tc>
          <w:tcPr>
            <w:tcW w:w="1220" w:type="dxa"/>
            <w:vAlign w:val="bottom"/>
          </w:tcPr>
          <w:p>
            <w:pPr>
              <w:jc w:val="right"/>
              <w:ind w:right="513"/>
              <w:spacing w:after="0"/>
              <w:rPr>
                <w:sz w:val="20"/>
                <w:szCs w:val="20"/>
                <w:color w:val="auto"/>
              </w:rPr>
            </w:pPr>
            <w:r>
              <w:rPr>
                <w:rFonts w:ascii="Arial" w:cs="Arial" w:eastAsia="Arial" w:hAnsi="Arial"/>
                <w:sz w:val="18"/>
                <w:szCs w:val="18"/>
                <w:color w:val="auto"/>
              </w:rPr>
              <w:t>4.1(3)</w:t>
            </w:r>
          </w:p>
        </w:tc>
        <w:tc>
          <w:tcPr>
            <w:tcW w:w="9920" w:type="dxa"/>
            <w:vAlign w:val="bottom"/>
            <w:gridSpan w:val="4"/>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Form of Common Stock certificate of the Registrant</w:t>
              </w:r>
            </w:hyperlink>
          </w:p>
        </w:tc>
        <w:tc>
          <w:tcPr>
            <w:tcW w:w="0" w:type="dxa"/>
            <w:vAlign w:val="bottom"/>
          </w:tcPr>
          <w:p>
            <w:pPr>
              <w:spacing w:after="0"/>
              <w:rPr>
                <w:sz w:val="1"/>
                <w:szCs w:val="1"/>
                <w:color w:val="auto"/>
              </w:rPr>
            </w:pPr>
          </w:p>
        </w:tc>
      </w:tr>
      <w:tr>
        <w:trPr>
          <w:trHeight w:val="297"/>
        </w:trPr>
        <w:tc>
          <w:tcPr>
            <w:tcW w:w="1220" w:type="dxa"/>
            <w:vAlign w:val="bottom"/>
          </w:tcPr>
          <w:p>
            <w:pPr>
              <w:jc w:val="right"/>
              <w:ind w:right="513"/>
              <w:spacing w:after="0"/>
              <w:rPr>
                <w:sz w:val="20"/>
                <w:szCs w:val="20"/>
                <w:color w:val="auto"/>
              </w:rPr>
            </w:pPr>
            <w:r>
              <w:rPr>
                <w:rFonts w:ascii="Arial" w:cs="Arial" w:eastAsia="Arial" w:hAnsi="Arial"/>
                <w:sz w:val="18"/>
                <w:szCs w:val="18"/>
                <w:color w:val="auto"/>
              </w:rPr>
              <w:t>31.1(4)</w:t>
            </w:r>
          </w:p>
        </w:tc>
        <w:tc>
          <w:tcPr>
            <w:tcW w:w="9920" w:type="dxa"/>
            <w:vAlign w:val="bottom"/>
            <w:gridSpan w:val="4"/>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Certification of Principal Executive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94"/>
        </w:trPr>
        <w:tc>
          <w:tcPr>
            <w:tcW w:w="1220" w:type="dxa"/>
            <w:vAlign w:val="bottom"/>
          </w:tcPr>
          <w:p>
            <w:pPr>
              <w:spacing w:after="0"/>
              <w:rPr>
                <w:sz w:val="16"/>
                <w:szCs w:val="16"/>
                <w:color w:val="auto"/>
              </w:rPr>
            </w:pPr>
          </w:p>
        </w:tc>
        <w:tc>
          <w:tcPr>
            <w:tcW w:w="66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5"/>
              </w:rPr>
            </w:pPr>
            <w:hyperlink w:anchor="page52">
              <w:r>
                <w:rPr>
                  <w:rFonts w:ascii="Arial" w:cs="Arial" w:eastAsia="Arial" w:hAnsi="Arial"/>
                  <w:sz w:val="18"/>
                  <w:szCs w:val="18"/>
                  <w:color w:val="0000EE"/>
                  <w:w w:val="85"/>
                </w:rPr>
                <w:t>amended</w:t>
              </w:r>
            </w:hyperlink>
          </w:p>
        </w:tc>
        <w:tc>
          <w:tcPr>
            <w:tcW w:w="8820" w:type="dxa"/>
            <w:vAlign w:val="bottom"/>
            <w:tcBorders>
              <w:top w:val="single" w:sz="8" w:color="0000EE"/>
            </w:tcBorders>
            <w:gridSpan w:val="2"/>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1220" w:type="dxa"/>
            <w:vAlign w:val="bottom"/>
          </w:tcPr>
          <w:p>
            <w:pPr>
              <w:jc w:val="right"/>
              <w:ind w:right="513"/>
              <w:spacing w:after="0"/>
              <w:rPr>
                <w:sz w:val="20"/>
                <w:szCs w:val="20"/>
                <w:color w:val="auto"/>
              </w:rPr>
            </w:pPr>
            <w:r>
              <w:rPr>
                <w:rFonts w:ascii="Arial" w:cs="Arial" w:eastAsia="Arial" w:hAnsi="Arial"/>
                <w:sz w:val="18"/>
                <w:szCs w:val="18"/>
                <w:color w:val="auto"/>
              </w:rPr>
              <w:t>31.2(4)</w:t>
            </w:r>
          </w:p>
        </w:tc>
        <w:tc>
          <w:tcPr>
            <w:tcW w:w="9920" w:type="dxa"/>
            <w:vAlign w:val="bottom"/>
            <w:gridSpan w:val="4"/>
          </w:tcPr>
          <w:p>
            <w:pPr>
              <w:spacing w:after="0"/>
              <w:rPr>
                <w:rFonts w:ascii="Arial" w:cs="Arial" w:eastAsia="Arial" w:hAnsi="Arial"/>
                <w:sz w:val="18"/>
                <w:szCs w:val="18"/>
                <w:color w:val="0000EE"/>
                <w:w w:val="95"/>
              </w:rPr>
            </w:pPr>
            <w:hyperlink w:anchor="page53">
              <w:r>
                <w:rPr>
                  <w:rFonts w:ascii="Arial" w:cs="Arial" w:eastAsia="Arial" w:hAnsi="Arial"/>
                  <w:sz w:val="18"/>
                  <w:szCs w:val="18"/>
                  <w:color w:val="0000EE"/>
                  <w:w w:val="95"/>
                </w:rPr>
                <w:t>Certification of Principal Financial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94"/>
        </w:trPr>
        <w:tc>
          <w:tcPr>
            <w:tcW w:w="1220" w:type="dxa"/>
            <w:vAlign w:val="bottom"/>
          </w:tcPr>
          <w:p>
            <w:pPr>
              <w:spacing w:after="0"/>
              <w:rPr>
                <w:sz w:val="16"/>
                <w:szCs w:val="16"/>
                <w:color w:val="auto"/>
              </w:rPr>
            </w:pPr>
          </w:p>
        </w:tc>
        <w:tc>
          <w:tcPr>
            <w:tcW w:w="66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5"/>
              </w:rPr>
            </w:pPr>
            <w:hyperlink w:anchor="page53">
              <w:r>
                <w:rPr>
                  <w:rFonts w:ascii="Arial" w:cs="Arial" w:eastAsia="Arial" w:hAnsi="Arial"/>
                  <w:sz w:val="18"/>
                  <w:szCs w:val="18"/>
                  <w:color w:val="0000EE"/>
                  <w:w w:val="85"/>
                </w:rPr>
                <w:t>amended</w:t>
              </w:r>
            </w:hyperlink>
          </w:p>
        </w:tc>
        <w:tc>
          <w:tcPr>
            <w:tcW w:w="8780" w:type="dxa"/>
            <w:vAlign w:val="bottom"/>
            <w:tcBorders>
              <w:top w:val="single" w:sz="8" w:color="0000EE"/>
            </w:tcBorders>
          </w:tcPr>
          <w:p>
            <w:pPr>
              <w:spacing w:after="0"/>
              <w:rPr>
                <w:sz w:val="16"/>
                <w:szCs w:val="16"/>
                <w:color w:val="auto"/>
              </w:rPr>
            </w:pPr>
          </w:p>
        </w:tc>
        <w:tc>
          <w:tcPr>
            <w:tcW w:w="4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1220" w:type="dxa"/>
            <w:vAlign w:val="bottom"/>
          </w:tcPr>
          <w:p>
            <w:pPr>
              <w:jc w:val="right"/>
              <w:ind w:right="593"/>
              <w:spacing w:after="0"/>
              <w:rPr>
                <w:sz w:val="20"/>
                <w:szCs w:val="20"/>
                <w:color w:val="auto"/>
              </w:rPr>
            </w:pPr>
            <w:r>
              <w:rPr>
                <w:rFonts w:ascii="Arial" w:cs="Arial" w:eastAsia="Arial" w:hAnsi="Arial"/>
                <w:sz w:val="18"/>
                <w:szCs w:val="18"/>
                <w:color w:val="auto"/>
              </w:rPr>
              <w:t>32.1*</w:t>
            </w:r>
          </w:p>
        </w:tc>
        <w:tc>
          <w:tcPr>
            <w:tcW w:w="9920" w:type="dxa"/>
            <w:vAlign w:val="bottom"/>
            <w:gridSpan w:val="4"/>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Certification of Principal Executive Officer and Principal Financial Officer pursuant to Section 906 of the Sarbanes-Oxley Act</w:t>
              </w:r>
            </w:hyperlink>
          </w:p>
        </w:tc>
        <w:tc>
          <w:tcPr>
            <w:tcW w:w="0" w:type="dxa"/>
            <w:vAlign w:val="bottom"/>
          </w:tcPr>
          <w:p>
            <w:pPr>
              <w:spacing w:after="0"/>
              <w:rPr>
                <w:sz w:val="1"/>
                <w:szCs w:val="1"/>
                <w:color w:val="auto"/>
              </w:rPr>
            </w:pPr>
          </w:p>
        </w:tc>
      </w:tr>
      <w:tr>
        <w:trPr>
          <w:trHeight w:val="322"/>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4"/>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9920" w:type="dxa"/>
            <w:vAlign w:val="bottom"/>
            <w:gridSpan w:val="4"/>
          </w:tcPr>
          <w:p>
            <w:pPr>
              <w:spacing w:after="0"/>
              <w:rPr>
                <w:sz w:val="20"/>
                <w:szCs w:val="20"/>
                <w:color w:val="auto"/>
              </w:rPr>
            </w:pPr>
            <w:r>
              <w:rPr>
                <w:rFonts w:ascii="Arial" w:cs="Arial" w:eastAsia="Arial" w:hAnsi="Arial"/>
                <w:sz w:val="18"/>
                <w:szCs w:val="18"/>
                <w:color w:val="auto"/>
                <w:w w:val="91"/>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20" w:hanging="468"/>
        <w:spacing w:after="0"/>
        <w:tabs>
          <w:tab w:leader="none" w:pos="5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89" w:lineRule="exact"/>
        <w:rPr>
          <w:rFonts w:ascii="Arial" w:cs="Arial" w:eastAsia="Arial" w:hAnsi="Arial"/>
          <w:sz w:val="18"/>
          <w:szCs w:val="18"/>
          <w:color w:val="auto"/>
        </w:rPr>
      </w:pPr>
    </w:p>
    <w:p>
      <w:pPr>
        <w:ind w:left="520" w:right="60" w:hanging="513"/>
        <w:spacing w:after="0" w:line="256"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as Exhibit 3.1 to Registrant’s Form 10-K filed with the Securities and Exchange Commission on February 24, 2016 and incorporated herein by reference.</w:t>
      </w:r>
    </w:p>
    <w:p>
      <w:pPr>
        <w:ind w:left="520" w:right="420" w:hanging="513"/>
        <w:spacing w:after="0" w:line="256"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as Exhibit 3.1 to Registrant’s Form 8-K filed with the Securities and Exchange Commission on April 25, 2018 and incorporated herein by reference.</w:t>
      </w:r>
    </w:p>
    <w:p>
      <w:pPr>
        <w:ind w:left="520" w:right="60" w:hanging="513"/>
        <w:spacing w:after="0" w:line="248"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as Exhibit 4.1 to Amendment No. 1 to Registrant’s Registration Statement on Form S-1 filed with the Securities and Exchange Commission on September 26, 2014, and incorporated herein by reference.</w:t>
      </w:r>
    </w:p>
    <w:p>
      <w:pPr>
        <w:spacing w:after="0" w:line="1" w:lineRule="exact"/>
        <w:rPr>
          <w:rFonts w:ascii="Arial" w:cs="Arial" w:eastAsia="Arial" w:hAnsi="Arial"/>
          <w:sz w:val="18"/>
          <w:szCs w:val="18"/>
          <w:color w:val="auto"/>
        </w:rPr>
      </w:pPr>
    </w:p>
    <w:p>
      <w:pPr>
        <w:ind w:left="520" w:hanging="513"/>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9" w:lineRule="exact"/>
        <w:rPr>
          <w:sz w:val="20"/>
          <w:szCs w:val="20"/>
          <w:color w:val="auto"/>
        </w:rPr>
      </w:pPr>
    </w:p>
    <w:p>
      <w:pPr>
        <w:ind w:left="520" w:hanging="513"/>
        <w:spacing w:after="0" w:line="298"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71335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50" w:name="page51"/>
    <w:bookmarkEnd w:id="50"/>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firstLine="510"/>
        <w:spacing w:after="0" w:line="27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Bueker</w:t>
            </w: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Kate Bueker</w:t>
            </w:r>
          </w:p>
        </w:tc>
      </w:tr>
      <w:tr>
        <w:trPr>
          <w:trHeight w:val="214"/>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4"/>
        </w:trPr>
        <w:tc>
          <w:tcPr>
            <w:tcW w:w="9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w:t>
            </w:r>
          </w:p>
        </w:tc>
      </w:tr>
      <w:tr>
        <w:trPr>
          <w:trHeight w:val="227"/>
        </w:trPr>
        <w:tc>
          <w:tcPr>
            <w:tcW w:w="9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i w:val="1"/>
                <w:iCs w:val="1"/>
                <w:color w:val="auto"/>
              </w:rPr>
              <w:t>Officer and 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May 6, 2020</w:t>
      </w:r>
    </w:p>
    <w:p>
      <w:pPr>
        <w:sectPr>
          <w:pgSz w:w="11900" w:h="16838" w:orient="portrait"/>
          <w:cols w:equalWidth="0" w:num="1">
            <w:col w:w="10720"/>
          </w:cols>
          <w:pgMar w:left="320" w:top="336" w:right="859" w:bottom="1440" w:gutter="0" w:footer="0" w:header="0"/>
        </w:sectPr>
      </w:pPr>
    </w:p>
    <w:bookmarkStart w:id="51" w:name="page52"/>
    <w:bookmarkEnd w:id="51"/>
    <w:p>
      <w:pPr>
        <w:jc w:val="right"/>
        <w:ind w:right="100"/>
        <w:spacing w:after="0"/>
        <w:rPr>
          <w:sz w:val="20"/>
          <w:szCs w:val="20"/>
          <w:color w:val="auto"/>
        </w:rPr>
      </w:pPr>
      <w:r>
        <w:rPr>
          <w:rFonts w:ascii="Arial" w:cs="Arial" w:eastAsia="Arial" w:hAnsi="Arial"/>
          <w:sz w:val="18"/>
          <w:szCs w:val="18"/>
          <w:b w:val="1"/>
          <w:bCs w:val="1"/>
          <w:color w:val="auto"/>
        </w:rPr>
        <w:t>Exhibit 31.1</w:t>
      </w: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Exchange Act Rules 13a-14(a) and 15d-14(a),</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Brian Halligan, certify that:</w:t>
      </w:r>
    </w:p>
    <w:p>
      <w:pPr>
        <w:spacing w:after="0" w:line="115" w:lineRule="exact"/>
        <w:rPr>
          <w:sz w:val="20"/>
          <w:szCs w:val="20"/>
          <w:color w:val="auto"/>
        </w:rPr>
      </w:pPr>
    </w:p>
    <w:p>
      <w:pPr>
        <w:ind w:left="520" w:hanging="51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14" w:lineRule="exact"/>
        <w:rPr>
          <w:rFonts w:ascii="Arial" w:cs="Arial" w:eastAsia="Arial" w:hAnsi="Arial"/>
          <w:sz w:val="18"/>
          <w:szCs w:val="18"/>
          <w:color w:val="auto"/>
        </w:rPr>
      </w:pPr>
    </w:p>
    <w:p>
      <w:pPr>
        <w:jc w:val="both"/>
        <w:ind w:left="520" w:right="420" w:hanging="513"/>
        <w:spacing w:after="0" w:line="26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8"/>
          <w:szCs w:val="18"/>
          <w:color w:val="auto"/>
        </w:rPr>
      </w:pPr>
    </w:p>
    <w:p>
      <w:pPr>
        <w:ind w:left="520" w:right="400" w:hanging="513"/>
        <w:spacing w:after="0" w:line="302"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right="420" w:hanging="513"/>
        <w:spacing w:after="0" w:line="26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1020" w:right="180" w:hanging="503"/>
        <w:spacing w:after="0" w:line="260"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020" w:right="500" w:hanging="503"/>
        <w:spacing w:after="0" w:line="260"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1020" w:right="660" w:hanging="503"/>
        <w:spacing w:after="0" w:line="336"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020" w:right="180" w:hanging="503"/>
        <w:spacing w:after="0" w:line="260"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left="520" w:right="140" w:hanging="513"/>
        <w:spacing w:after="0" w:line="302"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020" w:right="900" w:hanging="503"/>
        <w:spacing w:after="0" w:line="336"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6"/>
          <w:szCs w:val="16"/>
          <w:color w:val="auto"/>
        </w:rPr>
      </w:pPr>
    </w:p>
    <w:p>
      <w:pPr>
        <w:ind w:left="1020" w:right="580" w:hanging="503"/>
        <w:spacing w:after="0" w:line="272"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20"/>
                <w:szCs w:val="20"/>
                <w:color w:val="auto"/>
              </w:rPr>
            </w:pPr>
            <w:r>
              <w:rPr>
                <w:rFonts w:ascii="Arial" w:cs="Arial" w:eastAsia="Arial" w:hAnsi="Arial"/>
                <w:sz w:val="18"/>
                <w:szCs w:val="18"/>
                <w:color w:val="auto"/>
              </w:rPr>
              <w:t>Date: May 6, 2020</w:t>
            </w:r>
          </w:p>
        </w:tc>
        <w:tc>
          <w:tcPr>
            <w:tcW w:w="7260" w:type="dxa"/>
            <w:vAlign w:val="bottom"/>
            <w:gridSpan w:val="2"/>
          </w:tcPr>
          <w:p>
            <w:pPr>
              <w:ind w:left="2760"/>
              <w:spacing w:after="0"/>
              <w:rPr>
                <w:sz w:val="20"/>
                <w:szCs w:val="20"/>
                <w:color w:val="auto"/>
              </w:rPr>
            </w:pPr>
            <w:r>
              <w:rPr>
                <w:rFonts w:ascii="Arial" w:cs="Arial" w:eastAsia="Arial" w:hAnsi="Arial"/>
                <w:sz w:val="18"/>
                <w:szCs w:val="18"/>
                <w:color w:val="auto"/>
              </w:rPr>
              <w:t>By:  /s/ Brian Halligan</w:t>
            </w:r>
          </w:p>
        </w:tc>
      </w:tr>
      <w:tr>
        <w:trPr>
          <w:trHeight w:val="194"/>
        </w:trPr>
        <w:tc>
          <w:tcPr>
            <w:tcW w:w="40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Halligan</w:t>
            </w:r>
          </w:p>
        </w:tc>
      </w:tr>
      <w:tr>
        <w:trPr>
          <w:trHeight w:val="214"/>
        </w:trPr>
        <w:tc>
          <w:tcPr>
            <w:tcW w:w="4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7"/>
        </w:trPr>
        <w:tc>
          <w:tcPr>
            <w:tcW w:w="40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340"/>
          </w:cols>
          <w:pgMar w:left="32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Kate Bueker, certify that:</w:t>
      </w:r>
    </w:p>
    <w:p>
      <w:pPr>
        <w:spacing w:after="0" w:line="115" w:lineRule="exact"/>
        <w:rPr>
          <w:sz w:val="20"/>
          <w:szCs w:val="20"/>
          <w:color w:val="auto"/>
        </w:rPr>
      </w:pPr>
    </w:p>
    <w:p>
      <w:pPr>
        <w:ind w:left="520" w:hanging="513"/>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14" w:lineRule="exact"/>
        <w:rPr>
          <w:rFonts w:ascii="Arial" w:cs="Arial" w:eastAsia="Arial" w:hAnsi="Arial"/>
          <w:sz w:val="18"/>
          <w:szCs w:val="18"/>
          <w:color w:val="auto"/>
        </w:rPr>
      </w:pPr>
    </w:p>
    <w:p>
      <w:pPr>
        <w:jc w:val="both"/>
        <w:ind w:left="520" w:right="320" w:hanging="513"/>
        <w:spacing w:after="0" w:line="26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8"/>
          <w:szCs w:val="18"/>
          <w:color w:val="auto"/>
        </w:rPr>
      </w:pPr>
    </w:p>
    <w:p>
      <w:pPr>
        <w:ind w:left="520" w:right="300" w:hanging="513"/>
        <w:spacing w:after="0" w:line="302"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jc w:val="both"/>
        <w:ind w:left="520" w:right="320" w:hanging="513"/>
        <w:spacing w:after="0" w:line="26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1020" w:right="80" w:hanging="503"/>
        <w:spacing w:after="0" w:line="260" w:lineRule="auto"/>
        <w:tabs>
          <w:tab w:leader="none" w:pos="10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020" w:right="400" w:hanging="503"/>
        <w:spacing w:after="0" w:line="260" w:lineRule="auto"/>
        <w:tabs>
          <w:tab w:leader="none" w:pos="10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1020" w:right="560" w:hanging="503"/>
        <w:spacing w:after="0" w:line="336" w:lineRule="auto"/>
        <w:tabs>
          <w:tab w:leader="none" w:pos="10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020" w:right="80" w:hanging="503"/>
        <w:spacing w:after="0" w:line="260" w:lineRule="auto"/>
        <w:tabs>
          <w:tab w:leader="none" w:pos="10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left="520" w:right="40" w:hanging="513"/>
        <w:spacing w:after="0" w:line="302"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020" w:right="800" w:hanging="503"/>
        <w:spacing w:after="0" w:line="336" w:lineRule="auto"/>
        <w:tabs>
          <w:tab w:leader="none" w:pos="10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6"/>
          <w:szCs w:val="16"/>
          <w:color w:val="auto"/>
        </w:rPr>
      </w:pPr>
    </w:p>
    <w:p>
      <w:pPr>
        <w:ind w:left="1020" w:right="480" w:hanging="503"/>
        <w:spacing w:after="0" w:line="272" w:lineRule="auto"/>
        <w:tabs>
          <w:tab w:leader="none" w:pos="10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20"/>
                <w:szCs w:val="20"/>
                <w:color w:val="auto"/>
              </w:rPr>
            </w:pPr>
            <w:r>
              <w:rPr>
                <w:rFonts w:ascii="Arial" w:cs="Arial" w:eastAsia="Arial" w:hAnsi="Arial"/>
                <w:sz w:val="18"/>
                <w:szCs w:val="18"/>
                <w:color w:val="auto"/>
              </w:rPr>
              <w:t>Date: May 6, 2020</w:t>
            </w:r>
          </w:p>
        </w:tc>
        <w:tc>
          <w:tcPr>
            <w:tcW w:w="7220" w:type="dxa"/>
            <w:vAlign w:val="bottom"/>
            <w:gridSpan w:val="2"/>
          </w:tcPr>
          <w:p>
            <w:pPr>
              <w:ind w:left="2680"/>
              <w:spacing w:after="0"/>
              <w:rPr>
                <w:sz w:val="20"/>
                <w:szCs w:val="20"/>
                <w:color w:val="auto"/>
              </w:rPr>
            </w:pPr>
            <w:r>
              <w:rPr>
                <w:rFonts w:ascii="Arial" w:cs="Arial" w:eastAsia="Arial" w:hAnsi="Arial"/>
                <w:sz w:val="18"/>
                <w:szCs w:val="18"/>
                <w:color w:val="auto"/>
              </w:rPr>
              <w:t>By:  Kate Bueker</w:t>
            </w:r>
          </w:p>
        </w:tc>
      </w:tr>
      <w:tr>
        <w:trPr>
          <w:trHeight w:val="194"/>
        </w:trPr>
        <w:tc>
          <w:tcPr>
            <w:tcW w:w="40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Kate Bueker</w:t>
            </w:r>
          </w:p>
        </w:tc>
      </w:tr>
      <w:tr>
        <w:trPr>
          <w:trHeight w:val="214"/>
        </w:trPr>
        <w:tc>
          <w:tcPr>
            <w:tcW w:w="40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7"/>
        </w:trPr>
        <w:tc>
          <w:tcPr>
            <w:tcW w:w="40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40" w:firstLine="510"/>
        <w:spacing w:after="0" w:line="256" w:lineRule="auto"/>
        <w:rPr>
          <w:sz w:val="20"/>
          <w:szCs w:val="20"/>
          <w:color w:val="auto"/>
        </w:rPr>
      </w:pPr>
      <w:r>
        <w:rPr>
          <w:rFonts w:ascii="Arial" w:cs="Arial" w:eastAsia="Arial" w:hAnsi="Arial"/>
          <w:sz w:val="18"/>
          <w:szCs w:val="18"/>
          <w:color w:val="auto"/>
        </w:rPr>
        <w:t>I, Brian Halligan, certify, pursuant to 18 U.S.C. Section 1350, as adopted pursuant to Section 906 of the Sarbanes-Oxley Act of 2002, that, to my knowledge, the Quarterly Report on Form 10-Q of HubSpot, Inc. for the period ended March 31, 2020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20"/>
                <w:szCs w:val="20"/>
                <w:color w:val="auto"/>
              </w:rPr>
            </w:pPr>
            <w:r>
              <w:rPr>
                <w:rFonts w:ascii="Arial" w:cs="Arial" w:eastAsia="Arial" w:hAnsi="Arial"/>
                <w:sz w:val="18"/>
                <w:szCs w:val="18"/>
                <w:color w:val="auto"/>
              </w:rPr>
              <w:t>Date: May 6, 2020</w:t>
            </w:r>
          </w:p>
        </w:tc>
        <w:tc>
          <w:tcPr>
            <w:tcW w:w="7220" w:type="dxa"/>
            <w:vAlign w:val="bottom"/>
            <w:gridSpan w:val="2"/>
          </w:tcPr>
          <w:p>
            <w:pPr>
              <w:ind w:left="2680"/>
              <w:spacing w:after="0"/>
              <w:rPr>
                <w:sz w:val="20"/>
                <w:szCs w:val="20"/>
                <w:color w:val="auto"/>
              </w:rPr>
            </w:pPr>
            <w:r>
              <w:rPr>
                <w:rFonts w:ascii="Arial" w:cs="Arial" w:eastAsia="Arial" w:hAnsi="Arial"/>
                <w:sz w:val="18"/>
                <w:szCs w:val="18"/>
                <w:color w:val="auto"/>
              </w:rPr>
              <w:t>By:  /s/ Brian Halligan</w:t>
            </w:r>
          </w:p>
        </w:tc>
      </w:tr>
      <w:tr>
        <w:trPr>
          <w:trHeight w:val="194"/>
        </w:trPr>
        <w:tc>
          <w:tcPr>
            <w:tcW w:w="40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Halligan</w:t>
            </w:r>
          </w:p>
        </w:tc>
      </w:tr>
      <w:tr>
        <w:trPr>
          <w:trHeight w:val="214"/>
        </w:trPr>
        <w:tc>
          <w:tcPr>
            <w:tcW w:w="40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7"/>
        </w:trPr>
        <w:tc>
          <w:tcPr>
            <w:tcW w:w="40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55" w:lineRule="exact"/>
        <w:rPr>
          <w:sz w:val="20"/>
          <w:szCs w:val="20"/>
          <w:color w:val="auto"/>
        </w:rPr>
      </w:pPr>
    </w:p>
    <w:p>
      <w:pPr>
        <w:ind w:right="40" w:firstLine="510"/>
        <w:spacing w:after="0" w:line="256" w:lineRule="auto"/>
        <w:rPr>
          <w:sz w:val="20"/>
          <w:szCs w:val="20"/>
          <w:color w:val="auto"/>
        </w:rPr>
      </w:pPr>
      <w:r>
        <w:rPr>
          <w:rFonts w:ascii="Arial" w:cs="Arial" w:eastAsia="Arial" w:hAnsi="Arial"/>
          <w:sz w:val="18"/>
          <w:szCs w:val="18"/>
          <w:color w:val="auto"/>
        </w:rPr>
        <w:t>I, Kate Bueker, certify, pursuant to 18 U.S.C. Section 1350, as adopted pursuant to Section 906 of the Sarbanes-Oxley Act of 2002, that, to my knowledge, the Quarterly Report on Form 10-Q of HubSpot, Inc. for the period ended March 31, 2020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20"/>
                <w:szCs w:val="20"/>
                <w:color w:val="auto"/>
              </w:rPr>
            </w:pPr>
            <w:r>
              <w:rPr>
                <w:rFonts w:ascii="Arial" w:cs="Arial" w:eastAsia="Arial" w:hAnsi="Arial"/>
                <w:sz w:val="18"/>
                <w:szCs w:val="18"/>
                <w:color w:val="auto"/>
              </w:rPr>
              <w:t>Date: May 6, 2020</w:t>
            </w:r>
          </w:p>
        </w:tc>
        <w:tc>
          <w:tcPr>
            <w:tcW w:w="7220" w:type="dxa"/>
            <w:vAlign w:val="bottom"/>
            <w:gridSpan w:val="2"/>
          </w:tcPr>
          <w:p>
            <w:pPr>
              <w:ind w:left="2680"/>
              <w:spacing w:after="0"/>
              <w:rPr>
                <w:sz w:val="20"/>
                <w:szCs w:val="20"/>
                <w:color w:val="auto"/>
              </w:rPr>
            </w:pPr>
            <w:r>
              <w:rPr>
                <w:rFonts w:ascii="Arial" w:cs="Arial" w:eastAsia="Arial" w:hAnsi="Arial"/>
                <w:sz w:val="18"/>
                <w:szCs w:val="18"/>
                <w:color w:val="auto"/>
              </w:rPr>
              <w:t>By:  /s/ Kate Bueker</w:t>
            </w:r>
          </w:p>
        </w:tc>
      </w:tr>
      <w:tr>
        <w:trPr>
          <w:trHeight w:val="194"/>
        </w:trPr>
        <w:tc>
          <w:tcPr>
            <w:tcW w:w="40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Kate Bueker</w:t>
            </w:r>
          </w:p>
        </w:tc>
      </w:tr>
      <w:tr>
        <w:trPr>
          <w:trHeight w:val="214"/>
        </w:trPr>
        <w:tc>
          <w:tcPr>
            <w:tcW w:w="40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7"/>
        </w:trPr>
        <w:tc>
          <w:tcPr>
            <w:tcW w:w="40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29" w:lineRule="exact"/>
        <w:rPr>
          <w:sz w:val="20"/>
          <w:szCs w:val="20"/>
          <w:color w:val="auto"/>
        </w:rPr>
      </w:pPr>
    </w:p>
    <w:p>
      <w:pPr>
        <w:ind w:right="20" w:firstLine="510"/>
        <w:spacing w:after="0" w:line="307"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9"/>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lvl>
    <w:lvl w:ilvl="1">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5" Type="http://schemas.openxmlformats.org/officeDocument/2006/relationships/image" Target="media/image85.png"/><Relationship Id="rId92" Type="http://schemas.openxmlformats.org/officeDocument/2006/relationships/hyperlink" Target="http://www.sec.gov/Archives/edgar/data/1404655/000156459016013204/hubs-ex31_768.htm" TargetMode="External"/><Relationship Id="rId93" Type="http://schemas.openxmlformats.org/officeDocument/2006/relationships/hyperlink" Target="http://www.sec.gov/Archives/edgar/data/1404655/000156459018009049/hubs-ex31_30.htm" TargetMode="External"/><Relationship Id="rId94" Type="http://schemas.openxmlformats.org/officeDocument/2006/relationships/hyperlink" Target="http://www.sec.gov/Archives/edgar/data/1404655/000119312514353746/d69725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2020-05-06T16:12:17Z</dcterms:created>
  <dcterms:modified xsi:type="dcterms:W3CDTF">2020-05-06T16:12:17Z</dcterms:modified>
</cp:coreProperties>
</file>