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760" w:type="dxa"/>
            <w:vAlign w:val="bottom"/>
            <w:gridSpan w:val="2"/>
          </w:tcPr>
          <w:p>
            <w:pPr>
              <w:ind w:left="1680"/>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gridSpan w:val="3"/>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6"/>
                <w:szCs w:val="16"/>
                <w:b w:val="1"/>
                <w:bCs w:val="1"/>
                <w:color w:val="auto"/>
              </w:rPr>
              <w:t>TO</w:t>
            </w:r>
          </w:p>
        </w:tc>
      </w:tr>
      <w:tr>
        <w:trPr>
          <w:trHeight w:val="298"/>
        </w:trPr>
        <w:tc>
          <w:tcPr>
            <w:tcW w:w="7680" w:type="dxa"/>
            <w:vAlign w:val="bottom"/>
            <w:gridSpan w:val="6"/>
          </w:tcPr>
          <w:p>
            <w:pPr>
              <w:jc w:val="center"/>
              <w:ind w:left="607"/>
              <w:spacing w:after="0"/>
              <w:rPr>
                <w:sz w:val="20"/>
                <w:szCs w:val="20"/>
                <w:color w:val="auto"/>
              </w:rPr>
            </w:pPr>
            <w:r>
              <w:rPr>
                <w:rFonts w:ascii="Arial" w:cs="Arial" w:eastAsia="Arial" w:hAnsi="Arial"/>
                <w:sz w:val="16"/>
                <w:szCs w:val="16"/>
                <w:b w:val="1"/>
                <w:bCs w:val="1"/>
                <w:color w:val="auto"/>
              </w:rPr>
              <w:t>COMMISSION FILE NUMBER 001-36680</w:t>
            </w:r>
          </w:p>
        </w:tc>
      </w:tr>
      <w:tr>
        <w:trPr>
          <w:trHeight w:val="222"/>
        </w:trPr>
        <w:tc>
          <w:tcPr>
            <w:tcW w:w="306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506"/>
        </w:trPr>
        <w:tc>
          <w:tcPr>
            <w:tcW w:w="5560" w:type="dxa"/>
            <w:vAlign w:val="bottom"/>
            <w:gridSpan w:val="5"/>
          </w:tcPr>
          <w:p>
            <w:pPr>
              <w:jc w:val="center"/>
              <w:ind w:left="2707"/>
              <w:spacing w:after="0"/>
              <w:rPr>
                <w:sz w:val="20"/>
                <w:szCs w:val="20"/>
                <w:color w:val="auto"/>
              </w:rPr>
            </w:pPr>
            <w:r>
              <w:rPr>
                <w:rFonts w:ascii="Arial" w:cs="Arial" w:eastAsia="Arial" w:hAnsi="Arial"/>
                <w:sz w:val="40"/>
                <w:szCs w:val="40"/>
                <w:b w:val="1"/>
                <w:bCs w:val="1"/>
                <w:color w:val="auto"/>
                <w:w w:val="91"/>
              </w:rPr>
              <w:t>HubSpot, Inc.</w:t>
            </w:r>
          </w:p>
        </w:tc>
        <w:tc>
          <w:tcPr>
            <w:tcW w:w="2120" w:type="dxa"/>
            <w:vAlign w:val="bottom"/>
          </w:tcPr>
          <w:p>
            <w:pPr>
              <w:spacing w:after="0"/>
              <w:rPr>
                <w:sz w:val="24"/>
                <w:szCs w:val="24"/>
                <w:color w:val="auto"/>
              </w:rPr>
            </w:pPr>
          </w:p>
        </w:tc>
      </w:tr>
      <w:tr>
        <w:trPr>
          <w:trHeight w:val="210"/>
        </w:trPr>
        <w:tc>
          <w:tcPr>
            <w:tcW w:w="7680" w:type="dxa"/>
            <w:vAlign w:val="bottom"/>
            <w:gridSpan w:val="6"/>
          </w:tcPr>
          <w:p>
            <w:pPr>
              <w:jc w:val="center"/>
              <w:ind w:left="60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36"/>
        </w:trPr>
        <w:tc>
          <w:tcPr>
            <w:tcW w:w="306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98"/>
        </w:trPr>
        <w:tc>
          <w:tcPr>
            <w:tcW w:w="5560" w:type="dxa"/>
            <w:vAlign w:val="bottom"/>
            <w:gridSpan w:val="5"/>
          </w:tcPr>
          <w:p>
            <w:pPr>
              <w:jc w:val="center"/>
              <w:ind w:right="2920"/>
              <w:spacing w:after="0"/>
              <w:rPr>
                <w:sz w:val="20"/>
                <w:szCs w:val="20"/>
                <w:color w:val="auto"/>
              </w:rPr>
            </w:pPr>
            <w:r>
              <w:rPr>
                <w:rFonts w:ascii="Arial" w:cs="Arial" w:eastAsia="Arial" w:hAnsi="Arial"/>
                <w:sz w:val="16"/>
                <w:szCs w:val="16"/>
                <w:b w:val="1"/>
                <w:bCs w:val="1"/>
                <w:color w:val="auto"/>
                <w:w w:val="91"/>
              </w:rPr>
              <w:t>Delaware</w:t>
            </w:r>
          </w:p>
        </w:tc>
        <w:tc>
          <w:tcPr>
            <w:tcW w:w="21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20-2632791</w:t>
            </w:r>
          </w:p>
        </w:tc>
      </w:tr>
      <w:tr>
        <w:trPr>
          <w:trHeight w:val="162"/>
        </w:trPr>
        <w:tc>
          <w:tcPr>
            <w:tcW w:w="5560" w:type="dxa"/>
            <w:vAlign w:val="bottom"/>
            <w:gridSpan w:val="5"/>
          </w:tcPr>
          <w:p>
            <w:pPr>
              <w:jc w:val="center"/>
              <w:ind w:right="2920"/>
              <w:spacing w:after="0" w:line="162" w:lineRule="exact"/>
              <w:rPr>
                <w:sz w:val="20"/>
                <w:szCs w:val="20"/>
                <w:color w:val="auto"/>
              </w:rPr>
            </w:pPr>
            <w:r>
              <w:rPr>
                <w:rFonts w:ascii="Arial" w:cs="Arial" w:eastAsia="Arial" w:hAnsi="Arial"/>
                <w:sz w:val="16"/>
                <w:szCs w:val="16"/>
                <w:b w:val="1"/>
                <w:bCs w:val="1"/>
                <w:color w:val="auto"/>
                <w:w w:val="92"/>
              </w:rPr>
              <w:t>(State or other jurisdiction of</w:t>
            </w:r>
          </w:p>
        </w:tc>
        <w:tc>
          <w:tcPr>
            <w:tcW w:w="2120" w:type="dxa"/>
            <w:vAlign w:val="bottom"/>
          </w:tcPr>
          <w:p>
            <w:pPr>
              <w:jc w:val="center"/>
              <w:ind w:left="779"/>
              <w:spacing w:after="0" w:line="162" w:lineRule="exact"/>
              <w:rPr>
                <w:sz w:val="20"/>
                <w:szCs w:val="20"/>
                <w:color w:val="auto"/>
              </w:rPr>
            </w:pPr>
            <w:r>
              <w:rPr>
                <w:rFonts w:ascii="Arial" w:cs="Arial" w:eastAsia="Arial" w:hAnsi="Arial"/>
                <w:sz w:val="16"/>
                <w:szCs w:val="16"/>
                <w:b w:val="1"/>
                <w:bCs w:val="1"/>
                <w:color w:val="auto"/>
                <w:w w:val="96"/>
              </w:rPr>
              <w:t>(I.R.S. Employer</w:t>
            </w:r>
          </w:p>
        </w:tc>
      </w:tr>
      <w:tr>
        <w:trPr>
          <w:trHeight w:val="210"/>
        </w:trPr>
        <w:tc>
          <w:tcPr>
            <w:tcW w:w="5560" w:type="dxa"/>
            <w:vAlign w:val="bottom"/>
            <w:gridSpan w:val="5"/>
          </w:tcPr>
          <w:p>
            <w:pPr>
              <w:jc w:val="center"/>
              <w:ind w:right="2920"/>
              <w:spacing w:after="0"/>
              <w:rPr>
                <w:sz w:val="20"/>
                <w:szCs w:val="20"/>
                <w:color w:val="auto"/>
              </w:rPr>
            </w:pPr>
            <w:r>
              <w:rPr>
                <w:rFonts w:ascii="Arial" w:cs="Arial" w:eastAsia="Arial" w:hAnsi="Arial"/>
                <w:sz w:val="16"/>
                <w:szCs w:val="16"/>
                <w:b w:val="1"/>
                <w:bCs w:val="1"/>
                <w:color w:val="auto"/>
                <w:w w:val="92"/>
              </w:rPr>
              <w:t>incorporation or organization)</w:t>
            </w:r>
          </w:p>
        </w:tc>
        <w:tc>
          <w:tcPr>
            <w:tcW w:w="2120" w:type="dxa"/>
            <w:vAlign w:val="bottom"/>
          </w:tcPr>
          <w:p>
            <w:pPr>
              <w:jc w:val="center"/>
              <w:ind w:left="779"/>
              <w:spacing w:after="0"/>
              <w:rPr>
                <w:sz w:val="20"/>
                <w:szCs w:val="20"/>
                <w:color w:val="auto"/>
              </w:rPr>
            </w:pPr>
            <w:r>
              <w:rPr>
                <w:rFonts w:ascii="Arial" w:cs="Arial" w:eastAsia="Arial" w:hAnsi="Arial"/>
                <w:sz w:val="16"/>
                <w:szCs w:val="16"/>
                <w:b w:val="1"/>
                <w:bCs w:val="1"/>
                <w:color w:val="auto"/>
                <w:w w:val="93"/>
              </w:rPr>
              <w:t>Identification No.)</w:t>
            </w:r>
          </w:p>
        </w:tc>
      </w:tr>
      <w:tr>
        <w:trPr>
          <w:trHeight w:val="491"/>
        </w:trPr>
        <w:tc>
          <w:tcPr>
            <w:tcW w:w="5560" w:type="dxa"/>
            <w:vAlign w:val="bottom"/>
            <w:gridSpan w:val="5"/>
          </w:tcPr>
          <w:p>
            <w:pPr>
              <w:jc w:val="center"/>
              <w:ind w:right="2920"/>
              <w:spacing w:after="0"/>
              <w:rPr>
                <w:sz w:val="20"/>
                <w:szCs w:val="20"/>
                <w:color w:val="auto"/>
              </w:rPr>
            </w:pPr>
            <w:r>
              <w:rPr>
                <w:rFonts w:ascii="Arial" w:cs="Arial" w:eastAsia="Arial" w:hAnsi="Arial"/>
                <w:sz w:val="16"/>
                <w:szCs w:val="16"/>
                <w:b w:val="1"/>
                <w:bCs w:val="1"/>
                <w:color w:val="auto"/>
                <w:w w:val="93"/>
              </w:rPr>
              <w:t>25 First Street</w:t>
            </w:r>
          </w:p>
        </w:tc>
        <w:tc>
          <w:tcPr>
            <w:tcW w:w="2120" w:type="dxa"/>
            <w:vAlign w:val="bottom"/>
          </w:tcPr>
          <w:p>
            <w:pPr>
              <w:jc w:val="right"/>
              <w:ind w:right="339"/>
              <w:spacing w:after="0"/>
              <w:rPr>
                <w:sz w:val="20"/>
                <w:szCs w:val="20"/>
                <w:color w:val="auto"/>
              </w:rPr>
            </w:pPr>
            <w:r>
              <w:rPr>
                <w:rFonts w:ascii="Arial" w:cs="Arial" w:eastAsia="Arial" w:hAnsi="Arial"/>
                <w:sz w:val="16"/>
                <w:szCs w:val="16"/>
                <w:b w:val="1"/>
                <w:bCs w:val="1"/>
                <w:color w:val="auto"/>
              </w:rPr>
              <w:t>02141</w:t>
            </w:r>
          </w:p>
        </w:tc>
      </w:tr>
      <w:tr>
        <w:trPr>
          <w:trHeight w:val="189"/>
        </w:trPr>
        <w:tc>
          <w:tcPr>
            <w:tcW w:w="5560" w:type="dxa"/>
            <w:vAlign w:val="bottom"/>
            <w:gridSpan w:val="5"/>
          </w:tcPr>
          <w:p>
            <w:pPr>
              <w:ind w:left="440"/>
              <w:spacing w:after="0"/>
              <w:rPr>
                <w:sz w:val="20"/>
                <w:szCs w:val="20"/>
                <w:color w:val="auto"/>
              </w:rPr>
            </w:pPr>
            <w:r>
              <w:rPr>
                <w:rFonts w:ascii="Arial" w:cs="Arial" w:eastAsia="Arial" w:hAnsi="Arial"/>
                <w:sz w:val="16"/>
                <w:szCs w:val="16"/>
                <w:b w:val="1"/>
                <w:bCs w:val="1"/>
                <w:color w:val="auto"/>
              </w:rPr>
              <w:t>Cambridge, Massachusetts</w:t>
            </w:r>
          </w:p>
        </w:tc>
        <w:tc>
          <w:tcPr>
            <w:tcW w:w="2120" w:type="dxa"/>
            <w:vAlign w:val="bottom"/>
          </w:tcPr>
          <w:p>
            <w:pPr>
              <w:jc w:val="center"/>
              <w:ind w:left="779"/>
              <w:spacing w:after="0"/>
              <w:rPr>
                <w:sz w:val="20"/>
                <w:szCs w:val="20"/>
                <w:color w:val="auto"/>
              </w:rPr>
            </w:pPr>
            <w:r>
              <w:rPr>
                <w:rFonts w:ascii="Arial" w:cs="Arial" w:eastAsia="Arial" w:hAnsi="Arial"/>
                <w:sz w:val="16"/>
                <w:szCs w:val="16"/>
                <w:b w:val="1"/>
                <w:bCs w:val="1"/>
                <w:color w:val="auto"/>
                <w:w w:val="93"/>
              </w:rPr>
              <w:t>(Zip Code)</w:t>
            </w:r>
          </w:p>
        </w:tc>
      </w:tr>
      <w:tr>
        <w:trPr>
          <w:trHeight w:val="210"/>
        </w:trPr>
        <w:tc>
          <w:tcPr>
            <w:tcW w:w="5560" w:type="dxa"/>
            <w:vAlign w:val="bottom"/>
            <w:gridSpan w:val="5"/>
          </w:tcPr>
          <w:p>
            <w:pPr>
              <w:jc w:val="center"/>
              <w:ind w:right="288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120" w:type="dxa"/>
            <w:vAlign w:val="bottom"/>
          </w:tcPr>
          <w:p>
            <w:pPr>
              <w:spacing w:after="0"/>
              <w:rPr>
                <w:sz w:val="18"/>
                <w:szCs w:val="18"/>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482-7768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40" w:type="dxa"/>
            <w:vAlign w:val="bottom"/>
          </w:tcPr>
          <w:p>
            <w:pPr>
              <w:spacing w:after="0"/>
              <w:rPr>
                <w:sz w:val="18"/>
                <w:szCs w:val="18"/>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jc w:val="both"/>
        <w:ind w:firstLine="509"/>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ind w:right="180" w:firstLine="509"/>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30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3"/>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81" w:lineRule="exact"/>
        <w:rPr>
          <w:sz w:val="24"/>
          <w:szCs w:val="24"/>
          <w:color w:val="auto"/>
        </w:rPr>
      </w:pPr>
    </w:p>
    <w:p>
      <w:pPr>
        <w:jc w:val="both"/>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04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48,576,188 shares of the registrant’s Common Stock issued and outstanding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8"/>
              </w:rPr>
              <w:t>HUBSPOT, INC.</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4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5"/>
              </w:rPr>
              <w:t>Part I — Financial Information</w:t>
            </w:r>
          </w:p>
        </w:tc>
        <w:tc>
          <w:tcPr>
            <w:tcW w:w="39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740" w:type="dxa"/>
            <w:vAlign w:val="bottom"/>
            <w:gridSpan w:val="21"/>
          </w:tcPr>
          <w:p>
            <w:pPr>
              <w:spacing w:after="0"/>
              <w:rPr>
                <w:sz w:val="20"/>
                <w:szCs w:val="20"/>
                <w:color w:val="auto"/>
              </w:rPr>
            </w:pPr>
            <w:r>
              <w:rPr>
                <w:rFonts w:ascii="Arial" w:cs="Arial" w:eastAsia="Arial" w:hAnsi="Arial"/>
                <w:sz w:val="18"/>
                <w:szCs w:val="18"/>
                <w:color w:val="auto"/>
              </w:rPr>
              <w:t>Item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20" w:type="dxa"/>
            <w:vAlign w:val="bottom"/>
            <w:gridSpan w:val="19"/>
          </w:tcPr>
          <w:p>
            <w:pPr>
              <w:spacing w:after="0" w:line="190" w:lineRule="exact"/>
              <w:rPr>
                <w:sz w:val="20"/>
                <w:szCs w:val="20"/>
                <w:color w:val="auto"/>
              </w:rPr>
            </w:pPr>
            <w:r>
              <w:rPr>
                <w:rFonts w:ascii="Arial" w:cs="Arial" w:eastAsia="Arial" w:hAnsi="Arial"/>
                <w:sz w:val="18"/>
                <w:szCs w:val="18"/>
                <w:color w:val="0000FF"/>
              </w:rPr>
              <w:t>Unaudited Consolidated Financial Statements: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20" w:type="dxa"/>
            <w:vAlign w:val="bottom"/>
            <w:gridSpan w:val="19"/>
          </w:tcPr>
          <w:p>
            <w:pPr>
              <w:spacing w:after="0"/>
              <w:rPr>
                <w:sz w:val="20"/>
                <w:szCs w:val="20"/>
                <w:color w:val="auto"/>
              </w:rPr>
            </w:pPr>
            <w:r>
              <w:rPr>
                <w:rFonts w:ascii="Arial" w:cs="Arial" w:eastAsia="Arial" w:hAnsi="Arial"/>
                <w:sz w:val="18"/>
                <w:szCs w:val="18"/>
                <w:color w:val="0000FF"/>
              </w:rPr>
              <w:t>Unaudited Consolidated Balance Sheets as of September 30, 2022 and December 31, 2021</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Unaudited Consolidated Statements of Operations for the Three and Nine Months Ended September 30, 2022 and 2021</w:t>
            </w:r>
          </w:p>
        </w:tc>
        <w:tc>
          <w:tcPr>
            <w:tcW w:w="20" w:type="dxa"/>
            <w:vAlign w:val="bottom"/>
            <w:tcBorders>
              <w:bottom w:val="single" w:sz="8" w:color="0000EE"/>
            </w:tcBorders>
          </w:tcPr>
          <w:p>
            <w:pPr>
              <w:spacing w:after="0"/>
              <w:rPr>
                <w:sz w:val="24"/>
                <w:szCs w:val="24"/>
                <w:color w:val="auto"/>
              </w:rPr>
            </w:pPr>
          </w:p>
        </w:tc>
        <w:tc>
          <w:tcPr>
            <w:tcW w:w="100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2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89"/>
              </w:rPr>
              <w:t>Unaudited Consolidated Statements of Comprehensive Loss for the Three and Nine Months Ended September 30, 2022</w:t>
            </w:r>
          </w:p>
        </w:tc>
        <w:tc>
          <w:tcPr>
            <w:tcW w:w="20" w:type="dxa"/>
            <w:vAlign w:val="bottom"/>
            <w:tcBorders>
              <w:bottom w:val="single" w:sz="8" w:color="0000FF"/>
            </w:tcBorders>
          </w:tcPr>
          <w:p>
            <w:pPr>
              <w:spacing w:after="0"/>
              <w:rPr>
                <w:sz w:val="15"/>
                <w:szCs w:val="15"/>
                <w:color w:val="auto"/>
              </w:rPr>
            </w:pPr>
          </w:p>
        </w:tc>
        <w:tc>
          <w:tcPr>
            <w:tcW w:w="680" w:type="dxa"/>
            <w:vAlign w:val="bottom"/>
            <w:tcBorders>
              <w:bottom w:val="single" w:sz="8" w:color="0000FF"/>
            </w:tcBorders>
          </w:tcPr>
          <w:p>
            <w:pPr>
              <w:ind w:left="20"/>
              <w:spacing w:after="0" w:line="182" w:lineRule="exact"/>
              <w:rPr>
                <w:sz w:val="20"/>
                <w:szCs w:val="20"/>
                <w:color w:val="auto"/>
              </w:rPr>
            </w:pPr>
            <w:r>
              <w:rPr>
                <w:rFonts w:ascii="Arial" w:cs="Arial" w:eastAsia="Arial" w:hAnsi="Arial"/>
                <w:sz w:val="18"/>
                <w:szCs w:val="18"/>
                <w:color w:val="0000FF"/>
                <w:w w:val="85"/>
              </w:rPr>
              <w:t>and 2021</w:t>
            </w:r>
          </w:p>
        </w:tc>
        <w:tc>
          <w:tcPr>
            <w:tcW w:w="30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20" w:type="dxa"/>
            <w:vAlign w:val="bottom"/>
            <w:gridSpan w:val="19"/>
          </w:tcPr>
          <w:p>
            <w:pPr>
              <w:spacing w:after="0"/>
              <w:rPr>
                <w:sz w:val="20"/>
                <w:szCs w:val="20"/>
                <w:color w:val="auto"/>
              </w:rPr>
            </w:pPr>
            <w:r>
              <w:rPr>
                <w:rFonts w:ascii="Arial" w:cs="Arial" w:eastAsia="Arial" w:hAnsi="Arial"/>
                <w:sz w:val="18"/>
                <w:szCs w:val="18"/>
                <w:color w:val="0000FF"/>
                <w:w w:val="99"/>
              </w:rPr>
              <w:t>Unaudited Consolidated Statements of Cash Flows for the Three and Nine Months Ended September 30, 2022 and 2021</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4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9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gridSpan w:val="2"/>
            <w:vMerge w:val="continue"/>
          </w:tcPr>
          <w:p>
            <w:pPr>
              <w:spacing w:after="0"/>
              <w:rPr>
                <w:sz w:val="19"/>
                <w:szCs w:val="19"/>
                <w:color w:val="auto"/>
              </w:rPr>
            </w:pPr>
          </w:p>
        </w:tc>
        <w:tc>
          <w:tcPr>
            <w:tcW w:w="6540" w:type="dxa"/>
            <w:vAlign w:val="bottom"/>
            <w:gridSpan w:val="14"/>
            <w:vMerge w:val="restart"/>
          </w:tcPr>
          <w:p>
            <w:pPr>
              <w:spacing w:after="0"/>
              <w:rPr>
                <w:sz w:val="20"/>
                <w:szCs w:val="20"/>
                <w:color w:val="auto"/>
              </w:rPr>
            </w:pPr>
            <w:r>
              <w:rPr>
                <w:rFonts w:ascii="Arial" w:cs="Arial" w:eastAsia="Arial" w:hAnsi="Arial"/>
                <w:sz w:val="18"/>
                <w:szCs w:val="18"/>
                <w:color w:val="0000FF"/>
                <w:w w:val="91"/>
              </w:rPr>
              <w:t>Management’s Discussion and Analysis of Financial Condition and Results of Operations</w:t>
            </w:r>
          </w:p>
        </w:tc>
        <w:tc>
          <w:tcPr>
            <w:tcW w:w="3080" w:type="dxa"/>
            <w:vAlign w:val="bottom"/>
            <w:gridSpan w:val="5"/>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40" w:type="dxa"/>
            <w:vAlign w:val="bottom"/>
            <w:tcBorders>
              <w:bottom w:val="single" w:sz="8" w:color="0000FF"/>
            </w:tcBorders>
            <w:gridSpan w:val="14"/>
            <w:vMerge w:val="continue"/>
          </w:tcPr>
          <w:p>
            <w:pPr>
              <w:spacing w:after="0"/>
              <w:rPr>
                <w:sz w:val="12"/>
                <w:szCs w:val="12"/>
                <w:color w:val="auto"/>
              </w:rPr>
            </w:pPr>
          </w:p>
        </w:tc>
        <w:tc>
          <w:tcPr>
            <w:tcW w:w="3080" w:type="dxa"/>
            <w:vAlign w:val="bottom"/>
            <w:gridSpan w:val="5"/>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19"/>
            <w:vMerge w:val="restart"/>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gridSpan w:val="19"/>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0"/>
            <w:vMerge w:val="restart"/>
          </w:tcPr>
          <w:p>
            <w:pPr>
              <w:spacing w:after="0"/>
              <w:rPr>
                <w:sz w:val="20"/>
                <w:szCs w:val="20"/>
                <w:color w:val="auto"/>
              </w:rPr>
            </w:pPr>
            <w:r>
              <w:rPr>
                <w:rFonts w:ascii="Arial" w:cs="Arial" w:eastAsia="Arial" w:hAnsi="Arial"/>
                <w:sz w:val="18"/>
                <w:szCs w:val="18"/>
                <w:color w:val="0000FF"/>
              </w:rPr>
              <w:t>Controls and Procedures</w:t>
            </w:r>
          </w:p>
        </w:tc>
        <w:tc>
          <w:tcPr>
            <w:tcW w:w="5320" w:type="dxa"/>
            <w:vAlign w:val="bottom"/>
            <w:gridSpan w:val="9"/>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gridSpan w:val="10"/>
            <w:vMerge w:val="continue"/>
          </w:tcPr>
          <w:p>
            <w:pPr>
              <w:spacing w:after="0"/>
              <w:rPr>
                <w:sz w:val="12"/>
                <w:szCs w:val="12"/>
                <w:color w:val="auto"/>
              </w:rPr>
            </w:pPr>
          </w:p>
        </w:tc>
        <w:tc>
          <w:tcPr>
            <w:tcW w:w="5320" w:type="dxa"/>
            <w:vAlign w:val="bottom"/>
            <w:gridSpan w:val="9"/>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0000FF"/>
                <w:w w:val="97"/>
              </w:rPr>
              <w:t>Part II — Other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80" w:type="dxa"/>
            <w:vAlign w:val="bottom"/>
            <w:gridSpan w:val="10"/>
          </w:tcPr>
          <w:p>
            <w:pPr>
              <w:spacing w:after="0"/>
              <w:rPr>
                <w:sz w:val="20"/>
                <w:szCs w:val="20"/>
                <w:color w:val="auto"/>
              </w:rPr>
            </w:pPr>
            <w:r>
              <w:rPr>
                <w:rFonts w:ascii="Arial" w:cs="Arial" w:eastAsia="Arial" w:hAnsi="Arial"/>
                <w:sz w:val="18"/>
                <w:szCs w:val="18"/>
                <w:color w:val="auto"/>
              </w:rPr>
              <w:t>Item 1.</w:t>
            </w:r>
          </w:p>
        </w:tc>
        <w:tc>
          <w:tcPr>
            <w:tcW w:w="2240" w:type="dxa"/>
            <w:vAlign w:val="bottom"/>
            <w:tcBorders>
              <w:top w:val="single" w:sz="8" w:color="0000FF"/>
            </w:tcBorders>
            <w:gridSpan w:val="4"/>
          </w:tcPr>
          <w:p>
            <w:pPr>
              <w:spacing w:after="0"/>
              <w:rPr>
                <w:sz w:val="24"/>
                <w:szCs w:val="24"/>
                <w:color w:val="auto"/>
              </w:rPr>
            </w:pPr>
          </w:p>
        </w:tc>
        <w:tc>
          <w:tcPr>
            <w:tcW w:w="40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0000FF"/>
            </w:tcBorders>
            <w:gridSpan w:val="4"/>
          </w:tcPr>
          <w:p>
            <w:pPr>
              <w:spacing w:after="0" w:line="190" w:lineRule="exact"/>
              <w:rPr>
                <w:sz w:val="20"/>
                <w:szCs w:val="20"/>
                <w:color w:val="auto"/>
              </w:rPr>
            </w:pPr>
            <w:r>
              <w:rPr>
                <w:rFonts w:ascii="Arial" w:cs="Arial" w:eastAsia="Arial" w:hAnsi="Arial"/>
                <w:sz w:val="18"/>
                <w:szCs w:val="18"/>
                <w:color w:val="0000FF"/>
                <w:w w:val="88"/>
              </w:rPr>
              <w:t>Legal Proceedings</w:t>
            </w:r>
          </w:p>
        </w:tc>
        <w:tc>
          <w:tcPr>
            <w:tcW w:w="8280" w:type="dxa"/>
            <w:vAlign w:val="bottom"/>
            <w:gridSpan w:val="15"/>
          </w:tcPr>
          <w:p>
            <w:pPr>
              <w:spacing w:after="0"/>
              <w:rPr>
                <w:sz w:val="16"/>
                <w:szCs w:val="16"/>
                <w:color w:val="auto"/>
              </w:rPr>
            </w:pPr>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9"/>
            <w:vMerge w:val="restart"/>
          </w:tcPr>
          <w:p>
            <w:pPr>
              <w:spacing w:after="0"/>
              <w:rPr>
                <w:sz w:val="20"/>
                <w:szCs w:val="20"/>
                <w:color w:val="auto"/>
              </w:rPr>
            </w:pPr>
            <w:r>
              <w:rPr>
                <w:rFonts w:ascii="Arial" w:cs="Arial" w:eastAsia="Arial" w:hAnsi="Arial"/>
                <w:sz w:val="18"/>
                <w:szCs w:val="18"/>
                <w:color w:val="0000FF"/>
              </w:rPr>
              <w:t>Risk Factors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gridSpan w:val="19"/>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gridSpan w:val="2"/>
            <w:vMerge w:val="continue"/>
          </w:tcPr>
          <w:p>
            <w:pPr>
              <w:spacing w:after="0"/>
              <w:rPr>
                <w:sz w:val="19"/>
                <w:szCs w:val="19"/>
                <w:color w:val="auto"/>
              </w:rPr>
            </w:pPr>
          </w:p>
        </w:tc>
        <w:tc>
          <w:tcPr>
            <w:tcW w:w="9620" w:type="dxa"/>
            <w:vAlign w:val="bottom"/>
            <w:gridSpan w:val="19"/>
            <w:vMerge w:val="restart"/>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gridSpan w:val="19"/>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FF"/>
            </w:tcBorders>
            <w:gridSpan w:val="6"/>
            <w:vMerge w:val="restart"/>
          </w:tcPr>
          <w:p>
            <w:pPr>
              <w:spacing w:after="0"/>
              <w:rPr>
                <w:sz w:val="20"/>
                <w:szCs w:val="20"/>
                <w:color w:val="auto"/>
              </w:rPr>
            </w:pPr>
            <w:r>
              <w:rPr>
                <w:rFonts w:ascii="Arial" w:cs="Arial" w:eastAsia="Arial" w:hAnsi="Arial"/>
                <w:sz w:val="18"/>
                <w:szCs w:val="18"/>
                <w:color w:val="0000FF"/>
                <w:w w:val="91"/>
              </w:rPr>
              <w:t>Default Upon Senior Securities</w:t>
            </w:r>
          </w:p>
        </w:tc>
        <w:tc>
          <w:tcPr>
            <w:tcW w:w="2080" w:type="dxa"/>
            <w:vAlign w:val="bottom"/>
            <w:tcBorders>
              <w:top w:val="single" w:sz="8" w:color="0000FF"/>
            </w:tcBorders>
            <w:gridSpan w:val="5"/>
            <w:vMerge w:val="restart"/>
          </w:tcPr>
          <w:p>
            <w:pPr>
              <w:spacing w:after="0"/>
              <w:rPr>
                <w:sz w:val="19"/>
                <w:szCs w:val="19"/>
                <w:color w:val="auto"/>
              </w:rPr>
            </w:pPr>
          </w:p>
        </w:tc>
        <w:tc>
          <w:tcPr>
            <w:tcW w:w="5280" w:type="dxa"/>
            <w:vAlign w:val="bottom"/>
            <w:gridSpan w:val="8"/>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Borders>
              <w:bottom w:val="single" w:sz="8" w:color="0000FF"/>
            </w:tcBorders>
            <w:gridSpan w:val="6"/>
            <w:vMerge w:val="continue"/>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5280" w:type="dxa"/>
            <w:vAlign w:val="bottom"/>
            <w:gridSpan w:val="8"/>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vMerge w:val="restart"/>
          </w:tcPr>
          <w:p>
            <w:pPr>
              <w:spacing w:after="0"/>
              <w:rPr>
                <w:sz w:val="20"/>
                <w:szCs w:val="20"/>
                <w:color w:val="auto"/>
              </w:rPr>
            </w:pPr>
            <w:r>
              <w:rPr>
                <w:rFonts w:ascii="Arial" w:cs="Arial" w:eastAsia="Arial" w:hAnsi="Arial"/>
                <w:sz w:val="18"/>
                <w:szCs w:val="18"/>
                <w:color w:val="0000FF"/>
                <w:w w:val="91"/>
              </w:rPr>
              <w:t>Mine Safety Disclosures</w:t>
            </w:r>
          </w:p>
        </w:tc>
        <w:tc>
          <w:tcPr>
            <w:tcW w:w="7840" w:type="dxa"/>
            <w:vAlign w:val="bottom"/>
            <w:gridSpan w:val="14"/>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Borders>
              <w:bottom w:val="single" w:sz="8" w:color="0000FF"/>
            </w:tcBorders>
            <w:gridSpan w:val="5"/>
            <w:vMerge w:val="continue"/>
          </w:tcPr>
          <w:p>
            <w:pPr>
              <w:spacing w:after="0"/>
              <w:rPr>
                <w:sz w:val="12"/>
                <w:szCs w:val="12"/>
                <w:color w:val="auto"/>
              </w:rPr>
            </w:pPr>
          </w:p>
        </w:tc>
        <w:tc>
          <w:tcPr>
            <w:tcW w:w="7840" w:type="dxa"/>
            <w:vAlign w:val="bottom"/>
            <w:gridSpan w:val="14"/>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vMerge w:val="restart"/>
          </w:tcPr>
          <w:p>
            <w:pPr>
              <w:spacing w:after="0"/>
              <w:rPr>
                <w:sz w:val="20"/>
                <w:szCs w:val="20"/>
                <w:color w:val="auto"/>
              </w:rPr>
            </w:pPr>
            <w:r>
              <w:rPr>
                <w:rFonts w:ascii="Arial" w:cs="Arial" w:eastAsia="Arial" w:hAnsi="Arial"/>
                <w:sz w:val="18"/>
                <w:szCs w:val="18"/>
                <w:color w:val="0000FF"/>
                <w:w w:val="92"/>
              </w:rPr>
              <w:t>Other Information</w:t>
            </w:r>
          </w:p>
        </w:tc>
        <w:tc>
          <w:tcPr>
            <w:tcW w:w="8300" w:type="dxa"/>
            <w:vAlign w:val="bottom"/>
            <w:gridSpan w:val="16"/>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Borders>
              <w:bottom w:val="single" w:sz="8" w:color="0000FF"/>
            </w:tcBorders>
            <w:gridSpan w:val="3"/>
            <w:vMerge w:val="continue"/>
          </w:tcPr>
          <w:p>
            <w:pPr>
              <w:spacing w:after="0"/>
              <w:rPr>
                <w:sz w:val="12"/>
                <w:szCs w:val="12"/>
                <w:color w:val="auto"/>
              </w:rPr>
            </w:pPr>
          </w:p>
        </w:tc>
        <w:tc>
          <w:tcPr>
            <w:tcW w:w="8300" w:type="dxa"/>
            <w:vAlign w:val="bottom"/>
            <w:gridSpan w:val="16"/>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19"/>
            <w:vMerge w:val="restart"/>
          </w:tcPr>
          <w:p>
            <w:pPr>
              <w:spacing w:after="0"/>
              <w:rPr>
                <w:sz w:val="20"/>
                <w:szCs w:val="20"/>
                <w:color w:val="auto"/>
              </w:rPr>
            </w:pPr>
            <w:r>
              <w:rPr>
                <w:rFonts w:ascii="Arial" w:cs="Arial" w:eastAsia="Arial" w:hAnsi="Arial"/>
                <w:sz w:val="18"/>
                <w:szCs w:val="18"/>
                <w:color w:val="0000FF"/>
              </w:rPr>
              <w:t>Exhibits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gridSpan w:val="19"/>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9020" w:type="dxa"/>
            <w:vAlign w:val="bottom"/>
            <w:gridSpan w:val="18"/>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8"/>
        </w:trPr>
        <w:tc>
          <w:tcPr>
            <w:tcW w:w="76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8"/>
          <w:szCs w:val="18"/>
          <w:color w:val="auto"/>
        </w:rPr>
        <w:t>EX-31.1</w:t>
      </w:r>
    </w:p>
    <w:p>
      <w:pPr>
        <w:ind w:left="1120"/>
        <w:spacing w:after="0" w:line="234" w:lineRule="auto"/>
        <w:rPr>
          <w:sz w:val="20"/>
          <w:szCs w:val="20"/>
          <w:color w:val="auto"/>
        </w:rPr>
      </w:pPr>
      <w:r>
        <w:rPr>
          <w:rFonts w:ascii="Arial" w:cs="Arial" w:eastAsia="Arial" w:hAnsi="Arial"/>
          <w:sz w:val="18"/>
          <w:szCs w:val="18"/>
          <w:color w:val="auto"/>
        </w:rPr>
        <w:t>CERTIFICATION OF THE CEO PURSUANT TO SECTION 302</w:t>
      </w:r>
    </w:p>
    <w:p>
      <w:pPr>
        <w:spacing w:after="0" w:line="220" w:lineRule="auto"/>
        <w:rPr>
          <w:sz w:val="20"/>
          <w:szCs w:val="20"/>
          <w:color w:val="auto"/>
        </w:rPr>
      </w:pPr>
      <w:r>
        <w:rPr>
          <w:rFonts w:ascii="Arial" w:cs="Arial" w:eastAsia="Arial" w:hAnsi="Arial"/>
          <w:sz w:val="18"/>
          <w:szCs w:val="18"/>
          <w:color w:val="auto"/>
        </w:rPr>
        <w:t>EX-31.2</w:t>
      </w:r>
    </w:p>
    <w:p>
      <w:pPr>
        <w:ind w:left="1120"/>
        <w:spacing w:after="0" w:line="234" w:lineRule="auto"/>
        <w:rPr>
          <w:sz w:val="20"/>
          <w:szCs w:val="20"/>
          <w:color w:val="auto"/>
        </w:rPr>
      </w:pPr>
      <w:r>
        <w:rPr>
          <w:rFonts w:ascii="Arial" w:cs="Arial" w:eastAsia="Arial" w:hAnsi="Arial"/>
          <w:sz w:val="18"/>
          <w:szCs w:val="18"/>
          <w:color w:val="auto"/>
        </w:rPr>
        <w:t>CERTIFICATION OF THE CFO PURSUANT TO SECTION 302</w:t>
      </w:r>
    </w:p>
    <w:p>
      <w:pPr>
        <w:spacing w:after="0" w:line="220" w:lineRule="auto"/>
        <w:rPr>
          <w:sz w:val="20"/>
          <w:szCs w:val="20"/>
          <w:color w:val="auto"/>
        </w:rPr>
      </w:pPr>
      <w:r>
        <w:rPr>
          <w:rFonts w:ascii="Arial" w:cs="Arial" w:eastAsia="Arial" w:hAnsi="Arial"/>
          <w:sz w:val="18"/>
          <w:szCs w:val="18"/>
          <w:color w:val="auto"/>
        </w:rPr>
        <w:t>EX-32.1</w:t>
      </w:r>
    </w:p>
    <w:p>
      <w:pPr>
        <w:ind w:left="1120"/>
        <w:spacing w:after="0"/>
        <w:rPr>
          <w:sz w:val="20"/>
          <w:szCs w:val="20"/>
          <w:color w:val="auto"/>
        </w:rPr>
      </w:pPr>
      <w:r>
        <w:rPr>
          <w:rFonts w:ascii="Arial" w:cs="Arial" w:eastAsia="Arial" w:hAnsi="Arial"/>
          <w:sz w:val="18"/>
          <w:szCs w:val="18"/>
          <w:color w:val="auto"/>
        </w:rPr>
        <w:t>CERTIFICATION OF THE CEO AND CFO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728980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90" w:lineRule="exact"/>
        <w:rPr>
          <w:sz w:val="20"/>
          <w:szCs w:val="20"/>
          <w:color w:val="auto"/>
        </w:rPr>
      </w:pPr>
    </w:p>
    <w:p>
      <w:pPr>
        <w:ind w:left="1020" w:right="3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operational performance and operational expenditures, including our expectations regarding our revenue, cost of revenue, gross margin and operating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44" w:lineRule="exact"/>
        <w:rPr>
          <w:rFonts w:ascii="Arial" w:cs="Arial" w:eastAsia="Arial" w:hAnsi="Arial"/>
          <w:sz w:val="18"/>
          <w:szCs w:val="18"/>
          <w:color w:val="auto"/>
        </w:rPr>
      </w:pPr>
    </w:p>
    <w:p>
      <w:pPr>
        <w:ind w:left="102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geo-political conflicts, inflationary pressures, foreign currency movement, macroeconomic stability, and the COVID-19 pandemic on our business, the broader economy, our workforce and operations, the markets in which we and our partners and customers operate, and our ability to forecast future financial performance;</w:t>
      </w:r>
    </w:p>
    <w:p>
      <w:pPr>
        <w:spacing w:after="0" w:line="107"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44" w:lineRule="exact"/>
        <w:rPr>
          <w:rFonts w:ascii="Arial" w:cs="Arial" w:eastAsia="Arial" w:hAnsi="Arial"/>
          <w:sz w:val="18"/>
          <w:szCs w:val="18"/>
          <w:color w:val="auto"/>
        </w:rPr>
      </w:pPr>
    </w:p>
    <w:p>
      <w:pPr>
        <w:ind w:left="1020" w:right="34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79"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5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44"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9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 w:name="page4"/>
    <w:bookmarkEnd w:id="3"/>
    <w:p>
      <w:pPr>
        <w:jc w:val="both"/>
        <w:ind w:right="100" w:firstLine="509"/>
        <w:spacing w:after="0" w:line="294"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20" w:lineRule="exact"/>
        <w:rPr>
          <w:sz w:val="20"/>
          <w:szCs w:val="20"/>
          <w:color w:val="auto"/>
        </w:rPr>
      </w:pPr>
    </w:p>
    <w:p>
      <w:pPr>
        <w:ind w:right="480" w:firstLine="509"/>
        <w:spacing w:after="0" w:line="25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89"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80" w:lineRule="exact"/>
        <w:rPr>
          <w:sz w:val="20"/>
          <w:szCs w:val="20"/>
          <w:color w:val="auto"/>
        </w:rPr>
      </w:pPr>
    </w:p>
    <w:p>
      <w:pPr>
        <w:ind w:left="1020" w:right="3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89"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14"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89"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spacing w:after="0" w:line="103" w:lineRule="exact"/>
        <w:rPr>
          <w:rFonts w:ascii="Arial" w:cs="Arial" w:eastAsia="Arial" w:hAnsi="Arial"/>
          <w:sz w:val="18"/>
          <w:szCs w:val="18"/>
          <w:color w:val="auto"/>
        </w:rPr>
      </w:pPr>
    </w:p>
    <w:p>
      <w:pPr>
        <w:ind w:left="1020" w:right="40" w:hanging="503"/>
        <w:spacing w:after="0" w:line="32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56"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that could adversely affect our financial results.</w:t>
      </w:r>
    </w:p>
    <w:p>
      <w:pPr>
        <w:spacing w:after="0" w:line="144"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economic downturn may lead to decreased demand for our products and services and otherwise harm our business and results of operations.</w:t>
      </w:r>
    </w:p>
    <w:p>
      <w:pPr>
        <w:spacing w:after="0" w:line="103" w:lineRule="exact"/>
        <w:rPr>
          <w:rFonts w:ascii="Arial" w:cs="Arial" w:eastAsia="Arial" w:hAnsi="Arial"/>
          <w:sz w:val="18"/>
          <w:szCs w:val="18"/>
          <w:color w:val="auto"/>
        </w:rPr>
      </w:pPr>
    </w:p>
    <w:p>
      <w:pPr>
        <w:ind w:left="1020" w:right="80" w:hanging="503"/>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65" w:lineRule="exact"/>
        <w:rPr>
          <w:rFonts w:ascii="Arial" w:cs="Arial" w:eastAsia="Arial" w:hAnsi="Arial"/>
          <w:sz w:val="17"/>
          <w:szCs w:val="17"/>
          <w:color w:val="auto"/>
        </w:rPr>
      </w:pPr>
    </w:p>
    <w:p>
      <w:pPr>
        <w:ind w:left="1020" w:right="160" w:hanging="503"/>
        <w:spacing w:after="0" w:line="291"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79" w:lineRule="exact"/>
        <w:rPr>
          <w:rFonts w:ascii="Arial" w:cs="Arial" w:eastAsia="Arial" w:hAnsi="Arial"/>
          <w:sz w:val="17"/>
          <w:szCs w:val="17"/>
          <w:color w:val="auto"/>
        </w:rPr>
      </w:pPr>
    </w:p>
    <w:p>
      <w:pPr>
        <w:ind w:left="1020" w:right="160" w:hanging="503"/>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144"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89"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capital in the future may be limited, and our failure to raise capital when needed could prevent us from growing.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331,659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952,697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820,962</w:t>
            </w:r>
          </w:p>
        </w:tc>
        <w:tc>
          <w:tcPr>
            <w:tcW w:w="100" w:type="dxa"/>
            <w:vAlign w:val="bottom"/>
          </w:tcPr>
          <w:p>
            <w:pPr>
              <w:spacing w:after="0"/>
              <w:rPr>
                <w:sz w:val="18"/>
                <w:szCs w:val="18"/>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Accounts receivable — net of allowance for doubtful accounts of $2,512 and</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$1,768 at September 30, 2022 and December 31, 2021,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157,362</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commission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59,849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45,060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1,561,093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1,453,574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102,628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96,134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251,422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280,828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 expense, net of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2,296,919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13,318</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costs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90,827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74,457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468,536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668,209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617,474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250,678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283,873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Convertible senior notes, net of current portion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383,101</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1,390,222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1,550,905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1,436,089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(17,511 )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(1,339 )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(626,745 )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(560,998 )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906,697</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873,799</w:t>
            </w:r>
          </w:p>
        </w:tc>
        <w:tc>
          <w:tcPr>
            <w:tcW w:w="100" w:type="dxa"/>
            <w:vAlign w:val="bottom"/>
            <w:tcBorders>
              <w:top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2,296,919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-4500245</wp:posOffset>
            </wp:positionV>
            <wp:extent cx="6858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-4500245</wp:posOffset>
            </wp:positionV>
            <wp:extent cx="6858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123444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5080"/>
        <w:spacing w:after="0"/>
        <w:rPr>
          <w:sz w:val="20"/>
          <w:szCs w:val="20"/>
          <w:color w:val="auto"/>
        </w:rPr>
      </w:pPr>
      <w:r>
        <w:rPr>
          <w:rFonts w:ascii="Arial" w:cs="Arial" w:eastAsia="Arial" w:hAnsi="Arial"/>
          <w:sz w:val="18"/>
          <w:szCs w:val="18"/>
          <w:b w:val="1"/>
          <w:bCs w:val="1"/>
          <w:color w:val="auto"/>
        </w:rPr>
        <w:t>HubSpot, Inc.</w:t>
      </w:r>
    </w:p>
    <w:p>
      <w:pPr>
        <w:spacing w:after="0" w:line="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Unaudited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226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85"/>
        </w:trPr>
        <w:tc>
          <w:tcPr>
            <w:tcW w:w="6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435,030</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328,975</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1,232,387</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899,661</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28,926</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5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443,958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1,261,313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931,349</w:t>
            </w:r>
          </w:p>
        </w:tc>
        <w:tc>
          <w:tcPr>
            <w:tcW w:w="100" w:type="dxa"/>
            <w:vAlign w:val="bottom"/>
          </w:tcPr>
          <w:p>
            <w:pPr>
              <w:spacing w:after="0"/>
              <w:rPr>
                <w:sz w:val="18"/>
                <w:szCs w:val="18"/>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67,648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191,466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152,533</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14,479</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ind w:left="56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233,998</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187,218</w:t>
            </w:r>
          </w:p>
        </w:tc>
        <w:tc>
          <w:tcPr>
            <w:tcW w:w="100" w:type="dxa"/>
            <w:vAlign w:val="bottom"/>
          </w:tcPr>
          <w:p>
            <w:pPr>
              <w:spacing w:after="0"/>
              <w:rPr>
                <w:sz w:val="18"/>
                <w:szCs w:val="18"/>
                <w:color w:val="auto"/>
              </w:rPr>
            </w:pPr>
          </w:p>
        </w:tc>
      </w:tr>
      <w:tr>
        <w:trPr>
          <w:trHeight w:val="209"/>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361,831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269,589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1,027,315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325,687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218,973</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229,541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650,936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468,836</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50,465</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146,309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394,044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1,122,932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790,692</w:t>
            </w:r>
          </w:p>
        </w:tc>
        <w:tc>
          <w:tcPr>
            <w:tcW w:w="100" w:type="dxa"/>
            <w:vAlign w:val="bottom"/>
          </w:tcPr>
          <w:p>
            <w:pPr>
              <w:spacing w:after="0"/>
              <w:rPr>
                <w:sz w:val="18"/>
                <w:szCs w:val="18"/>
                <w:color w:val="auto"/>
              </w:rPr>
            </w:pPr>
          </w:p>
        </w:tc>
      </w:tr>
      <w:tr>
        <w:trPr>
          <w:trHeight w:val="210"/>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(95,617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(923 )</w:t>
            </w:r>
          </w:p>
        </w:tc>
        <w:tc>
          <w:tcPr>
            <w:tcW w:w="36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(7,798 )</w:t>
            </w:r>
          </w:p>
        </w:tc>
        <w:tc>
          <w:tcPr>
            <w:tcW w:w="22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(2,822 )</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(24,376 )</w:t>
            </w:r>
          </w:p>
        </w:tc>
      </w:tr>
      <w:tr>
        <w:trPr>
          <w:trHeight w:val="216"/>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(1,185 )</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(583 )</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shd w:val="clear" w:color="auto" w:fill="CFF0FC"/>
          </w:tcPr>
          <w:p>
            <w:pPr>
              <w:spacing w:after="0"/>
              <w:rPr>
                <w:sz w:val="18"/>
                <w:szCs w:val="18"/>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0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(12,266 )</w:t>
            </w:r>
          </w:p>
        </w:tc>
      </w:tr>
      <w:tr>
        <w:trPr>
          <w:trHeight w:val="20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(1,748 )</w:t>
            </w:r>
          </w:p>
        </w:tc>
        <w:tc>
          <w:tcPr>
            <w:tcW w:w="36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(1,117 )</w:t>
            </w:r>
          </w:p>
        </w:tc>
        <w:tc>
          <w:tcPr>
            <w:tcW w:w="22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(5,313 )</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(2,639 )</w:t>
            </w:r>
          </w:p>
        </w:tc>
      </w:tr>
      <w:tr>
        <w:trPr>
          <w:trHeight w:val="250"/>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(97,113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(0.65 )</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(0.29 )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(2.03 )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(1.31 )</w:t>
            </w:r>
          </w:p>
        </w:tc>
      </w:tr>
      <w:tr>
        <w:trPr>
          <w:trHeight w:val="175"/>
        </w:trPr>
        <w:tc>
          <w:tcPr>
            <w:tcW w:w="61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 average common shares used in</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computing basic and diluted net loss per share:</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48,067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-3256915</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-3256915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-3256915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-2691130</wp:posOffset>
            </wp:positionV>
            <wp:extent cx="768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-2691130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-2691130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-2399665</wp:posOffset>
            </wp:positionV>
            <wp:extent cx="7683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-2399665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-2399665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-1842135</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-1842135</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-1842135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-1550670</wp:posOffset>
            </wp:positionV>
            <wp:extent cx="7683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-1550670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-1550670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-993775</wp:posOffset>
            </wp:positionV>
            <wp:extent cx="7683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-993775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-993775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-419100</wp:posOffset>
            </wp:positionV>
            <wp:extent cx="257175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175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5080"/>
        <w:spacing w:after="0"/>
        <w:rPr>
          <w:sz w:val="20"/>
          <w:szCs w:val="20"/>
          <w:color w:val="auto"/>
        </w:rPr>
      </w:pPr>
      <w:r>
        <w:rPr>
          <w:rFonts w:ascii="Arial" w:cs="Arial" w:eastAsia="Arial" w:hAnsi="Arial"/>
          <w:sz w:val="18"/>
          <w:szCs w:val="18"/>
          <w:b w:val="1"/>
          <w:bCs w:val="1"/>
          <w:color w:val="auto"/>
        </w:rPr>
        <w:t>HubSpot, Inc.</w:t>
      </w:r>
    </w:p>
    <w:p>
      <w:pPr>
        <w:spacing w:after="0" w:line="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212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(97,113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(61,466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(2,793 )</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(1,600 )</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(5,818 )</w:t>
            </w: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(3,555 )</w:t>
            </w:r>
          </w:p>
        </w:tc>
        <w:tc>
          <w:tcPr>
            <w:tcW w:w="0" w:type="dxa"/>
            <w:vAlign w:val="bottom"/>
          </w:tcPr>
          <w:p>
            <w:pPr>
              <w:spacing w:after="0"/>
              <w:rPr>
                <w:sz w:val="1"/>
                <w:szCs w:val="1"/>
                <w:color w:val="auto"/>
              </w:rPr>
            </w:pPr>
          </w:p>
        </w:tc>
      </w:tr>
      <w:tr>
        <w:trPr>
          <w:trHeight w:val="175"/>
        </w:trPr>
        <w:tc>
          <w:tcPr>
            <w:tcW w:w="6480" w:type="dxa"/>
            <w:vAlign w:val="bottom"/>
          </w:tcPr>
          <w:p>
            <w:pPr>
              <w:ind w:left="200"/>
              <w:spacing w:after="0" w:line="175" w:lineRule="exact"/>
              <w:rPr>
                <w:sz w:val="20"/>
                <w:szCs w:val="20"/>
                <w:color w:val="auto"/>
              </w:rPr>
            </w:pPr>
            <w:r>
              <w:rPr>
                <w:rFonts w:ascii="Arial" w:cs="Arial" w:eastAsia="Arial" w:hAnsi="Arial"/>
                <w:sz w:val="18"/>
                <w:szCs w:val="18"/>
                <w:color w:val="auto"/>
              </w:rPr>
              <w:t>Changes in unrealized loss on investments, net of income taxes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300"/>
              <w:spacing w:after="0" w:line="189" w:lineRule="exact"/>
              <w:rPr>
                <w:sz w:val="20"/>
                <w:szCs w:val="20"/>
                <w:color w:val="auto"/>
              </w:rPr>
            </w:pPr>
            <w:r>
              <w:rPr>
                <w:rFonts w:ascii="Arial" w:cs="Arial" w:eastAsia="Arial" w:hAnsi="Arial"/>
                <w:sz w:val="18"/>
                <w:szCs w:val="18"/>
                <w:color w:val="auto"/>
              </w:rPr>
              <w:t>of $0 for the three and nine months ended September 30, 2022,</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(3,701 )</w:t>
            </w:r>
          </w:p>
        </w:tc>
        <w:tc>
          <w:tcPr>
            <w:tcW w:w="340" w:type="dxa"/>
            <w:vAlign w:val="bottom"/>
          </w:tcPr>
          <w:p>
            <w:pPr>
              <w:spacing w:after="0"/>
              <w:rPr>
                <w:sz w:val="16"/>
                <w:szCs w:val="16"/>
                <w:color w:val="auto"/>
              </w:rPr>
            </w:pPr>
          </w:p>
        </w:tc>
        <w:tc>
          <w:tcPr>
            <w:tcW w:w="92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(37 )</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(10,354 )</w:t>
            </w:r>
          </w:p>
        </w:tc>
        <w:tc>
          <w:tcPr>
            <w:tcW w:w="34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17"/>
        </w:trPr>
        <w:tc>
          <w:tcPr>
            <w:tcW w:w="6480" w:type="dxa"/>
            <w:vAlign w:val="bottom"/>
          </w:tcPr>
          <w:p>
            <w:pPr>
              <w:ind w:left="300"/>
              <w:spacing w:after="0"/>
              <w:rPr>
                <w:sz w:val="20"/>
                <w:szCs w:val="20"/>
                <w:color w:val="auto"/>
              </w:rPr>
            </w:pPr>
            <w:r>
              <w:rPr>
                <w:rFonts w:ascii="Arial" w:cs="Arial" w:eastAsia="Arial" w:hAnsi="Arial"/>
                <w:sz w:val="18"/>
                <w:szCs w:val="18"/>
                <w:color w:val="auto"/>
              </w:rPr>
              <w:t>($1) and ($44) for the three and nine months ended September 30, 2021</w:t>
            </w: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(65,478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w w:val="94"/>
              </w:rPr>
              <w:t>The accompanying notes are an integral part of the consolidated financial statements.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6480" w:type="dxa"/>
            <w:vAlign w:val="bottom"/>
          </w:tcPr>
          <w:p>
            <w:pPr>
              <w:ind w:left="55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-685165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-668020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-685165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-668020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-685165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-668020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5080"/>
        <w:spacing w:after="0"/>
        <w:rPr>
          <w:sz w:val="20"/>
          <w:szCs w:val="20"/>
          <w:color w:val="auto"/>
        </w:rPr>
      </w:pPr>
      <w:r>
        <w:rPr>
          <w:rFonts w:ascii="Arial" w:cs="Arial" w:eastAsia="Arial" w:hAnsi="Arial"/>
          <w:sz w:val="18"/>
          <w:szCs w:val="18"/>
          <w:b w:val="1"/>
          <w:bCs w:val="1"/>
          <w:color w:val="auto"/>
        </w:rPr>
        <w:t>HubSpot, Inc.</w:t>
      </w:r>
    </w:p>
    <w:p>
      <w:pPr>
        <w:spacing w:after="0" w:line="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080" w:type="dxa"/>
            <w:vAlign w:val="bottom"/>
            <w:gridSpan w:val="2"/>
          </w:tcPr>
          <w:p>
            <w:pPr>
              <w:jc w:val="center"/>
              <w:ind w:left="338"/>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Treasury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320" w:type="dxa"/>
            <w:vAlign w:val="bottom"/>
          </w:tcPr>
          <w:p>
            <w:pPr>
              <w:spacing w:after="0"/>
              <w:rPr>
                <w:sz w:val="11"/>
                <w:szCs w:val="11"/>
                <w:color w:val="auto"/>
              </w:rPr>
            </w:pPr>
          </w:p>
        </w:tc>
        <w:tc>
          <w:tcPr>
            <w:tcW w:w="1220" w:type="dxa"/>
            <w:vAlign w:val="bottom"/>
            <w:gridSpan w:val="3"/>
          </w:tcPr>
          <w:p>
            <w:pPr>
              <w:jc w:val="center"/>
              <w:ind w:left="178"/>
              <w:spacing w:after="0" w:line="135" w:lineRule="exact"/>
              <w:rPr>
                <w:sz w:val="20"/>
                <w:szCs w:val="20"/>
                <w:color w:val="auto"/>
              </w:rPr>
            </w:pPr>
            <w:r>
              <w:rPr>
                <w:rFonts w:ascii="Arial" w:cs="Arial" w:eastAsia="Arial" w:hAnsi="Arial"/>
                <w:sz w:val="13"/>
                <w:szCs w:val="13"/>
                <w:b w:val="1"/>
                <w:bCs w:val="1"/>
                <w:color w:val="auto"/>
                <w:w w:val="87"/>
              </w:rPr>
              <w:t>Stock, $0.001</w:t>
            </w:r>
          </w:p>
        </w:tc>
        <w:tc>
          <w:tcPr>
            <w:tcW w:w="260" w:type="dxa"/>
            <w:vAlign w:val="bottom"/>
          </w:tcPr>
          <w:p>
            <w:pPr>
              <w:spacing w:after="0"/>
              <w:rPr>
                <w:sz w:val="11"/>
                <w:szCs w:val="11"/>
                <w:color w:val="auto"/>
              </w:rPr>
            </w:pPr>
          </w:p>
        </w:tc>
        <w:tc>
          <w:tcPr>
            <w:tcW w:w="1000" w:type="dxa"/>
            <w:vAlign w:val="bottom"/>
            <w:gridSpan w:val="3"/>
          </w:tcPr>
          <w:p>
            <w:pPr>
              <w:jc w:val="center"/>
              <w:ind w:left="557"/>
              <w:spacing w:after="0" w:line="135" w:lineRule="exact"/>
              <w:rPr>
                <w:sz w:val="20"/>
                <w:szCs w:val="20"/>
                <w:color w:val="auto"/>
              </w:rPr>
            </w:pPr>
            <w:r>
              <w:rPr>
                <w:rFonts w:ascii="Arial" w:cs="Arial" w:eastAsia="Arial" w:hAnsi="Arial"/>
                <w:sz w:val="13"/>
                <w:szCs w:val="13"/>
                <w:b w:val="1"/>
                <w:bCs w:val="1"/>
                <w:color w:val="auto"/>
                <w:w w:val="85"/>
              </w:rPr>
              <w:t>$0.001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332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left="338"/>
              <w:spacing w:after="0"/>
              <w:rPr>
                <w:sz w:val="20"/>
                <w:szCs w:val="20"/>
                <w:color w:val="auto"/>
              </w:rPr>
            </w:pPr>
            <w:r>
              <w:rPr>
                <w:rFonts w:ascii="Arial" w:cs="Arial" w:eastAsia="Arial" w:hAnsi="Arial"/>
                <w:sz w:val="13"/>
                <w:szCs w:val="13"/>
                <w:b w:val="1"/>
                <w:bCs w:val="1"/>
                <w:color w:val="auto"/>
                <w:w w:val="91"/>
              </w:rPr>
              <w:t>Par Value</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3"/>
                <w:szCs w:val="13"/>
                <w:b w:val="1"/>
                <w:bCs w:val="1"/>
                <w:color w:val="auto"/>
                <w:w w:val="91"/>
              </w:rPr>
              <w:t>Par Value</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5"/>
                <w:szCs w:val="15"/>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332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80"/>
              <w:spacing w:after="0" w:line="144"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3"/>
                <w:szCs w:val="13"/>
                <w:color w:val="auto"/>
              </w:rPr>
            </w:pPr>
          </w:p>
        </w:tc>
        <w:tc>
          <w:tcPr>
            <w:tcW w:w="1320" w:type="dxa"/>
            <w:vAlign w:val="bottom"/>
            <w:gridSpan w:val="3"/>
          </w:tcPr>
          <w:p>
            <w:pPr>
              <w:jc w:val="right"/>
              <w:ind w:right="760"/>
              <w:spacing w:after="0" w:line="144" w:lineRule="exact"/>
              <w:rPr>
                <w:sz w:val="20"/>
                <w:szCs w:val="20"/>
                <w:color w:val="auto"/>
              </w:rPr>
            </w:pPr>
            <w:r>
              <w:rPr>
                <w:rFonts w:ascii="Arial" w:cs="Arial" w:eastAsia="Arial" w:hAnsi="Arial"/>
                <w:sz w:val="13"/>
                <w:szCs w:val="13"/>
                <w:b w:val="1"/>
                <w:bCs w:val="1"/>
                <w:color w:val="auto"/>
              </w:rPr>
              <w:t>Deficit</w:t>
            </w:r>
          </w:p>
        </w:tc>
        <w:tc>
          <w:tcPr>
            <w:tcW w:w="880" w:type="dxa"/>
            <w:vAlign w:val="bottom"/>
            <w:gridSpan w:val="2"/>
          </w:tcPr>
          <w:p>
            <w:pPr>
              <w:jc w:val="right"/>
              <w:ind w:right="480"/>
              <w:spacing w:after="0" w:line="144" w:lineRule="exact"/>
              <w:rPr>
                <w:sz w:val="20"/>
                <w:szCs w:val="20"/>
                <w:color w:val="auto"/>
              </w:rPr>
            </w:pPr>
            <w:r>
              <w:rPr>
                <w:rFonts w:ascii="Arial" w:cs="Arial" w:eastAsia="Arial" w:hAnsi="Arial"/>
                <w:sz w:val="13"/>
                <w:szCs w:val="13"/>
                <w:b w:val="1"/>
                <w:bCs w:val="1"/>
                <w:color w:val="auto"/>
              </w:rPr>
              <w:t>Total</w:t>
            </w:r>
          </w:p>
        </w:tc>
      </w:tr>
      <w:tr>
        <w:trPr>
          <w:trHeight w:val="196"/>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December 31,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47,390</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1,436,089</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(560,998</w:t>
            </w:r>
          </w:p>
        </w:tc>
        <w:tc>
          <w:tcPr>
            <w:tcW w:w="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873,799</w:t>
            </w:r>
          </w:p>
        </w:tc>
        <w:tc>
          <w:tcPr>
            <w:tcW w:w="100" w:type="dxa"/>
            <w:vAlign w:val="bottom"/>
            <w:shd w:val="clear" w:color="auto" w:fill="CFF0FC"/>
          </w:tcPr>
          <w:p>
            <w:pPr>
              <w:spacing w:after="0"/>
              <w:rPr>
                <w:sz w:val="17"/>
                <w:szCs w:val="17"/>
                <w:color w:val="auto"/>
              </w:rPr>
            </w:pPr>
          </w:p>
        </w:tc>
      </w:tr>
      <w:tr>
        <w:trPr>
          <w:trHeight w:val="158"/>
        </w:trPr>
        <w:tc>
          <w:tcPr>
            <w:tcW w:w="332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under stock</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320" w:type="dxa"/>
            <w:vAlign w:val="bottom"/>
          </w:tcPr>
          <w:p>
            <w:pPr>
              <w:ind w:left="100"/>
              <w:spacing w:after="0"/>
              <w:rPr>
                <w:sz w:val="20"/>
                <w:szCs w:val="20"/>
                <w:color w:val="auto"/>
              </w:rPr>
            </w:pPr>
            <w:r>
              <w:rPr>
                <w:rFonts w:ascii="Arial" w:cs="Arial" w:eastAsia="Arial" w:hAnsi="Arial"/>
                <w:sz w:val="17"/>
                <w:szCs w:val="17"/>
                <w:color w:val="auto"/>
              </w:rPr>
              <w:t>plans</w:t>
            </w:r>
          </w:p>
        </w:tc>
        <w:tc>
          <w:tcPr>
            <w:tcW w:w="840" w:type="dxa"/>
            <w:vAlign w:val="bottom"/>
          </w:tcPr>
          <w:p>
            <w:pPr>
              <w:jc w:val="right"/>
              <w:spacing w:after="0"/>
              <w:rPr>
                <w:sz w:val="20"/>
                <w:szCs w:val="20"/>
                <w:color w:val="auto"/>
              </w:rPr>
            </w:pPr>
            <w:r>
              <w:rPr>
                <w:rFonts w:ascii="Arial" w:cs="Arial" w:eastAsia="Arial" w:hAnsi="Arial"/>
                <w:sz w:val="17"/>
                <w:szCs w:val="17"/>
                <w:color w:val="auto"/>
              </w:rPr>
              <w:t>506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20,692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20,693</w:t>
            </w:r>
          </w:p>
        </w:tc>
        <w:tc>
          <w:tcPr>
            <w:tcW w:w="100" w:type="dxa"/>
            <w:vAlign w:val="bottom"/>
          </w:tcPr>
          <w:p>
            <w:pPr>
              <w:spacing w:after="0"/>
              <w:rPr>
                <w:sz w:val="20"/>
                <w:szCs w:val="20"/>
                <w:color w:val="auto"/>
              </w:rPr>
            </w:pPr>
          </w:p>
        </w:tc>
      </w:tr>
      <w:tr>
        <w:trPr>
          <w:trHeight w:val="204"/>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units taxes paid in cash</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(7,763 )</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(7,763 )</w:t>
            </w:r>
          </w:p>
        </w:tc>
      </w:tr>
      <w:tr>
        <w:trPr>
          <w:trHeight w:val="203"/>
        </w:trPr>
        <w:tc>
          <w:tcPr>
            <w:tcW w:w="33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130,549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130,549</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Conversion of the 2025 Notes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(691 )</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(691 )</w:t>
            </w:r>
          </w:p>
        </w:tc>
      </w:tr>
      <w:tr>
        <w:trPr>
          <w:trHeight w:val="203"/>
        </w:trPr>
        <w:tc>
          <w:tcPr>
            <w:tcW w:w="3320" w:type="dxa"/>
            <w:vAlign w:val="bottom"/>
          </w:tcPr>
          <w:p>
            <w:pPr>
              <w:ind w:left="20"/>
              <w:spacing w:after="0"/>
              <w:rPr>
                <w:sz w:val="20"/>
                <w:szCs w:val="20"/>
                <w:color w:val="auto"/>
              </w:rPr>
            </w:pPr>
            <w:r>
              <w:rPr>
                <w:rFonts w:ascii="Arial" w:cs="Arial" w:eastAsia="Arial" w:hAnsi="Arial"/>
                <w:sz w:val="17"/>
                <w:szCs w:val="17"/>
                <w:color w:val="auto"/>
              </w:rPr>
              <w:t>Conversion of the 2022 Notes</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(60,422 )</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(60,422 )</w:t>
            </w:r>
          </w:p>
        </w:tc>
      </w:tr>
      <w:tr>
        <w:trPr>
          <w:trHeight w:val="203"/>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60,483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60,483</w:t>
            </w:r>
          </w:p>
        </w:tc>
        <w:tc>
          <w:tcPr>
            <w:tcW w:w="100" w:type="dxa"/>
            <w:vAlign w:val="bottom"/>
            <w:shd w:val="clear" w:color="auto" w:fill="CFF0FC"/>
          </w:tcPr>
          <w:p>
            <w:pPr>
              <w:spacing w:after="0"/>
              <w:rPr>
                <w:sz w:val="17"/>
                <w:szCs w:val="17"/>
                <w:color w:val="auto"/>
              </w:rPr>
            </w:pPr>
          </w:p>
        </w:tc>
      </w:tr>
      <w:tr>
        <w:trPr>
          <w:trHeight w:val="158"/>
        </w:trPr>
        <w:tc>
          <w:tcPr>
            <w:tcW w:w="3320" w:type="dxa"/>
            <w:vAlign w:val="bottom"/>
          </w:tcPr>
          <w:p>
            <w:pPr>
              <w:ind w:left="20"/>
              <w:spacing w:after="0" w:line="158" w:lineRule="exact"/>
              <w:rPr>
                <w:sz w:val="20"/>
                <w:szCs w:val="20"/>
                <w:color w:val="auto"/>
              </w:rPr>
            </w:pPr>
            <w:r>
              <w:rPr>
                <w:rFonts w:ascii="Arial" w:cs="Arial" w:eastAsia="Arial" w:hAnsi="Arial"/>
                <w:sz w:val="17"/>
                <w:szCs w:val="17"/>
                <w:color w:val="auto"/>
              </w:rPr>
              <w:t>Cumulative adjustment from adoption of</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320" w:type="dxa"/>
            <w:vAlign w:val="bottom"/>
          </w:tcPr>
          <w:p>
            <w:pPr>
              <w:ind w:left="100"/>
              <w:spacing w:after="0"/>
              <w:rPr>
                <w:sz w:val="20"/>
                <w:szCs w:val="20"/>
                <w:color w:val="auto"/>
              </w:rPr>
            </w:pPr>
            <w:r>
              <w:rPr>
                <w:rFonts w:ascii="Arial" w:cs="Arial" w:eastAsia="Arial" w:hAnsi="Arial"/>
                <w:sz w:val="17"/>
                <w:szCs w:val="17"/>
                <w:color w:val="auto"/>
              </w:rPr>
              <w:t>convertible debt standard (Note 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(101,167 )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31,366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(69,801 )</w:t>
            </w:r>
          </w:p>
        </w:tc>
      </w:tr>
      <w:tr>
        <w:trPr>
          <w:trHeight w:val="205"/>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(3,025 )</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(3,025 )</w:t>
            </w:r>
          </w:p>
        </w:tc>
      </w:tr>
      <w:tr>
        <w:trPr>
          <w:trHeight w:val="158"/>
        </w:trPr>
        <w:tc>
          <w:tcPr>
            <w:tcW w:w="3320" w:type="dxa"/>
            <w:vAlign w:val="bottom"/>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320" w:type="dxa"/>
            <w:vAlign w:val="bottom"/>
          </w:tcPr>
          <w:p>
            <w:pPr>
              <w:ind w:left="100"/>
              <w:spacing w:after="0"/>
              <w:rPr>
                <w:sz w:val="20"/>
                <w:szCs w:val="20"/>
                <w:color w:val="auto"/>
              </w:rPr>
            </w:pPr>
            <w:r>
              <w:rPr>
                <w:rFonts w:ascii="Arial" w:cs="Arial" w:eastAsia="Arial" w:hAnsi="Arial"/>
                <w:sz w:val="17"/>
                <w:szCs w:val="17"/>
                <w:color w:val="auto"/>
              </w:rPr>
              <w:t>income taxes of $0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(6,653 )</w:t>
            </w:r>
          </w:p>
        </w:tc>
        <w:tc>
          <w:tcPr>
            <w:tcW w:w="10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(6,653 )</w:t>
            </w:r>
          </w:p>
        </w:tc>
      </w:tr>
      <w:tr>
        <w:trPr>
          <w:trHeight w:val="204"/>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(65,702 )</w:t>
            </w: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(65,702 )</w:t>
            </w:r>
          </w:p>
        </w:tc>
      </w:tr>
      <w:tr>
        <w:trPr>
          <w:trHeight w:val="20"/>
        </w:trPr>
        <w:tc>
          <w:tcPr>
            <w:tcW w:w="3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7"/>
                <w:szCs w:val="17"/>
                <w:color w:val="auto"/>
              </w:rPr>
              <w:t>Balances at June 30, 2022</w:t>
            </w:r>
          </w:p>
        </w:tc>
        <w:tc>
          <w:tcPr>
            <w:tcW w:w="840" w:type="dxa"/>
            <w:vAlign w:val="bottom"/>
          </w:tcPr>
          <w:p>
            <w:pPr>
              <w:jc w:val="right"/>
              <w:spacing w:after="0"/>
              <w:rPr>
                <w:sz w:val="20"/>
                <w:szCs w:val="20"/>
                <w:color w:val="auto"/>
              </w:rPr>
            </w:pPr>
            <w:r>
              <w:rPr>
                <w:rFonts w:ascii="Arial" w:cs="Arial" w:eastAsia="Arial" w:hAnsi="Arial"/>
                <w:sz w:val="17"/>
                <w:szCs w:val="17"/>
                <w:color w:val="auto"/>
              </w:rPr>
              <w:t>47,896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910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1,477,770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(11,017 )</w:t>
            </w:r>
          </w:p>
        </w:tc>
        <w:tc>
          <w:tcPr>
            <w:tcW w:w="100" w:type="dxa"/>
            <w:vAlign w:val="bottom"/>
          </w:tcPr>
          <w:p>
            <w:pPr>
              <w:spacing w:after="0"/>
              <w:rPr>
                <w:sz w:val="17"/>
                <w:szCs w:val="17"/>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7"/>
                <w:szCs w:val="17"/>
                <w:color w:val="auto"/>
              </w:rPr>
              <w:t>(595,334 )</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871,467</w:t>
            </w:r>
          </w:p>
        </w:tc>
        <w:tc>
          <w:tcPr>
            <w:tcW w:w="10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3320" w:type="dxa"/>
            <w:vAlign w:val="bottom"/>
            <w:shd w:val="clear" w:color="auto" w:fill="CFF0FC"/>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4"/>
        </w:trPr>
        <w:tc>
          <w:tcPr>
            <w:tcW w:w="33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plans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w:t>
            </w:r>
          </w:p>
        </w:tc>
        <w:tc>
          <w:tcPr>
            <w:tcW w:w="100" w:type="dxa"/>
            <w:vAlign w:val="bottom"/>
            <w:shd w:val="clear" w:color="auto" w:fill="CFF0FC"/>
          </w:tcPr>
          <w:p>
            <w:pPr>
              <w:spacing w:after="0"/>
              <w:rPr>
                <w:sz w:val="20"/>
                <w:szCs w:val="20"/>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7"/>
                <w:szCs w:val="17"/>
                <w:color w:val="auto"/>
              </w:rPr>
              <w:t>Restricted stock units taxes paid in cash</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(2,191 )</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(2,191 )</w:t>
            </w:r>
          </w:p>
        </w:tc>
      </w:tr>
      <w:tr>
        <w:trPr>
          <w:trHeight w:val="203"/>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74,527</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7"/>
                <w:szCs w:val="17"/>
                <w:color w:val="auto"/>
              </w:rPr>
              <w:t>Settlement of Warrants</w:t>
            </w:r>
          </w:p>
        </w:tc>
        <w:tc>
          <w:tcPr>
            <w:tcW w:w="840" w:type="dxa"/>
            <w:vAlign w:val="bottom"/>
          </w:tcPr>
          <w:p>
            <w:pPr>
              <w:jc w:val="right"/>
              <w:spacing w:after="0"/>
              <w:rPr>
                <w:sz w:val="20"/>
                <w:szCs w:val="20"/>
                <w:color w:val="auto"/>
              </w:rPr>
            </w:pPr>
            <w:r>
              <w:rPr>
                <w:rFonts w:ascii="Arial" w:cs="Arial" w:eastAsia="Arial" w:hAnsi="Arial"/>
                <w:sz w:val="17"/>
                <w:szCs w:val="17"/>
                <w:color w:val="auto"/>
              </w:rPr>
              <w:t>166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(2,793 )</w:t>
            </w:r>
          </w:p>
        </w:tc>
        <w:tc>
          <w:tcPr>
            <w:tcW w:w="1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(2,793 )</w:t>
            </w:r>
          </w:p>
        </w:tc>
      </w:tr>
      <w:tr>
        <w:trPr>
          <w:trHeight w:val="158"/>
        </w:trPr>
        <w:tc>
          <w:tcPr>
            <w:tcW w:w="3320" w:type="dxa"/>
            <w:vAlign w:val="bottom"/>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320" w:type="dxa"/>
            <w:vAlign w:val="bottom"/>
          </w:tcPr>
          <w:p>
            <w:pPr>
              <w:ind w:left="100"/>
              <w:spacing w:after="0"/>
              <w:rPr>
                <w:sz w:val="20"/>
                <w:szCs w:val="20"/>
                <w:color w:val="auto"/>
              </w:rPr>
            </w:pPr>
            <w:r>
              <w:rPr>
                <w:rFonts w:ascii="Arial" w:cs="Arial" w:eastAsia="Arial" w:hAnsi="Arial"/>
                <w:sz w:val="17"/>
                <w:szCs w:val="17"/>
                <w:color w:val="auto"/>
              </w:rPr>
              <w:t>income taxes of $0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(3,701 )</w:t>
            </w:r>
          </w:p>
        </w:tc>
        <w:tc>
          <w:tcPr>
            <w:tcW w:w="10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(3,701 )</w:t>
            </w:r>
          </w:p>
        </w:tc>
      </w:tr>
      <w:tr>
        <w:trPr>
          <w:trHeight w:val="204"/>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(31,411 )</w:t>
            </w: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(31,411 )</w:t>
            </w:r>
          </w:p>
        </w:tc>
      </w:tr>
      <w:tr>
        <w:trPr>
          <w:trHeight w:val="20"/>
        </w:trPr>
        <w:tc>
          <w:tcPr>
            <w:tcW w:w="3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7"/>
                <w:szCs w:val="17"/>
                <w:color w:val="auto"/>
              </w:rPr>
              <w:t>Balances at September 30, 2022</w:t>
            </w:r>
          </w:p>
        </w:tc>
        <w:tc>
          <w:tcPr>
            <w:tcW w:w="840" w:type="dxa"/>
            <w:vAlign w:val="bottom"/>
          </w:tcPr>
          <w:p>
            <w:pPr>
              <w:jc w:val="right"/>
              <w:spacing w:after="0"/>
              <w:rPr>
                <w:sz w:val="20"/>
                <w:szCs w:val="20"/>
                <w:color w:val="auto"/>
              </w:rPr>
            </w:pPr>
            <w:r>
              <w:rPr>
                <w:rFonts w:ascii="Arial" w:cs="Arial" w:eastAsia="Arial" w:hAnsi="Arial"/>
                <w:sz w:val="17"/>
                <w:szCs w:val="17"/>
                <w:color w:val="auto"/>
              </w:rPr>
              <w:t>48,255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910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1,550,905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(17,511 )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color w:val="auto"/>
              </w:rPr>
              <w:t>(626,745 )  $</w:t>
            </w:r>
          </w:p>
        </w:tc>
        <w:tc>
          <w:tcPr>
            <w:tcW w:w="780" w:type="dxa"/>
            <w:vAlign w:val="bottom"/>
          </w:tcPr>
          <w:p>
            <w:pPr>
              <w:jc w:val="right"/>
              <w:spacing w:after="0"/>
              <w:rPr>
                <w:sz w:val="20"/>
                <w:szCs w:val="20"/>
                <w:color w:val="auto"/>
              </w:rPr>
            </w:pPr>
            <w:r>
              <w:rPr>
                <w:rFonts w:ascii="Arial" w:cs="Arial" w:eastAsia="Arial" w:hAnsi="Arial"/>
                <w:sz w:val="17"/>
                <w:szCs w:val="17"/>
                <w:color w:val="auto"/>
              </w:rPr>
              <w:t>906,697</w:t>
            </w:r>
          </w:p>
        </w:tc>
        <w:tc>
          <w:tcPr>
            <w:tcW w:w="10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-1464945</wp:posOffset>
            </wp:positionV>
            <wp:extent cx="7747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-1464945</wp:posOffset>
            </wp:positionV>
            <wp:extent cx="7747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-1464945</wp:posOffset>
            </wp:positionV>
            <wp:extent cx="7747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-1464945</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-1464945</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-1464945</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-1464945</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-162560</wp:posOffset>
            </wp:positionV>
            <wp:extent cx="7747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-162560</wp:posOffset>
            </wp:positionV>
            <wp:extent cx="7747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7747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-162560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-162560</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960" w:type="dxa"/>
            <w:vAlign w:val="bottom"/>
            <w:gridSpan w:val="2"/>
          </w:tcPr>
          <w:p>
            <w:pPr>
              <w:jc w:val="center"/>
              <w:ind w:left="379"/>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1120" w:type="dxa"/>
            <w:vAlign w:val="bottom"/>
            <w:gridSpan w:val="3"/>
          </w:tcPr>
          <w:p>
            <w:pPr>
              <w:jc w:val="center"/>
              <w:ind w:left="239"/>
              <w:spacing w:after="0" w:line="135" w:lineRule="exact"/>
              <w:rPr>
                <w:sz w:val="20"/>
                <w:szCs w:val="20"/>
                <w:color w:val="auto"/>
              </w:rPr>
            </w:pPr>
            <w:r>
              <w:rPr>
                <w:rFonts w:ascii="Arial" w:cs="Arial" w:eastAsia="Arial" w:hAnsi="Arial"/>
                <w:sz w:val="13"/>
                <w:szCs w:val="13"/>
                <w:b w:val="1"/>
                <w:bCs w:val="1"/>
                <w:color w:val="auto"/>
                <w:w w:val="87"/>
              </w:rPr>
              <w:t>Stock, $0.001</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w w:val="92"/>
              </w:rPr>
              <w:t>Treasury Stock, $0.001</w:t>
            </w:r>
          </w:p>
        </w:tc>
        <w:tc>
          <w:tcPr>
            <w:tcW w:w="180" w:type="dxa"/>
            <w:vAlign w:val="bottom"/>
          </w:tcPr>
          <w:p>
            <w:pPr>
              <w:spacing w:after="0"/>
              <w:rPr>
                <w:sz w:val="11"/>
                <w:szCs w:val="11"/>
                <w:color w:val="auto"/>
              </w:rPr>
            </w:pPr>
          </w:p>
        </w:tc>
        <w:tc>
          <w:tcPr>
            <w:tcW w:w="11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322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3"/>
                <w:szCs w:val="13"/>
                <w:b w:val="1"/>
                <w:bCs w:val="1"/>
                <w:color w:val="auto"/>
                <w:w w:val="87"/>
              </w:rPr>
              <w:t>Par Value</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3"/>
                <w:szCs w:val="13"/>
                <w:b w:val="1"/>
                <w:bCs w:val="1"/>
                <w:color w:val="auto"/>
              </w:rPr>
              <w:t>Par Value</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060" w:type="dxa"/>
            <w:vAlign w:val="bottom"/>
            <w:gridSpan w:val="3"/>
          </w:tcPr>
          <w:p>
            <w:pPr>
              <w:jc w:val="right"/>
              <w:ind w:right="195"/>
              <w:spacing w:after="0"/>
              <w:rPr>
                <w:sz w:val="20"/>
                <w:szCs w:val="20"/>
                <w:color w:val="auto"/>
              </w:rPr>
            </w:pPr>
            <w:r>
              <w:rPr>
                <w:rFonts w:ascii="Arial" w:cs="Arial" w:eastAsia="Arial" w:hAnsi="Arial"/>
                <w:sz w:val="13"/>
                <w:szCs w:val="13"/>
                <w:b w:val="1"/>
                <w:bCs w:val="1"/>
                <w:color w:val="auto"/>
                <w:w w:val="93"/>
              </w:rPr>
              <w:t>Accumulated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322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32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580"/>
              <w:spacing w:after="0" w:line="144"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3"/>
                <w:szCs w:val="13"/>
                <w:color w:val="auto"/>
              </w:rPr>
            </w:pPr>
          </w:p>
        </w:tc>
        <w:tc>
          <w:tcPr>
            <w:tcW w:w="900" w:type="dxa"/>
            <w:vAlign w:val="bottom"/>
            <w:gridSpan w:val="2"/>
          </w:tcPr>
          <w:p>
            <w:pPr>
              <w:jc w:val="right"/>
              <w:ind w:right="375"/>
              <w:spacing w:after="0" w:line="144"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80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Total</w:t>
            </w:r>
          </w:p>
        </w:tc>
      </w:tr>
      <w:tr>
        <w:trPr>
          <w:trHeight w:val="196"/>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December 31, 2020</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46,115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1,241,167</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4,603</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(483,161</w:t>
            </w:r>
          </w:p>
        </w:tc>
        <w:tc>
          <w:tcPr>
            <w:tcW w:w="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762,655</w:t>
            </w:r>
          </w:p>
        </w:tc>
        <w:tc>
          <w:tcPr>
            <w:tcW w:w="100" w:type="dxa"/>
            <w:vAlign w:val="bottom"/>
            <w:shd w:val="clear" w:color="auto" w:fill="CFF0FC"/>
          </w:tcPr>
          <w:p>
            <w:pPr>
              <w:spacing w:after="0"/>
              <w:rPr>
                <w:sz w:val="17"/>
                <w:szCs w:val="17"/>
                <w:color w:val="auto"/>
              </w:rPr>
            </w:pPr>
          </w:p>
        </w:tc>
      </w:tr>
      <w:tr>
        <w:trPr>
          <w:trHeight w:val="158"/>
        </w:trPr>
        <w:tc>
          <w:tcPr>
            <w:tcW w:w="322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under stock</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322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3220" w:type="dxa"/>
            <w:vAlign w:val="bottom"/>
          </w:tcPr>
          <w:p>
            <w:pPr>
              <w:ind w:left="100"/>
              <w:spacing w:after="0"/>
              <w:rPr>
                <w:sz w:val="20"/>
                <w:szCs w:val="20"/>
                <w:color w:val="auto"/>
              </w:rPr>
            </w:pPr>
            <w:r>
              <w:rPr>
                <w:rFonts w:ascii="Arial" w:cs="Arial" w:eastAsia="Arial" w:hAnsi="Arial"/>
                <w:sz w:val="17"/>
                <w:szCs w:val="17"/>
                <w:color w:val="auto"/>
              </w:rPr>
              <w:t>for employee taxes</w:t>
            </w:r>
          </w:p>
        </w:tc>
        <w:tc>
          <w:tcPr>
            <w:tcW w:w="720" w:type="dxa"/>
            <w:vAlign w:val="bottom"/>
          </w:tcPr>
          <w:p>
            <w:pPr>
              <w:jc w:val="right"/>
              <w:spacing w:after="0"/>
              <w:rPr>
                <w:sz w:val="20"/>
                <w:szCs w:val="20"/>
                <w:color w:val="auto"/>
              </w:rPr>
            </w:pPr>
            <w:r>
              <w:rPr>
                <w:rFonts w:ascii="Arial" w:cs="Arial" w:eastAsia="Arial" w:hAnsi="Arial"/>
                <w:sz w:val="17"/>
                <w:szCs w:val="17"/>
                <w:color w:val="auto"/>
              </w:rPr>
              <w:t>746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17,260</w:t>
            </w:r>
          </w:p>
        </w:tc>
        <w:tc>
          <w:tcPr>
            <w:tcW w:w="100" w:type="dxa"/>
            <w:vAlign w:val="bottom"/>
          </w:tcPr>
          <w:p>
            <w:pPr>
              <w:spacing w:after="0"/>
              <w:rPr>
                <w:sz w:val="20"/>
                <w:szCs w:val="20"/>
                <w:color w:val="auto"/>
              </w:rPr>
            </w:pPr>
          </w:p>
        </w:tc>
      </w:tr>
      <w:tr>
        <w:trPr>
          <w:trHeight w:val="204"/>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77,606</w:t>
            </w:r>
          </w:p>
        </w:tc>
        <w:tc>
          <w:tcPr>
            <w:tcW w:w="100" w:type="dxa"/>
            <w:vAlign w:val="bottom"/>
            <w:shd w:val="clear" w:color="auto" w:fill="CFF0FC"/>
          </w:tcPr>
          <w:p>
            <w:pPr>
              <w:spacing w:after="0"/>
              <w:rPr>
                <w:sz w:val="17"/>
                <w:szCs w:val="17"/>
                <w:color w:val="auto"/>
              </w:rPr>
            </w:pPr>
          </w:p>
        </w:tc>
      </w:tr>
      <w:tr>
        <w:trPr>
          <w:trHeight w:val="158"/>
        </w:trPr>
        <w:tc>
          <w:tcPr>
            <w:tcW w:w="322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 2022</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220" w:type="dxa"/>
            <w:vAlign w:val="bottom"/>
          </w:tcPr>
          <w:p>
            <w:pPr>
              <w:ind w:left="100"/>
              <w:spacing w:after="0"/>
              <w:rPr>
                <w:sz w:val="20"/>
                <w:szCs w:val="20"/>
                <w:color w:val="auto"/>
              </w:rPr>
            </w:pPr>
            <w:r>
              <w:rPr>
                <w:rFonts w:ascii="Arial" w:cs="Arial" w:eastAsia="Arial" w:hAnsi="Arial"/>
                <w:sz w:val="17"/>
                <w:szCs w:val="17"/>
                <w:color w:val="auto"/>
              </w:rPr>
              <w:t>Notes conversions</w:t>
            </w:r>
          </w:p>
        </w:tc>
        <w:tc>
          <w:tcPr>
            <w:tcW w:w="720" w:type="dxa"/>
            <w:vAlign w:val="bottom"/>
          </w:tcPr>
          <w:p>
            <w:pPr>
              <w:jc w:val="right"/>
              <w:spacing w:after="0"/>
              <w:rPr>
                <w:sz w:val="20"/>
                <w:szCs w:val="20"/>
                <w:color w:val="auto"/>
              </w:rPr>
            </w:pPr>
            <w:r>
              <w:rPr>
                <w:rFonts w:ascii="Arial" w:cs="Arial" w:eastAsia="Arial" w:hAnsi="Arial"/>
                <w:sz w:val="17"/>
                <w:szCs w:val="17"/>
                <w:color w:val="auto"/>
              </w:rPr>
              <w:t>471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(2,455 )</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(2,455 )</w:t>
            </w:r>
          </w:p>
        </w:tc>
      </w:tr>
      <w:tr>
        <w:trPr>
          <w:trHeight w:val="205"/>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(473 )</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(1,955 )</w:t>
            </w:r>
          </w:p>
        </w:tc>
        <w:tc>
          <w:tcPr>
            <w:tcW w:w="160" w:type="dxa"/>
            <w:vAlign w:val="bottom"/>
          </w:tcPr>
          <w:p>
            <w:pPr>
              <w:spacing w:after="0"/>
              <w:rPr>
                <w:sz w:val="17"/>
                <w:szCs w:val="17"/>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(1,955 )</w:t>
            </w:r>
          </w:p>
        </w:tc>
      </w:tr>
      <w:tr>
        <w:trPr>
          <w:trHeight w:val="158"/>
        </w:trPr>
        <w:tc>
          <w:tcPr>
            <w:tcW w:w="322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gain on investments, net of</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4"/>
        </w:trPr>
        <w:tc>
          <w:tcPr>
            <w:tcW w:w="32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($43)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(420 )</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(420 )</w:t>
            </w:r>
          </w:p>
        </w:tc>
      </w:tr>
      <w:tr>
        <w:trPr>
          <w:trHeight w:val="203"/>
        </w:trPr>
        <w:tc>
          <w:tcPr>
            <w:tcW w:w="3220" w:type="dxa"/>
            <w:vAlign w:val="bottom"/>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5"/>
              <w:spacing w:after="0"/>
              <w:rPr>
                <w:sz w:val="20"/>
                <w:szCs w:val="20"/>
                <w:color w:val="auto"/>
              </w:rPr>
            </w:pPr>
            <w:r>
              <w:rPr>
                <w:rFonts w:ascii="Arial" w:cs="Arial" w:eastAsia="Arial" w:hAnsi="Arial"/>
                <w:sz w:val="17"/>
                <w:szCs w:val="17"/>
                <w:color w:val="auto"/>
              </w:rPr>
              <w:t>(47,731 )</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(47,731 )</w:t>
            </w:r>
          </w:p>
        </w:tc>
      </w:tr>
      <w:tr>
        <w:trPr>
          <w:trHeight w:val="236"/>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June 30, 2021</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46,859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1,334,301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(530,892</w:t>
            </w:r>
          </w:p>
        </w:tc>
        <w:tc>
          <w:tcPr>
            <w:tcW w:w="22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805,684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38"/>
        </w:trPr>
        <w:tc>
          <w:tcPr>
            <w:tcW w:w="3220" w:type="dxa"/>
            <w:vAlign w:val="bottom"/>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22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3220" w:type="dxa"/>
            <w:vAlign w:val="bottom"/>
          </w:tcPr>
          <w:p>
            <w:pPr>
              <w:ind w:left="100"/>
              <w:spacing w:after="0"/>
              <w:rPr>
                <w:sz w:val="20"/>
                <w:szCs w:val="20"/>
                <w:color w:val="auto"/>
              </w:rPr>
            </w:pPr>
            <w:r>
              <w:rPr>
                <w:rFonts w:ascii="Arial" w:cs="Arial" w:eastAsia="Arial" w:hAnsi="Arial"/>
                <w:sz w:val="17"/>
                <w:szCs w:val="17"/>
                <w:color w:val="auto"/>
              </w:rPr>
              <w:t>for employee taxes</w:t>
            </w:r>
          </w:p>
        </w:tc>
        <w:tc>
          <w:tcPr>
            <w:tcW w:w="720" w:type="dxa"/>
            <w:vAlign w:val="bottom"/>
          </w:tcPr>
          <w:p>
            <w:pPr>
              <w:jc w:val="right"/>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Pr>
          <w:p>
            <w:pPr>
              <w:spacing w:after="0"/>
              <w:rPr>
                <w:sz w:val="20"/>
                <w:szCs w:val="20"/>
                <w:color w:val="auto"/>
              </w:rPr>
            </w:pPr>
          </w:p>
        </w:tc>
      </w:tr>
      <w:tr>
        <w:trPr>
          <w:trHeight w:val="205"/>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units taxes paid in cash</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(4,814 )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(4,814 )</w:t>
            </w:r>
          </w:p>
        </w:tc>
      </w:tr>
      <w:tr>
        <w:trPr>
          <w:trHeight w:val="158"/>
        </w:trPr>
        <w:tc>
          <w:tcPr>
            <w:tcW w:w="322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 2022</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220" w:type="dxa"/>
            <w:vAlign w:val="bottom"/>
          </w:tcPr>
          <w:p>
            <w:pPr>
              <w:ind w:left="100"/>
              <w:spacing w:after="0"/>
              <w:rPr>
                <w:sz w:val="20"/>
                <w:szCs w:val="20"/>
                <w:color w:val="auto"/>
              </w:rPr>
            </w:pPr>
            <w:r>
              <w:rPr>
                <w:rFonts w:ascii="Arial" w:cs="Arial" w:eastAsia="Arial" w:hAnsi="Arial"/>
                <w:sz w:val="17"/>
                <w:szCs w:val="17"/>
                <w:color w:val="auto"/>
              </w:rPr>
              <w:t>Notes conversions</w:t>
            </w:r>
          </w:p>
        </w:tc>
        <w:tc>
          <w:tcPr>
            <w:tcW w:w="720" w:type="dxa"/>
            <w:vAlign w:val="bottom"/>
          </w:tcPr>
          <w:p>
            <w:pPr>
              <w:jc w:val="right"/>
              <w:spacing w:after="0"/>
              <w:rPr>
                <w:sz w:val="20"/>
                <w:szCs w:val="20"/>
                <w:color w:val="auto"/>
              </w:rPr>
            </w:pPr>
            <w:r>
              <w:rPr>
                <w:rFonts w:ascii="Arial" w:cs="Arial" w:eastAsia="Arial" w:hAnsi="Arial"/>
                <w:sz w:val="17"/>
                <w:szCs w:val="17"/>
                <w:color w:val="auto"/>
              </w:rPr>
              <w:t>412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(552 )</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(551 )</w:t>
            </w:r>
          </w:p>
        </w:tc>
      </w:tr>
      <w:tr>
        <w:trPr>
          <w:trHeight w:val="204"/>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(410 )</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(1 )</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45,811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45,811</w:t>
            </w:r>
          </w:p>
        </w:tc>
        <w:tc>
          <w:tcPr>
            <w:tcW w:w="10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(1,600 )</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(1,600 )</w:t>
            </w:r>
          </w:p>
        </w:tc>
      </w:tr>
      <w:tr>
        <w:trPr>
          <w:trHeight w:val="158"/>
        </w:trPr>
        <w:tc>
          <w:tcPr>
            <w:tcW w:w="3220" w:type="dxa"/>
            <w:vAlign w:val="bottom"/>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3220" w:type="dxa"/>
            <w:vAlign w:val="bottom"/>
          </w:tcPr>
          <w:p>
            <w:pPr>
              <w:ind w:left="100"/>
              <w:spacing w:after="0"/>
              <w:rPr>
                <w:sz w:val="20"/>
                <w:szCs w:val="20"/>
                <w:color w:val="auto"/>
              </w:rPr>
            </w:pPr>
            <w:r>
              <w:rPr>
                <w:rFonts w:ascii="Arial" w:cs="Arial" w:eastAsia="Arial" w:hAnsi="Arial"/>
                <w:sz w:val="17"/>
                <w:szCs w:val="17"/>
                <w:color w:val="auto"/>
              </w:rPr>
              <w:t>income taxes of ($1)</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(37 )</w:t>
            </w:r>
          </w:p>
        </w:tc>
        <w:tc>
          <w:tcPr>
            <w:tcW w:w="160" w:type="dxa"/>
            <w:vAlign w:val="bottom"/>
          </w:tcPr>
          <w:p>
            <w:pPr>
              <w:spacing w:after="0"/>
              <w:rPr>
                <w:sz w:val="20"/>
                <w:szCs w:val="20"/>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(37 )</w:t>
            </w:r>
          </w:p>
        </w:tc>
      </w:tr>
      <w:tr>
        <w:trPr>
          <w:trHeight w:val="204"/>
        </w:trPr>
        <w:tc>
          <w:tcPr>
            <w:tcW w:w="3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(13,735 )</w:t>
            </w:r>
          </w:p>
        </w:tc>
        <w:tc>
          <w:tcPr>
            <w:tcW w:w="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(13,735 )</w:t>
            </w:r>
          </w:p>
        </w:tc>
      </w:tr>
      <w:tr>
        <w:trPr>
          <w:trHeight w:val="20"/>
        </w:trPr>
        <w:tc>
          <w:tcPr>
            <w:tcW w:w="3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7"/>
                <w:szCs w:val="17"/>
                <w:color w:val="auto"/>
              </w:rPr>
              <w:t>Balances at September 30, 2021</w:t>
            </w:r>
          </w:p>
        </w:tc>
        <w:tc>
          <w:tcPr>
            <w:tcW w:w="720" w:type="dxa"/>
            <w:vAlign w:val="bottom"/>
          </w:tcPr>
          <w:p>
            <w:pPr>
              <w:jc w:val="right"/>
              <w:spacing w:after="0"/>
              <w:rPr>
                <w:sz w:val="20"/>
                <w:szCs w:val="20"/>
                <w:color w:val="auto"/>
              </w:rPr>
            </w:pPr>
            <w:r>
              <w:rPr>
                <w:rFonts w:ascii="Arial" w:cs="Arial" w:eastAsia="Arial" w:hAnsi="Arial"/>
                <w:sz w:val="17"/>
                <w:szCs w:val="17"/>
                <w:color w:val="auto"/>
              </w:rPr>
              <w:t>47,106</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895</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(1 ) $</w:t>
            </w:r>
          </w:p>
        </w:tc>
        <w:tc>
          <w:tcPr>
            <w:tcW w:w="920" w:type="dxa"/>
            <w:vAlign w:val="bottom"/>
          </w:tcPr>
          <w:p>
            <w:pPr>
              <w:jc w:val="right"/>
              <w:spacing w:after="0"/>
              <w:rPr>
                <w:sz w:val="20"/>
                <w:szCs w:val="20"/>
                <w:color w:val="auto"/>
              </w:rPr>
            </w:pPr>
            <w:r>
              <w:rPr>
                <w:rFonts w:ascii="Arial" w:cs="Arial" w:eastAsia="Arial" w:hAnsi="Arial"/>
                <w:sz w:val="17"/>
                <w:szCs w:val="17"/>
                <w:color w:val="auto"/>
              </w:rPr>
              <w:t>1,375,982</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591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55"/>
              <w:spacing w:after="0"/>
              <w:rPr>
                <w:sz w:val="20"/>
                <w:szCs w:val="20"/>
                <w:color w:val="auto"/>
              </w:rPr>
            </w:pPr>
            <w:r>
              <w:rPr>
                <w:rFonts w:ascii="Arial" w:cs="Arial" w:eastAsia="Arial" w:hAnsi="Arial"/>
                <w:sz w:val="17"/>
                <w:szCs w:val="17"/>
                <w:color w:val="auto"/>
                <w:w w:val="95"/>
              </w:rPr>
              <w:t>(544,627 )</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831,993</w:t>
            </w:r>
          </w:p>
        </w:tc>
        <w:tc>
          <w:tcPr>
            <w:tcW w:w="100" w:type="dxa"/>
            <w:vAlign w:val="bottom"/>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-1687830</wp:posOffset>
            </wp:positionV>
            <wp:extent cx="4637405" cy="386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37405" cy="3860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-162560</wp:posOffset>
            </wp:positionV>
            <wp:extent cx="768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-162560</wp:posOffset>
            </wp:positionV>
            <wp:extent cx="768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-162560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-162560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-162560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-162560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69"/>
        </w:trPr>
        <w:tc>
          <w:tcPr>
            <w:tcW w:w="80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0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(97,113 )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(61,466 )</w:t>
            </w:r>
          </w:p>
        </w:tc>
      </w:tr>
      <w:tr>
        <w:trPr>
          <w:trHeight w:val="143"/>
        </w:trPr>
        <w:tc>
          <w:tcPr>
            <w:tcW w:w="80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Adjustments to reconcile net loss to net cash and cash equivalents provided</w:t>
            </w: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80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by operating activities, net of acquisitions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0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42,625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33,188</w:t>
            </w:r>
          </w:p>
        </w:tc>
        <w:tc>
          <w:tcPr>
            <w:tcW w:w="100" w:type="dxa"/>
            <w:vAlign w:val="bottom"/>
          </w:tcPr>
          <w:p>
            <w:pPr>
              <w:spacing w:after="0"/>
              <w:rPr>
                <w:sz w:val="15"/>
                <w:szCs w:val="15"/>
                <w:color w:val="auto"/>
              </w:rPr>
            </w:pPr>
          </w:p>
        </w:tc>
      </w:tr>
      <w:tr>
        <w:trPr>
          <w:trHeight w:val="176"/>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199,081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120,847</w:t>
            </w:r>
          </w:p>
        </w:tc>
        <w:tc>
          <w:tcPr>
            <w:tcW w:w="100" w:type="dxa"/>
            <w:vAlign w:val="bottom"/>
            <w:shd w:val="clear" w:color="auto" w:fill="CFF0FC"/>
          </w:tcPr>
          <w:p>
            <w:pPr>
              <w:spacing w:after="0"/>
              <w:rPr>
                <w:sz w:val="15"/>
                <w:szCs w:val="15"/>
                <w:color w:val="auto"/>
              </w:rPr>
            </w:pPr>
          </w:p>
        </w:tc>
      </w:tr>
      <w:tr>
        <w:trPr>
          <w:trHeight w:val="176"/>
        </w:trPr>
        <w:tc>
          <w:tcPr>
            <w:tcW w:w="8020" w:type="dxa"/>
            <w:vAlign w:val="bottom"/>
          </w:tcPr>
          <w:p>
            <w:pPr>
              <w:ind w:left="380"/>
              <w:spacing w:after="0"/>
              <w:rPr>
                <w:sz w:val="20"/>
                <w:szCs w:val="20"/>
                <w:color w:val="auto"/>
              </w:rPr>
            </w:pPr>
            <w:r>
              <w:rPr>
                <w:rFonts w:ascii="Arial" w:cs="Arial" w:eastAsia="Arial" w:hAnsi="Arial"/>
                <w:sz w:val="14"/>
                <w:szCs w:val="14"/>
                <w:color w:val="auto"/>
              </w:rPr>
              <w:t>Loss on early extinguishment of 2022 Convertible Notes</w:t>
            </w:r>
          </w:p>
        </w:tc>
        <w:tc>
          <w:tcPr>
            <w:tcW w:w="160" w:type="dxa"/>
            <w:vAlign w:val="bottom"/>
          </w:tcPr>
          <w:p>
            <w:pPr>
              <w:spacing w:after="0"/>
              <w:rPr>
                <w:sz w:val="15"/>
                <w:szCs w:val="15"/>
                <w:color w:val="auto"/>
              </w:rPr>
            </w:pPr>
          </w:p>
        </w:tc>
        <w:tc>
          <w:tcPr>
            <w:tcW w:w="15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 of 2022 Convertible Notes attributable to the debt discount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(24,457 )</w:t>
            </w:r>
          </w:p>
        </w:tc>
      </w:tr>
      <w:tr>
        <w:trPr>
          <w:trHeight w:val="176"/>
        </w:trPr>
        <w:tc>
          <w:tcPr>
            <w:tcW w:w="8020" w:type="dxa"/>
            <w:vAlign w:val="bottom"/>
          </w:tcPr>
          <w:p>
            <w:pPr>
              <w:ind w:left="380"/>
              <w:spacing w:after="0"/>
              <w:rPr>
                <w:sz w:val="20"/>
                <w:szCs w:val="20"/>
                <w:color w:val="auto"/>
              </w:rPr>
            </w:pPr>
            <w:r>
              <w:rPr>
                <w:rFonts w:ascii="Arial" w:cs="Arial" w:eastAsia="Arial" w:hAnsi="Arial"/>
                <w:sz w:val="14"/>
                <w:szCs w:val="14"/>
                <w:color w:val="auto"/>
              </w:rPr>
              <w:t>Gain on strategic investments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(4,200 )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(11,739 )</w:t>
            </w:r>
          </w:p>
        </w:tc>
      </w:tr>
      <w:tr>
        <w:trPr>
          <w:trHeight w:val="175"/>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termination of operating leases</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(4,276 )</w:t>
            </w:r>
          </w:p>
        </w:tc>
      </w:tr>
      <w:tr>
        <w:trPr>
          <w:trHeight w:val="176"/>
        </w:trPr>
        <w:tc>
          <w:tcPr>
            <w:tcW w:w="8020" w:type="dxa"/>
            <w:vAlign w:val="bottom"/>
          </w:tcPr>
          <w:p>
            <w:pPr>
              <w:ind w:left="380"/>
              <w:spacing w:after="0"/>
              <w:rPr>
                <w:sz w:val="20"/>
                <w:szCs w:val="20"/>
                <w:color w:val="auto"/>
              </w:rPr>
            </w:pPr>
            <w:r>
              <w:rPr>
                <w:rFonts w:ascii="Arial" w:cs="Arial" w:eastAsia="Arial" w:hAnsi="Arial"/>
                <w:sz w:val="14"/>
                <w:szCs w:val="14"/>
                <w:color w:val="auto"/>
              </w:rPr>
              <w:t>Loss on disposal of fixed assets</w:t>
            </w:r>
          </w:p>
        </w:tc>
        <w:tc>
          <w:tcPr>
            <w:tcW w:w="160" w:type="dxa"/>
            <w:vAlign w:val="bottom"/>
          </w:tcPr>
          <w:p>
            <w:pPr>
              <w:spacing w:after="0"/>
              <w:rPr>
                <w:sz w:val="15"/>
                <w:szCs w:val="15"/>
                <w:color w:val="auto"/>
              </w:rPr>
            </w:pPr>
          </w:p>
        </w:tc>
        <w:tc>
          <w:tcPr>
            <w:tcW w:w="15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6,468</w:t>
            </w: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from deferred income taxes</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(589 )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(1,321 )</w:t>
            </w:r>
          </w:p>
        </w:tc>
      </w:tr>
      <w:tr>
        <w:trPr>
          <w:trHeight w:val="176"/>
        </w:trPr>
        <w:tc>
          <w:tcPr>
            <w:tcW w:w="8020" w:type="dxa"/>
            <w:vAlign w:val="bottom"/>
          </w:tcPr>
          <w:p>
            <w:pPr>
              <w:ind w:left="380"/>
              <w:spacing w:after="0"/>
              <w:rPr>
                <w:sz w:val="20"/>
                <w:szCs w:val="20"/>
                <w:color w:val="auto"/>
              </w:rPr>
            </w:pPr>
            <w:r>
              <w:rPr>
                <w:rFonts w:ascii="Arial" w:cs="Arial" w:eastAsia="Arial" w:hAnsi="Arial"/>
                <w:sz w:val="14"/>
                <w:szCs w:val="14"/>
                <w:color w:val="auto"/>
              </w:rPr>
              <w:t>Amortization of debt discount and issuance costs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1,509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18,115</w:t>
            </w:r>
          </w:p>
        </w:tc>
        <w:tc>
          <w:tcPr>
            <w:tcW w:w="100" w:type="dxa"/>
            <w:vAlign w:val="bottom"/>
          </w:tcPr>
          <w:p>
            <w:pPr>
              <w:spacing w:after="0"/>
              <w:rPr>
                <w:sz w:val="15"/>
                <w:szCs w:val="15"/>
                <w:color w:val="auto"/>
              </w:rPr>
            </w:pPr>
          </w:p>
        </w:tc>
      </w:tr>
      <w:tr>
        <w:trPr>
          <w:trHeight w:val="176"/>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amortization of bond discount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(3,267 )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FF0FC"/>
          </w:tcPr>
          <w:p>
            <w:pPr>
              <w:spacing w:after="0"/>
              <w:rPr>
                <w:sz w:val="15"/>
                <w:szCs w:val="15"/>
                <w:color w:val="auto"/>
              </w:rPr>
            </w:pPr>
          </w:p>
        </w:tc>
      </w:tr>
      <w:tr>
        <w:trPr>
          <w:trHeight w:val="175"/>
        </w:trPr>
        <w:tc>
          <w:tcPr>
            <w:tcW w:w="8020" w:type="dxa"/>
            <w:vAlign w:val="bottom"/>
          </w:tcPr>
          <w:p>
            <w:pPr>
              <w:ind w:left="380"/>
              <w:spacing w:after="0"/>
              <w:rPr>
                <w:sz w:val="20"/>
                <w:szCs w:val="20"/>
                <w:color w:val="auto"/>
              </w:rPr>
            </w:pPr>
            <w:r>
              <w:rPr>
                <w:rFonts w:ascii="Arial" w:cs="Arial" w:eastAsia="Arial" w:hAnsi="Arial"/>
                <w:sz w:val="14"/>
                <w:szCs w:val="14"/>
                <w:color w:val="auto"/>
              </w:rPr>
              <w:t>Unrealized currency translation</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5"/>
                <w:szCs w:val="15"/>
                <w:color w:val="auto"/>
              </w:rPr>
            </w:pPr>
          </w:p>
        </w:tc>
      </w:tr>
      <w:tr>
        <w:trPr>
          <w:trHeight w:val="176"/>
        </w:trPr>
        <w:tc>
          <w:tcPr>
            <w:tcW w:w="80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02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(20,135 )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(2,249 )</w:t>
            </w:r>
          </w:p>
        </w:tc>
      </w:tr>
      <w:tr>
        <w:trPr>
          <w:trHeight w:val="176"/>
        </w:trPr>
        <w:tc>
          <w:tcPr>
            <w:tcW w:w="8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(8,863 )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(7,149 )</w:t>
            </w:r>
          </w:p>
        </w:tc>
      </w:tr>
      <w:tr>
        <w:trPr>
          <w:trHeight w:val="176"/>
        </w:trPr>
        <w:tc>
          <w:tcPr>
            <w:tcW w:w="8020" w:type="dxa"/>
            <w:vAlign w:val="bottom"/>
          </w:tcPr>
          <w:p>
            <w:pPr>
              <w:ind w:left="560"/>
              <w:spacing w:after="0"/>
              <w:rPr>
                <w:sz w:val="20"/>
                <w:szCs w:val="20"/>
                <w:color w:val="auto"/>
              </w:rPr>
            </w:pPr>
            <w:r>
              <w:rPr>
                <w:rFonts w:ascii="Arial" w:cs="Arial" w:eastAsia="Arial" w:hAnsi="Arial"/>
                <w:sz w:val="14"/>
                <w:szCs w:val="14"/>
                <w:color w:val="auto"/>
              </w:rPr>
              <w:t>Deferred commission expense</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(22,210 )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(24,371 )</w:t>
            </w:r>
          </w:p>
        </w:tc>
      </w:tr>
      <w:tr>
        <w:trPr>
          <w:trHeight w:val="175"/>
        </w:trPr>
        <w:tc>
          <w:tcPr>
            <w:tcW w:w="8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Right-of-use assets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26,948</w:t>
            </w:r>
          </w:p>
        </w:tc>
        <w:tc>
          <w:tcPr>
            <w:tcW w:w="100" w:type="dxa"/>
            <w:vAlign w:val="bottom"/>
            <w:shd w:val="clear" w:color="auto" w:fill="CFF0FC"/>
          </w:tcPr>
          <w:p>
            <w:pPr>
              <w:spacing w:after="0"/>
              <w:rPr>
                <w:sz w:val="15"/>
                <w:szCs w:val="15"/>
                <w:color w:val="auto"/>
              </w:rPr>
            </w:pPr>
          </w:p>
        </w:tc>
      </w:tr>
      <w:tr>
        <w:trPr>
          <w:trHeight w:val="176"/>
        </w:trPr>
        <w:tc>
          <w:tcPr>
            <w:tcW w:w="802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10,660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(11,951 )</w:t>
            </w:r>
          </w:p>
        </w:tc>
      </w:tr>
      <w:tr>
        <w:trPr>
          <w:trHeight w:val="175"/>
        </w:trPr>
        <w:tc>
          <w:tcPr>
            <w:tcW w:w="80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38,184</w:t>
            </w:r>
          </w:p>
        </w:tc>
        <w:tc>
          <w:tcPr>
            <w:tcW w:w="100" w:type="dxa"/>
            <w:vAlign w:val="bottom"/>
            <w:shd w:val="clear" w:color="auto" w:fill="CFF0FC"/>
          </w:tcPr>
          <w:p>
            <w:pPr>
              <w:spacing w:after="0"/>
              <w:rPr>
                <w:sz w:val="15"/>
                <w:szCs w:val="15"/>
                <w:color w:val="auto"/>
              </w:rPr>
            </w:pPr>
          </w:p>
        </w:tc>
      </w:tr>
      <w:tr>
        <w:trPr>
          <w:trHeight w:val="176"/>
        </w:trPr>
        <w:tc>
          <w:tcPr>
            <w:tcW w:w="8020" w:type="dxa"/>
            <w:vAlign w:val="bottom"/>
          </w:tcPr>
          <w:p>
            <w:pPr>
              <w:ind w:left="560"/>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(14,589 )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(26,422 )</w:t>
            </w:r>
          </w:p>
        </w:tc>
      </w:tr>
      <w:tr>
        <w:trPr>
          <w:trHeight w:val="175"/>
        </w:trPr>
        <w:tc>
          <w:tcPr>
            <w:tcW w:w="80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63,743</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20" w:type="dxa"/>
            <w:vAlign w:val="bottom"/>
          </w:tcPr>
          <w:p>
            <w:pPr>
              <w:ind w:left="740"/>
              <w:spacing w:after="0"/>
              <w:rPr>
                <w:sz w:val="20"/>
                <w:szCs w:val="20"/>
                <w:color w:val="auto"/>
              </w:rPr>
            </w:pPr>
            <w:r>
              <w:rPr>
                <w:rFonts w:ascii="Arial" w:cs="Arial" w:eastAsia="Arial" w:hAnsi="Arial"/>
                <w:sz w:val="14"/>
                <w:szCs w:val="14"/>
                <w:color w:val="auto"/>
              </w:rPr>
              <w:t>Net cash and cash equivalents provided by operating activities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183,209</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143,544</w:t>
            </w:r>
          </w:p>
        </w:tc>
        <w:tc>
          <w:tcPr>
            <w:tcW w:w="100" w:type="dxa"/>
            <w:vAlign w:val="bottom"/>
          </w:tcPr>
          <w:p>
            <w:pPr>
              <w:spacing w:after="0"/>
              <w:rPr>
                <w:sz w:val="14"/>
                <w:szCs w:val="14"/>
                <w:color w:val="auto"/>
              </w:rPr>
            </w:pPr>
          </w:p>
        </w:tc>
      </w:tr>
      <w:tr>
        <w:trPr>
          <w:trHeight w:val="169"/>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02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(1,258,919 )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(1,037,331 )</w:t>
            </w: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Maturities of investments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1,017,306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940,776</w:t>
            </w:r>
          </w:p>
        </w:tc>
        <w:tc>
          <w:tcPr>
            <w:tcW w:w="100" w:type="dxa"/>
            <w:vAlign w:val="bottom"/>
            <w:shd w:val="clear" w:color="auto" w:fill="CFF0FC"/>
          </w:tcPr>
          <w:p>
            <w:pPr>
              <w:spacing w:after="0"/>
              <w:rPr>
                <w:sz w:val="15"/>
                <w:szCs w:val="15"/>
                <w:color w:val="auto"/>
              </w:rPr>
            </w:pPr>
          </w:p>
        </w:tc>
      </w:tr>
      <w:tr>
        <w:trPr>
          <w:trHeight w:val="176"/>
        </w:trPr>
        <w:tc>
          <w:tcPr>
            <w:tcW w:w="8020" w:type="dxa"/>
            <w:vAlign w:val="bottom"/>
          </w:tcPr>
          <w:p>
            <w:pPr>
              <w:ind w:left="200"/>
              <w:spacing w:after="0"/>
              <w:rPr>
                <w:sz w:val="20"/>
                <w:szCs w:val="20"/>
                <w:color w:val="auto"/>
              </w:rPr>
            </w:pPr>
            <w:r>
              <w:rPr>
                <w:rFonts w:ascii="Arial" w:cs="Arial" w:eastAsia="Arial" w:hAnsi="Arial"/>
                <w:sz w:val="14"/>
                <w:szCs w:val="14"/>
                <w:color w:val="auto"/>
              </w:rPr>
              <w:t>Sale of investments</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124,998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(31,384 )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(17,399 )</w:t>
            </w:r>
          </w:p>
        </w:tc>
      </w:tr>
      <w:tr>
        <w:trPr>
          <w:trHeight w:val="175"/>
        </w:trPr>
        <w:tc>
          <w:tcPr>
            <w:tcW w:w="8020" w:type="dxa"/>
            <w:vAlign w:val="bottom"/>
          </w:tcPr>
          <w:p>
            <w:pPr>
              <w:ind w:left="200"/>
              <w:spacing w:after="0"/>
              <w:rPr>
                <w:sz w:val="20"/>
                <w:szCs w:val="20"/>
                <w:color w:val="auto"/>
              </w:rPr>
            </w:pPr>
            <w:r>
              <w:rPr>
                <w:rFonts w:ascii="Arial" w:cs="Arial" w:eastAsia="Arial" w:hAnsi="Arial"/>
                <w:sz w:val="14"/>
                <w:szCs w:val="14"/>
                <w:color w:val="auto"/>
              </w:rPr>
              <w:t>Purchases of intangible assets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(10,000 )</w:t>
            </w:r>
          </w:p>
        </w:tc>
        <w:tc>
          <w:tcPr>
            <w:tcW w:w="320" w:type="dxa"/>
            <w:vAlign w:val="bottom"/>
          </w:tcPr>
          <w:p>
            <w:pPr>
              <w:spacing w:after="0"/>
              <w:rPr>
                <w:sz w:val="15"/>
                <w:szCs w:val="15"/>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of a business, net of cash acquired</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(16,810 )</w:t>
            </w:r>
          </w:p>
        </w:tc>
      </w:tr>
      <w:tr>
        <w:trPr>
          <w:trHeight w:val="175"/>
        </w:trPr>
        <w:tc>
          <w:tcPr>
            <w:tcW w:w="8020" w:type="dxa"/>
            <w:vAlign w:val="bottom"/>
          </w:tcPr>
          <w:p>
            <w:pPr>
              <w:ind w:left="200"/>
              <w:spacing w:after="0"/>
              <w:rPr>
                <w:sz w:val="20"/>
                <w:szCs w:val="20"/>
                <w:color w:val="auto"/>
              </w:rPr>
            </w:pPr>
            <w:r>
              <w:rPr>
                <w:rFonts w:ascii="Arial" w:cs="Arial" w:eastAsia="Arial" w:hAnsi="Arial"/>
                <w:sz w:val="14"/>
                <w:szCs w:val="14"/>
                <w:color w:val="auto"/>
              </w:rPr>
              <w:t>Purchases of strategic investments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(19,872 )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(10,202 )</w:t>
            </w: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 method investment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(1,900 )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(3,100 )</w:t>
            </w:r>
          </w:p>
        </w:tc>
      </w:tr>
      <w:tr>
        <w:trPr>
          <w:trHeight w:val="176"/>
        </w:trPr>
        <w:tc>
          <w:tcPr>
            <w:tcW w:w="8020" w:type="dxa"/>
            <w:vAlign w:val="bottom"/>
          </w:tcPr>
          <w:p>
            <w:pPr>
              <w:ind w:left="200"/>
              <w:spacing w:after="0"/>
              <w:rPr>
                <w:sz w:val="20"/>
                <w:szCs w:val="20"/>
                <w:color w:val="auto"/>
              </w:rPr>
            </w:pPr>
            <w:r>
              <w:rPr>
                <w:rFonts w:ascii="Arial" w:cs="Arial" w:eastAsia="Arial" w:hAnsi="Arial"/>
                <w:sz w:val="14"/>
                <w:szCs w:val="14"/>
                <w:color w:val="auto"/>
              </w:rPr>
              <w:t>Capitalization of software development costs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(31,350 )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(25,638 )</w:t>
            </w:r>
          </w:p>
        </w:tc>
      </w:tr>
      <w:tr>
        <w:trPr>
          <w:trHeight w:val="169"/>
        </w:trPr>
        <w:tc>
          <w:tcPr>
            <w:tcW w:w="80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and cash equivalents used in investing activities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(211,121</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(169,704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settlement of Convertible Note Hedges related to the 2022 Convertible Notes</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60,483</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FF0FC"/>
          </w:tcPr>
          <w:p>
            <w:pPr>
              <w:spacing w:after="0"/>
              <w:rPr>
                <w:sz w:val="15"/>
                <w:szCs w:val="15"/>
                <w:color w:val="auto"/>
              </w:rPr>
            </w:pPr>
          </w:p>
        </w:tc>
      </w:tr>
      <w:tr>
        <w:trPr>
          <w:trHeight w:val="175"/>
        </w:trPr>
        <w:tc>
          <w:tcPr>
            <w:tcW w:w="8020" w:type="dxa"/>
            <w:vAlign w:val="bottom"/>
          </w:tcPr>
          <w:p>
            <w:pPr>
              <w:ind w:left="200"/>
              <w:spacing w:after="0"/>
              <w:rPr>
                <w:sz w:val="20"/>
                <w:szCs w:val="20"/>
                <w:color w:val="auto"/>
              </w:rPr>
            </w:pPr>
            <w:r>
              <w:rPr>
                <w:rFonts w:ascii="Arial" w:cs="Arial" w:eastAsia="Arial" w:hAnsi="Arial"/>
                <w:sz w:val="14"/>
                <w:szCs w:val="14"/>
                <w:color w:val="auto"/>
              </w:rPr>
              <w:t>Payment for settlement of 2022 Convertible Notes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(79,807 )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(80,428 )</w:t>
            </w:r>
          </w:p>
        </w:tc>
      </w:tr>
      <w:tr>
        <w:trPr>
          <w:trHeight w:val="175"/>
        </w:trPr>
        <w:tc>
          <w:tcPr>
            <w:tcW w:w="8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2025 Convertible Notes attributable to the principal</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(1,619 )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020" w:type="dxa"/>
            <w:vAlign w:val="bottom"/>
          </w:tcPr>
          <w:p>
            <w:pPr>
              <w:ind w:left="200"/>
              <w:spacing w:after="0"/>
              <w:rPr>
                <w:sz w:val="20"/>
                <w:szCs w:val="20"/>
                <w:color w:val="auto"/>
              </w:rPr>
            </w:pPr>
            <w:r>
              <w:rPr>
                <w:rFonts w:ascii="Arial" w:cs="Arial" w:eastAsia="Arial" w:hAnsi="Arial"/>
                <w:sz w:val="14"/>
                <w:szCs w:val="14"/>
                <w:color w:val="auto"/>
              </w:rPr>
              <w:t>Employee taxes paid related to the net share settlement of stock-based awards</w:t>
            </w:r>
          </w:p>
        </w:tc>
        <w:tc>
          <w:tcPr>
            <w:tcW w:w="160" w:type="dxa"/>
            <w:vAlign w:val="bottom"/>
          </w:tcPr>
          <w:p>
            <w:pPr>
              <w:spacing w:after="0"/>
              <w:rPr>
                <w:sz w:val="15"/>
                <w:szCs w:val="15"/>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(9,954 )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(11,728 )</w:t>
            </w:r>
          </w:p>
        </w:tc>
      </w:tr>
      <w:tr>
        <w:trPr>
          <w:trHeight w:val="176"/>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Proceeds related to the issuance of common stock under stock plans</w:t>
            </w:r>
          </w:p>
        </w:tc>
        <w:tc>
          <w:tcPr>
            <w:tcW w:w="1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29,718</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20" w:type="dxa"/>
            <w:vAlign w:val="bottom"/>
          </w:tcPr>
          <w:p>
            <w:pPr>
              <w:ind w:left="740"/>
              <w:spacing w:after="0"/>
              <w:rPr>
                <w:sz w:val="20"/>
                <w:szCs w:val="20"/>
                <w:color w:val="auto"/>
              </w:rPr>
            </w:pPr>
            <w:r>
              <w:rPr>
                <w:rFonts w:ascii="Arial" w:cs="Arial" w:eastAsia="Arial" w:hAnsi="Arial"/>
                <w:sz w:val="14"/>
                <w:szCs w:val="14"/>
                <w:color w:val="auto"/>
              </w:rPr>
              <w:t>Net cash and cash equivalents used in financing activities</w:t>
            </w:r>
          </w:p>
        </w:tc>
        <w:tc>
          <w:tcPr>
            <w:tcW w:w="160" w:type="dxa"/>
            <w:vAlign w:val="bottom"/>
          </w:tcPr>
          <w:p>
            <w:pPr>
              <w:spacing w:after="0"/>
              <w:rPr>
                <w:sz w:val="14"/>
                <w:szCs w:val="14"/>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(1,179 )</w:t>
            </w: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(57,303 )</w:t>
            </w:r>
          </w:p>
        </w:tc>
      </w:tr>
      <w:tr>
        <w:trPr>
          <w:trHeight w:val="169"/>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(16,263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60" w:type="dxa"/>
            <w:vAlign w:val="bottom"/>
          </w:tcPr>
          <w:p>
            <w:pPr>
              <w:spacing w:after="0"/>
              <w:rPr>
                <w:sz w:val="14"/>
                <w:szCs w:val="14"/>
                <w:color w:val="auto"/>
              </w:rPr>
            </w:pPr>
          </w:p>
        </w:tc>
        <w:tc>
          <w:tcPr>
            <w:tcW w:w="1580" w:type="dxa"/>
            <w:vAlign w:val="bottom"/>
            <w:gridSpan w:val="2"/>
          </w:tcPr>
          <w:p>
            <w:pPr>
              <w:jc w:val="right"/>
              <w:ind w:right="128"/>
              <w:spacing w:after="0"/>
              <w:rPr>
                <w:sz w:val="20"/>
                <w:szCs w:val="20"/>
                <w:color w:val="auto"/>
              </w:rPr>
            </w:pPr>
            <w:r>
              <w:rPr>
                <w:rFonts w:ascii="Arial" w:cs="Arial" w:eastAsia="Arial" w:hAnsi="Arial"/>
                <w:sz w:val="14"/>
                <w:szCs w:val="14"/>
                <w:color w:val="auto"/>
              </w:rPr>
              <w:t>(45,354 )</w:t>
            </w: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(89,789 )</w:t>
            </w:r>
          </w:p>
        </w:tc>
      </w:tr>
      <w:tr>
        <w:trPr>
          <w:trHeight w:val="175"/>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380,042</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381,152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20" w:type="dxa"/>
            <w:vAlign w:val="bottom"/>
          </w:tcPr>
          <w:p>
            <w:pPr>
              <w:ind w:left="20"/>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334,688</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291,363</w:t>
            </w:r>
          </w:p>
        </w:tc>
        <w:tc>
          <w:tcPr>
            <w:tcW w:w="100" w:type="dxa"/>
            <w:vAlign w:val="bottom"/>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disclosure:</w:t>
            </w:r>
          </w:p>
        </w:tc>
        <w:tc>
          <w:tcPr>
            <w:tcW w:w="1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885</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3,883</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5,340</w:t>
            </w:r>
          </w:p>
        </w:tc>
        <w:tc>
          <w:tcPr>
            <w:tcW w:w="100" w:type="dxa"/>
            <w:vAlign w:val="bottom"/>
            <w:shd w:val="clear" w:color="auto" w:fill="CFF0FC"/>
          </w:tcPr>
          <w:p>
            <w:pPr>
              <w:spacing w:after="0"/>
              <w:rPr>
                <w:sz w:val="15"/>
                <w:szCs w:val="15"/>
                <w:color w:val="auto"/>
              </w:rPr>
            </w:pPr>
          </w:p>
        </w:tc>
      </w:tr>
      <w:tr>
        <w:trPr>
          <w:trHeight w:val="175"/>
        </w:trPr>
        <w:tc>
          <w:tcPr>
            <w:tcW w:w="802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5,136</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89,691</w:t>
            </w: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Right-of-use asset reductions related to operating lease terminations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(46,587 )</w:t>
            </w:r>
          </w:p>
        </w:tc>
      </w:tr>
      <w:tr>
        <w:trPr>
          <w:trHeight w:val="175"/>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repayment of 2022 Convertible Notes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480,955</w:t>
            </w:r>
          </w:p>
        </w:tc>
        <w:tc>
          <w:tcPr>
            <w:tcW w:w="100" w:type="dxa"/>
            <w:vAlign w:val="bottom"/>
            <w:shd w:val="clear" w:color="auto" w:fill="CFF0FC"/>
          </w:tcPr>
          <w:p>
            <w:pPr>
              <w:spacing w:after="0"/>
              <w:rPr>
                <w:sz w:val="15"/>
                <w:szCs w:val="15"/>
                <w:color w:val="auto"/>
              </w:rPr>
            </w:pPr>
          </w:p>
        </w:tc>
      </w:tr>
      <w:tr>
        <w:trPr>
          <w:trHeight w:val="176"/>
        </w:trPr>
        <w:tc>
          <w:tcPr>
            <w:tcW w:w="8020" w:type="dxa"/>
            <w:vAlign w:val="bottom"/>
          </w:tcPr>
          <w:p>
            <w:pPr>
              <w:ind w:left="20"/>
              <w:spacing w:after="0"/>
              <w:rPr>
                <w:sz w:val="20"/>
                <w:szCs w:val="20"/>
                <w:color w:val="auto"/>
              </w:rPr>
            </w:pPr>
            <w:r>
              <w:rPr>
                <w:rFonts w:ascii="Arial" w:cs="Arial" w:eastAsia="Arial" w:hAnsi="Arial"/>
                <w:sz w:val="14"/>
                <w:szCs w:val="14"/>
                <w:color w:val="auto"/>
              </w:rPr>
              <w:t>Capital expenditures incurred but not yet paid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1,118</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3,683</w:t>
            </w:r>
          </w:p>
        </w:tc>
        <w:tc>
          <w:tcPr>
            <w:tcW w:w="100" w:type="dxa"/>
            <w:vAlign w:val="bottom"/>
          </w:tcPr>
          <w:p>
            <w:pPr>
              <w:spacing w:after="0"/>
              <w:rPr>
                <w:sz w:val="15"/>
                <w:szCs w:val="15"/>
                <w:color w:val="auto"/>
              </w:rPr>
            </w:pPr>
          </w:p>
        </w:tc>
      </w:tr>
      <w:tr>
        <w:trPr>
          <w:trHeight w:val="175"/>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-3660140</wp:posOffset>
            </wp:positionV>
            <wp:extent cx="6858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-3660140</wp:posOffset>
            </wp:positionV>
            <wp:extent cx="6858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-2296795</wp:posOffset>
            </wp:positionV>
            <wp:extent cx="6858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-1619250</wp:posOffset>
            </wp:positionV>
            <wp:extent cx="6858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-1379220</wp:posOffset>
            </wp:positionV>
            <wp:extent cx="6858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-1148080</wp:posOffset>
            </wp:positionV>
            <wp:extent cx="6858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tools, and a native payment solution, that enable businesses to create a cohesive and adaptable customer experience.</w:t>
      </w:r>
    </w:p>
    <w:p>
      <w:pPr>
        <w:spacing w:after="0" w:line="161"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2021,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32"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2022.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54"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14, 2022. There have been no changes in the Company’s significant accounting policies from those that were disclosed in the Company’s Annual Report on Form 10-K that have had a material impact on our consolidated financial statements and related notes, except the adoption of updated guidance related to accounting for convertible debt as described within Note 2 of these consolidated financial statements.</w:t>
      </w:r>
    </w:p>
    <w:p>
      <w:pPr>
        <w:spacing w:after="0" w:line="159"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In February 2022, Russian forces launched a military invasion of Ukraine. While the broader implications of the conflict on the Company's results of operations and overall financial performance remain uncertain, the Company assessed the potential impact on the September 30, 2022 financial statements and determined there were no material adjustments necessary with respect to these consolidated financial statements.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4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Company adopted the updated guidance as of January 1, 2022 using a modified retrospective method with a cumulative-effect adjustment as of the adoption date. Comparative periods are not adjusted. See Note 8 of these consolidated financial statements for further details.</w:t>
      </w:r>
    </w:p>
    <w:p>
      <w:pPr>
        <w:spacing w:after="0" w:line="14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October 2021, the FASB issued guidance that requires companies to recognize and measure contract assets and contract liabilities acquired in a business combination, in accordance with the revenue recognition guidance, as if the acquirer had entered into the original contract at the same time and on the same terms as the acquiree. Generally, this will result in the acquirer recognizing contract assets and liabilities at the same amounts recorded by the acquiree as of the acquisition date. Under the previous standard, an acquirer generally recognizes such items at fair value on the acquisition date. The Company adopted the updated guidance as of January 1, 2022 and the ongoing impact of this guidance will depend on the contract assets and liabilities acquired in future business combinations.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Revenues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2"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The Company provides disaggregation of revenue based on geographic region (Note 14)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12"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nine months ended September 30, 2022 increased by $38.8 million resulting from $482.8 million of additional invoicing and was offset by revenue recognized of $444.0 million during the same period. $261.2 million of revenue was recognized during the three months ended September 30, 2022 that was included in deferred revenue at the beginning of the period. $398.2 million of revenue was recognized during the nine months ended September 30, 2022 that was included in deferred revenue at the beginning of the period. As of September 30, 2022, approximately $465.0 million of revenue is expected to be recognized from remaining performance obligations for contracts with original performance obligations that exceed one year. The Company expects to recognize revenue on approximately 91% of these remaining performance obligations over the next 24 months, with the balance recognized thereafter.</w:t>
      </w:r>
    </w:p>
    <w:p>
      <w:pPr>
        <w:spacing w:after="0" w:line="1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Additional contract liabilities of $2.5 million were included in accrued expenses and other current liabilities on the consolidated balance sheet as of September 30, 2022 and December 31, 2021.</w:t>
      </w:r>
    </w:p>
    <w:p>
      <w:pPr>
        <w:spacing w:after="0" w:line="157"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5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Deferred commission expense during the three months ended September 30, 2022 increased by $5.5 million as a result of deferring incremental costs of obtaining a contract of $27.9 million and was offset by amortization of $22.4 million during the same period. Deferred commission expense during the nine months ended September 30, 2022 increased by $15.8 million as a result of deferring incremental costs of obtaining a contract of $79.1 million and was offset by amortization of $63.3 million during the same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8), the Conversion Option of the 2022 Notes, and the Conversion Option of the 2025 Notes (the “Conversion Options”) (Note 8) are considered to be potential common stock equivalents.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76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(97,113 )</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(61,466 )</w:t>
            </w:r>
          </w:p>
        </w:tc>
        <w:tc>
          <w:tcPr>
            <w:tcW w:w="0" w:type="dxa"/>
            <w:vAlign w:val="bottom"/>
          </w:tcPr>
          <w:p>
            <w:pPr>
              <w:spacing w:after="0"/>
              <w:rPr>
                <w:sz w:val="1"/>
                <w:szCs w:val="1"/>
                <w:color w:val="auto"/>
              </w:rPr>
            </w:pPr>
          </w:p>
        </w:tc>
      </w:tr>
      <w:tr>
        <w:trPr>
          <w:trHeight w:val="197"/>
        </w:trPr>
        <w:tc>
          <w:tcPr>
            <w:tcW w:w="4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48,067</w:t>
            </w: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47,044</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47,821</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46,752</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Dilutive effect of share equivalents resulting from stock</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140"/>
              <w:spacing w:after="0" w:line="189" w:lineRule="exact"/>
              <w:rPr>
                <w:sz w:val="20"/>
                <w:szCs w:val="20"/>
                <w:color w:val="auto"/>
              </w:rPr>
            </w:pPr>
            <w:r>
              <w:rPr>
                <w:rFonts w:ascii="Arial" w:cs="Arial" w:eastAsia="Arial" w:hAnsi="Arial"/>
                <w:sz w:val="18"/>
                <w:szCs w:val="18"/>
                <w:color w:val="auto"/>
              </w:rPr>
              <w:t>options, RSUs, ESPP, Warrants and the Conversion</w:t>
            </w:r>
          </w:p>
        </w:tc>
        <w:tc>
          <w:tcPr>
            <w:tcW w:w="220" w:type="dxa"/>
            <w:vAlign w:val="bottom"/>
            <w:shd w:val="clear" w:color="auto" w:fill="CFF0FC"/>
          </w:tcPr>
          <w:p>
            <w:pPr>
              <w:spacing w:after="0"/>
              <w:rPr>
                <w:sz w:val="16"/>
                <w:szCs w:val="16"/>
                <w:color w:val="auto"/>
              </w:rPr>
            </w:pPr>
          </w:p>
        </w:tc>
        <w:tc>
          <w:tcPr>
            <w:tcW w:w="1360" w:type="dxa"/>
            <w:vAlign w:val="bottom"/>
            <w:gridSpan w:val="2"/>
            <w:vMerge w:val="restart"/>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6"/>
                <w:szCs w:val="16"/>
                <w:color w:val="auto"/>
              </w:rPr>
            </w:pPr>
          </w:p>
        </w:tc>
        <w:tc>
          <w:tcPr>
            <w:tcW w:w="124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220" w:type="dxa"/>
            <w:vAlign w:val="bottom"/>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48,067</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47,044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47,821</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-848360</wp:posOffset>
            </wp:positionV>
            <wp:extent cx="105410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5410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-830580</wp:posOffset>
            </wp:positionV>
            <wp:extent cx="6858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-830580</wp:posOffset>
            </wp:positionV>
            <wp:extent cx="6858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-316865</wp:posOffset>
            </wp:positionV>
            <wp:extent cx="7683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685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685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-316865</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9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Company uses the treasury stock method and the average market price per share during the period for calculating any potential dilutive effect of the Warrants. The average stock price for the three months ended September 30, 2022 was $317.60 and for the nine months ended September 30, 2022 was $388.33.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September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3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360" w:type="dxa"/>
            <w:vAlign w:val="bottom"/>
            <w:shd w:val="clear" w:color="auto" w:fill="CFF0FC"/>
          </w:tcPr>
          <w:p>
            <w:pPr>
              <w:jc w:val="right"/>
              <w:ind w:right="715"/>
              <w:spacing w:after="0"/>
              <w:rPr>
                <w:sz w:val="20"/>
                <w:szCs w:val="20"/>
                <w:color w:val="auto"/>
              </w:rPr>
            </w:pPr>
            <w:r>
              <w:rPr>
                <w:rFonts w:ascii="Arial" w:cs="Arial" w:eastAsia="Arial" w:hAnsi="Arial"/>
                <w:sz w:val="18"/>
                <w:szCs w:val="18"/>
                <w:color w:val="auto"/>
              </w:rPr>
              <w:t>522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RSUs</w:t>
            </w: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jc w:val="right"/>
              <w:ind w:right="715"/>
              <w:spacing w:after="0"/>
              <w:rPr>
                <w:sz w:val="20"/>
                <w:szCs w:val="20"/>
                <w:color w:val="auto"/>
              </w:rPr>
            </w:pPr>
            <w:r>
              <w:rPr>
                <w:rFonts w:ascii="Arial" w:cs="Arial" w:eastAsia="Arial" w:hAnsi="Arial"/>
                <w:sz w:val="18"/>
                <w:szCs w:val="18"/>
                <w:color w:val="auto"/>
              </w:rPr>
              <w:t>1,601</w:t>
            </w:r>
          </w:p>
        </w:tc>
        <w:tc>
          <w:tcPr>
            <w:tcW w:w="1000" w:type="dxa"/>
            <w:vAlign w:val="bottom"/>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w w:val="92"/>
              </w:rPr>
              <w:t>Conversion Option of the 2022</w:t>
            </w:r>
          </w:p>
        </w:tc>
        <w:tc>
          <w:tcPr>
            <w:tcW w:w="4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360" w:type="dxa"/>
            <w:vAlign w:val="bottom"/>
            <w:shd w:val="clear" w:color="auto" w:fill="CFF0FC"/>
          </w:tcPr>
          <w:p>
            <w:pPr>
              <w:jc w:val="right"/>
              <w:ind w:right="715"/>
              <w:spacing w:after="0"/>
              <w:rPr>
                <w:sz w:val="20"/>
                <w:szCs w:val="20"/>
                <w:color w:val="auto"/>
              </w:rPr>
            </w:pPr>
            <w:r>
              <w:rPr>
                <w:rFonts w:ascii="Arial" w:cs="Arial" w:eastAsia="Arial" w:hAnsi="Arial"/>
                <w:sz w:val="18"/>
                <w:szCs w:val="18"/>
                <w:color w:val="auto"/>
              </w:rPr>
              <w:t>844</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2"/>
              </w:rPr>
              <w:t>Conversion Option of the 2025</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360" w:type="dxa"/>
            <w:vAlign w:val="bottom"/>
          </w:tcPr>
          <w:p>
            <w:pPr>
              <w:jc w:val="right"/>
              <w:ind w:right="715"/>
              <w:spacing w:after="0"/>
              <w:rPr>
                <w:sz w:val="20"/>
                <w:szCs w:val="20"/>
                <w:color w:val="auto"/>
              </w:rPr>
            </w:pPr>
            <w:r>
              <w:rPr>
                <w:rFonts w:ascii="Arial" w:cs="Arial" w:eastAsia="Arial" w:hAnsi="Arial"/>
                <w:sz w:val="18"/>
                <w:szCs w:val="18"/>
                <w:color w:val="auto"/>
              </w:rPr>
              <w:t>1,625</w:t>
            </w:r>
          </w:p>
        </w:tc>
        <w:tc>
          <w:tcPr>
            <w:tcW w:w="1000" w:type="dxa"/>
            <w:vAlign w:val="bottom"/>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15"/>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89" w:lineRule="exact"/>
        <w:rPr>
          <w:sz w:val="20"/>
          <w:szCs w:val="20"/>
          <w:color w:val="auto"/>
        </w:rPr>
      </w:pPr>
    </w:p>
    <w:p>
      <w:pPr>
        <w:ind w:right="360" w:firstLine="509"/>
        <w:spacing w:after="0" w:line="294"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20"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71" w:lineRule="exact"/>
        <w:rPr>
          <w:rFonts w:ascii="Arial" w:cs="Arial" w:eastAsia="Arial" w:hAnsi="Arial"/>
          <w:sz w:val="18"/>
          <w:szCs w:val="18"/>
          <w:color w:val="auto"/>
        </w:rPr>
      </w:pPr>
    </w:p>
    <w:p>
      <w:pPr>
        <w:ind w:left="1020" w:hanging="503"/>
        <w:spacing w:after="0" w:line="30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ind w:firstLine="509"/>
        <w:spacing w:after="0" w:line="261"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September 30, 2022 and December 31, 2021:</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14,743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02"/>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255,332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793,418</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1,110,450</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center"/>
              <w:ind w:right="64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1,125,193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60" w:type="dxa"/>
            <w:vAlign w:val="bottom"/>
            <w:vMerge w:val="restart"/>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center"/>
              <w:ind w:right="40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28,337</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249,846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22,466</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698,300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125,940</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1,001,978</w:t>
            </w:r>
          </w:p>
        </w:tc>
        <w:tc>
          <w:tcPr>
            <w:tcW w:w="1060" w:type="dxa"/>
            <w:vAlign w:val="bottom"/>
            <w:gridSpan w:val="2"/>
          </w:tcPr>
          <w:p>
            <w:pPr>
              <w:jc w:val="center"/>
              <w:ind w:right="402"/>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1,127,918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-1885315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-1868170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-1885315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-1868170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-1868170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55" w:lineRule="exact"/>
        <w:rPr>
          <w:sz w:val="20"/>
          <w:szCs w:val="20"/>
          <w:color w:val="auto"/>
        </w:rPr>
      </w:pPr>
    </w:p>
    <w:p>
      <w:pPr>
        <w:jc w:val="both"/>
        <w:ind w:right="220" w:firstLine="509"/>
        <w:spacing w:after="0" w:line="283"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2022 and December 31, 2021,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1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As of September 30, 2022, the fair value of the 2025 Notes was $513.8 million. The fair value was determined based on the quoted price of the 2025 Notes in an inactive market on the last trading day of the reporting period and has been classified as Level 2 within the fair value hierarchy. Upon maturity and settlement of the 2022 Notes on June 1, 2022, the 2022 Notes are no longer outstanding as of September 30, 2022.</w:t>
      </w:r>
    </w:p>
    <w:p>
      <w:pPr>
        <w:spacing w:after="0" w:line="131"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4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44"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$43.0 million of strategic investments without readily determinable fair values at September 30, 2022 and $17.8 million of strategic investments without readily determinable fair values at December 31, 2021. These investments are included in prepaid and other current assets and other assets on the consolidated balance sheets.</w:t>
      </w:r>
    </w:p>
    <w:p>
      <w:pPr>
        <w:spacing w:after="0" w:line="134" w:lineRule="exact"/>
        <w:rPr>
          <w:sz w:val="20"/>
          <w:szCs w:val="20"/>
          <w:color w:val="auto"/>
        </w:rPr>
      </w:pPr>
    </w:p>
    <w:p>
      <w:pPr>
        <w:jc w:val="both"/>
        <w:ind w:right="220" w:firstLine="509"/>
        <w:spacing w:after="0" w:line="249" w:lineRule="auto"/>
        <w:rPr>
          <w:sz w:val="20"/>
          <w:szCs w:val="20"/>
          <w:color w:val="auto"/>
        </w:rPr>
      </w:pPr>
      <w:r>
        <w:rPr>
          <w:rFonts w:ascii="Arial" w:cs="Arial" w:eastAsia="Arial" w:hAnsi="Arial"/>
          <w:sz w:val="18"/>
          <w:szCs w:val="18"/>
          <w:color w:val="auto"/>
        </w:rPr>
        <w:t>During the nine months ended September 30, 2022, an acquisition of an entity in which the Company held a strategic investment was completed, which resulted in an observable price change. In the first quarter of 2022, the Company adjusted the fair value of its investment and recognized a gain of $4.2 million reported in the consolidated statements of operations as other income. There were no other adjustments to the carrying value of the strategic investments resulting from impairments or observable price changes in the nine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jc w:val="both"/>
        <w:ind w:right="40"/>
        <w:spacing w:after="0" w:line="294" w:lineRule="auto"/>
        <w:rPr>
          <w:sz w:val="20"/>
          <w:szCs w:val="20"/>
          <w:color w:val="auto"/>
        </w:rPr>
      </w:pPr>
      <w:r>
        <w:rPr>
          <w:rFonts w:ascii="Arial" w:cs="Arial" w:eastAsia="Arial" w:hAnsi="Arial"/>
          <w:sz w:val="16"/>
          <w:szCs w:val="16"/>
          <w:color w:val="auto"/>
        </w:rPr>
        <w:t>months ended September 30, 2022. During the nine months ended September 30, 2021, two strategic investments had observable price changes and the fair value of these investments was accordingly adjusted. The Company recognized a gain of $10.7 million in the three months ended September 30, 2021 and $11.7 million in the nine months ended September 30, 2021. The gains are reported in the consolidated statements of operations as other income.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composition of our short- and long-term investments at September 30, 2022 and December 31, 2021.</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3"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48"/>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Losses</w:t>
            </w:r>
          </w:p>
        </w:tc>
        <w:tc>
          <w:tcPr>
            <w:tcW w:w="2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5"/>
          </w:tcPr>
          <w:p>
            <w:pPr>
              <w:jc w:val="center"/>
              <w:ind w:right="550"/>
              <w:spacing w:after="0"/>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17,518</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(5,183 )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255,332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(997 )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798,375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(4,974 )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793,418</w:t>
            </w:r>
          </w:p>
        </w:tc>
        <w:tc>
          <w:tcPr>
            <w:tcW w:w="100" w:type="dxa"/>
            <w:vAlign w:val="bottom"/>
          </w:tcPr>
          <w:p>
            <w:pPr>
              <w:spacing w:after="0"/>
              <w:rPr>
                <w:sz w:val="18"/>
                <w:szCs w:val="18"/>
                <w:color w:val="auto"/>
              </w:rPr>
            </w:pPr>
          </w:p>
        </w:tc>
      </w:tr>
      <w:tr>
        <w:trPr>
          <w:trHeight w:val="249"/>
        </w:trPr>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1,116,558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1,105,422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48"/>
        </w:trPr>
        <w:tc>
          <w:tcPr>
            <w:tcW w:w="5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68"/>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5"/>
          </w:tcPr>
          <w:p>
            <w:pPr>
              <w:jc w:val="center"/>
              <w:ind w:right="594"/>
              <w:spacing w:after="0"/>
              <w:rPr>
                <w:sz w:val="20"/>
                <w:szCs w:val="20"/>
                <w:color w:val="auto"/>
              </w:rPr>
            </w:pPr>
            <w:r>
              <w:rPr>
                <w:rFonts w:ascii="Arial" w:cs="Arial" w:eastAsia="Arial" w:hAnsi="Arial"/>
                <w:sz w:val="14"/>
                <w:szCs w:val="14"/>
                <w:b w:val="1"/>
                <w:bCs w:val="1"/>
                <w:color w:val="auto"/>
                <w:w w:val="79"/>
              </w:rPr>
              <w:t>thousands)</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center"/>
              <w:ind w:left="3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06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(606 )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249,846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(38 )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698,446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(148 )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698,300</w:t>
            </w:r>
          </w:p>
        </w:tc>
        <w:tc>
          <w:tcPr>
            <w:tcW w:w="100" w:type="dxa"/>
            <w:vAlign w:val="bottom"/>
          </w:tcPr>
          <w:p>
            <w:pPr>
              <w:spacing w:after="0"/>
              <w:rPr>
                <w:sz w:val="18"/>
                <w:szCs w:val="18"/>
                <w:color w:val="auto"/>
              </w:rPr>
            </w:pPr>
          </w:p>
        </w:tc>
      </w:tr>
      <w:tr>
        <w:trPr>
          <w:trHeight w:val="249"/>
        </w:trPr>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996,638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995,857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-1439545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-1422400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-1439545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-1422400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-1422400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1" w:lineRule="exact"/>
        <w:rPr>
          <w:sz w:val="20"/>
          <w:szCs w:val="20"/>
          <w:color w:val="auto"/>
        </w:rPr>
      </w:pPr>
    </w:p>
    <w:p>
      <w:pPr>
        <w:jc w:val="both"/>
        <w:ind w:right="180" w:firstLine="509"/>
        <w:spacing w:after="0" w:line="290" w:lineRule="auto"/>
        <w:rPr>
          <w:sz w:val="20"/>
          <w:szCs w:val="20"/>
          <w:color w:val="auto"/>
        </w:rPr>
      </w:pPr>
      <w:r>
        <w:rPr>
          <w:rFonts w:ascii="Arial" w:cs="Arial" w:eastAsia="Arial" w:hAnsi="Arial"/>
          <w:sz w:val="16"/>
          <w:szCs w:val="16"/>
          <w:color w:val="auto"/>
        </w:rPr>
        <w:t>For all of our securities for which the amortized cost basis was greater than the fair value at September 30, 2022,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contractual maturities of short-term and long-term investments held at September 30, 2022 and December 31, 2021 are as follows: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133"/>
        </w:trPr>
        <w:tc>
          <w:tcPr>
            <w:tcW w:w="4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6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w w:val="98"/>
              </w:rPr>
              <w:t>Aggregate</w:t>
            </w:r>
          </w:p>
        </w:tc>
        <w:tc>
          <w:tcPr>
            <w:tcW w:w="100" w:type="dxa"/>
            <w:vAlign w:val="bottom"/>
          </w:tcPr>
          <w:p>
            <w:pPr>
              <w:spacing w:after="0"/>
              <w:rPr>
                <w:sz w:val="11"/>
                <w:szCs w:val="11"/>
                <w:color w:val="auto"/>
              </w:rPr>
            </w:pPr>
          </w:p>
        </w:tc>
      </w:tr>
      <w:tr>
        <w:trPr>
          <w:trHeight w:val="185"/>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3"/>
              </w:rPr>
              <w:t>Cost Basis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center"/>
              <w:ind w:right="697"/>
              <w:spacing w:after="0"/>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959,495</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821,101</w:t>
            </w:r>
          </w:p>
        </w:tc>
        <w:tc>
          <w:tcPr>
            <w:tcW w:w="400" w:type="dxa"/>
            <w:vAlign w:val="bottom"/>
            <w:gridSpan w:val="2"/>
            <w:shd w:val="clear" w:color="auto" w:fill="CFF0FC"/>
          </w:tcPr>
          <w:p>
            <w:pPr>
              <w:jc w:val="center"/>
              <w:ind w:left="7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820,962</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Due after 1 year through 2 years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174,895</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1,116,558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1,105,422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996,638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995,857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statement of cash flows for the nine months ended September 30, 2022 and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7"/>
              </w:rPr>
              <w:t>September 30, 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177"/>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377,013</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1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1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334,688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291,363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380,042</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615"/>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8"/>
        </w:trPr>
        <w:tc>
          <w:tcPr>
            <w:tcW w:w="46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-496570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-479425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-496570</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-479425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-496570</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-479425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September 30, 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900" w:type="dxa"/>
            <w:vAlign w:val="bottom"/>
            <w:gridSpan w:val="3"/>
          </w:tcPr>
          <w:p>
            <w:pPr>
              <w:jc w:val="center"/>
              <w:ind w:right="1252"/>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43,504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32,230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93,626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90,070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18"/>
                <w:szCs w:val="18"/>
                <w:color w:val="auto"/>
              </w:rPr>
            </w:pPr>
          </w:p>
        </w:tc>
      </w:tr>
      <w:tr>
        <w:trPr>
          <w:trHeight w:val="210"/>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205,021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182,761</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720" w:type="dxa"/>
            <w:vAlign w:val="bottom"/>
            <w:gridSpan w:val="2"/>
          </w:tcPr>
          <w:p>
            <w:pPr>
              <w:jc w:val="right"/>
              <w:ind w:right="88"/>
              <w:spacing w:after="0"/>
              <w:rPr>
                <w:sz w:val="20"/>
                <w:szCs w:val="20"/>
                <w:color w:val="auto"/>
              </w:rPr>
            </w:pPr>
            <w:r>
              <w:rPr>
                <w:rFonts w:ascii="Arial" w:cs="Arial" w:eastAsia="Arial" w:hAnsi="Arial"/>
                <w:sz w:val="18"/>
                <w:szCs w:val="18"/>
                <w:color w:val="auto"/>
              </w:rPr>
              <w:t>(102,393 )</w:t>
            </w: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(86,627 )</w:t>
            </w:r>
          </w:p>
        </w:tc>
      </w:tr>
      <w:tr>
        <w:trPr>
          <w:trHeight w:val="249"/>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102,628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96,134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Depreciation and amortization expense on property and equipment was $7.4 million for the three months ended September 30, 2022, $20.6 million for the nine months ended September 30, 2022, $5.9 million for the three months ended September 30, 2021, and $17.9 million for the nine months ended September 30, 2021.</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9 regarding the disposal of certain property and equipment associated with a lease 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Development Costs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7"/>
              <w:spacing w:after="0"/>
              <w:rPr>
                <w:sz w:val="20"/>
                <w:szCs w:val="20"/>
                <w:color w:val="auto"/>
              </w:rPr>
            </w:pPr>
            <w:r>
              <w:rPr>
                <w:rFonts w:ascii="Arial" w:cs="Arial" w:eastAsia="Arial" w:hAnsi="Arial"/>
                <w:sz w:val="14"/>
                <w:szCs w:val="14"/>
                <w:b w:val="1"/>
                <w:bCs w:val="1"/>
                <w:color w:val="auto"/>
              </w:rPr>
              <w:t>(in</w:t>
            </w:r>
          </w:p>
        </w:tc>
        <w:tc>
          <w:tcPr>
            <w:tcW w:w="1840" w:type="dxa"/>
            <w:vAlign w:val="bottom"/>
            <w:gridSpan w:val="3"/>
          </w:tcPr>
          <w:p>
            <w:pPr>
              <w:jc w:val="right"/>
              <w:ind w:right="1155"/>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122,592</w:t>
            </w:r>
          </w:p>
        </w:tc>
        <w:tc>
          <w:tcPr>
            <w:tcW w:w="8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560" w:type="dxa"/>
            <w:vAlign w:val="bottom"/>
            <w:gridSpan w:val="2"/>
          </w:tcPr>
          <w:p>
            <w:pPr>
              <w:jc w:val="right"/>
              <w:ind w:right="48"/>
              <w:spacing w:after="0"/>
              <w:rPr>
                <w:sz w:val="20"/>
                <w:szCs w:val="20"/>
                <w:color w:val="auto"/>
              </w:rPr>
            </w:pPr>
            <w:r>
              <w:rPr>
                <w:rFonts w:ascii="Arial" w:cs="Arial" w:eastAsia="Arial" w:hAnsi="Arial"/>
                <w:sz w:val="18"/>
                <w:szCs w:val="18"/>
                <w:color w:val="auto"/>
              </w:rPr>
              <w:t>(102,875 )</w:t>
            </w: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(82,734 )</w:t>
            </w:r>
          </w:p>
        </w:tc>
      </w:tr>
      <w:tr>
        <w:trPr>
          <w:trHeight w:val="250"/>
        </w:trPr>
        <w:tc>
          <w:tcPr>
            <w:tcW w:w="5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Capitalized software development costs,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56,803</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144" w:lineRule="exact"/>
        <w:rPr>
          <w:sz w:val="20"/>
          <w:szCs w:val="20"/>
          <w:color w:val="auto"/>
        </w:rPr>
      </w:pPr>
    </w:p>
    <w:p>
      <w:pPr>
        <w:jc w:val="both"/>
        <w:ind w:right="40" w:firstLine="509"/>
        <w:spacing w:after="0" w:line="256" w:lineRule="auto"/>
        <w:rPr>
          <w:sz w:val="20"/>
          <w:szCs w:val="20"/>
          <w:color w:val="auto"/>
        </w:rPr>
      </w:pPr>
      <w:r>
        <w:rPr>
          <w:rFonts w:ascii="Arial" w:cs="Arial" w:eastAsia="Arial" w:hAnsi="Arial"/>
          <w:sz w:val="18"/>
          <w:szCs w:val="18"/>
          <w:color w:val="auto"/>
        </w:rPr>
        <w:t>Amortization of capitalized software development costs, exclusive of costs recorded within property and equipment, was $8.5 million three months ended September 30, 2022, $23.1 million for the nine months ended September 30, 2022, $6.1 million for the three months ended September 30, 2021, and $16.3 million for the nine months ended September 30, 2021.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Updated Debt Guidance</w:t>
      </w:r>
    </w:p>
    <w:p>
      <w:pPr>
        <w:spacing w:after="0" w:line="18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January 1, 2022, the Company adopted the new guidance for convertible instruments using a modified retrospective method. Results for reporting periods beginning after December 31, 2021 are presented under the new guidance, while prior period comparative amounts are not adjusted and continue to be reported in accordance with historical guidance.</w:t>
      </w:r>
    </w:p>
    <w:p>
      <w:pPr>
        <w:spacing w:after="0" w:line="15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new guidance eliminates the bifurcation and separate recognition of the embedded cash conversion feature from the host contract and allows for the entire amount attributable to the debt to be presented as a liability. The carrying amount of the debt liability will be reduced by the issuance costs associated with the debt issuance as a contra-liability. As there is no longer an equity component of the convertible debt, the discount created by accretion of a component of the convertible debt in equity is eliminated and interest expense is reduced. The deferred tax liability recognized as a result of a difference between the carrying amount and tax basis of the 2022 Notes that was recorded to additional paid-in capital as a component of equity was also reversed. There is no change in the accounting for the Capped Call Options, Warrants, or Convertible Note Hedges as they are classified as equity under both the historical and new guidance.</w:t>
      </w:r>
    </w:p>
    <w:p>
      <w:pPr>
        <w:spacing w:after="0" w:line="147" w:lineRule="exact"/>
        <w:rPr>
          <w:sz w:val="20"/>
          <w:szCs w:val="20"/>
          <w:color w:val="auto"/>
        </w:rPr>
      </w:pPr>
    </w:p>
    <w:p>
      <w:pPr>
        <w:ind w:right="500" w:firstLine="509"/>
        <w:spacing w:after="0" w:line="308" w:lineRule="auto"/>
        <w:rPr>
          <w:sz w:val="20"/>
          <w:szCs w:val="20"/>
          <w:color w:val="auto"/>
        </w:rPr>
      </w:pPr>
      <w:r>
        <w:rPr>
          <w:rFonts w:ascii="Arial" w:cs="Arial" w:eastAsia="Arial" w:hAnsi="Arial"/>
          <w:sz w:val="17"/>
          <w:szCs w:val="17"/>
          <w:color w:val="auto"/>
        </w:rPr>
        <w:t>As a result of the impact of applying the new guidance, the Company recorded an increase to opening retained earnings of $31.4 million as of January 1, 2022, related to the difference in interest expense due to the amortization of the convertible debt discount and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6" w:name="page17"/>
    <w:bookmarkEnd w:id="16"/>
    <w:p>
      <w:pPr>
        <w:ind w:right="140"/>
        <w:spacing w:after="0" w:line="249" w:lineRule="auto"/>
        <w:rPr>
          <w:sz w:val="20"/>
          <w:szCs w:val="20"/>
          <w:color w:val="auto"/>
        </w:rPr>
      </w:pPr>
      <w:r>
        <w:rPr>
          <w:rFonts w:ascii="Arial" w:cs="Arial" w:eastAsia="Arial" w:hAnsi="Arial"/>
          <w:sz w:val="18"/>
          <w:szCs w:val="18"/>
          <w:color w:val="auto"/>
        </w:rPr>
        <w:t>reversal of the deferred tax liability under the historical guidance. The resulting impact on the consolidated balance sheet to derecognize the debt issuance cost and conversion option that was allocated to the equity component and to derecognize the remaining convertible debt discount was an increase to debt liability of $69.8 million, of which $0.5 million was recorded to short term debt and $69.3 million was recorded to long-term debt, and a decrease in additional paid-in capital of $101.2 million.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8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10"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In the quarter ended September 30, 2022, the 2025 Notes did not meet the Conversion Option and are not convertible.</w:t>
      </w:r>
    </w:p>
    <w:p>
      <w:pPr>
        <w:spacing w:after="0" w:line="119"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2025 Notes and recorded $96.6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As of September 30, 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As of December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459,083</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(70,594 )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gridSpan w:val="4"/>
            <w:shd w:val="clear" w:color="auto" w:fill="CFF0FC"/>
          </w:tcPr>
          <w:p>
            <w:pPr>
              <w:ind w:left="200"/>
              <w:spacing w:after="0"/>
              <w:rPr>
                <w:sz w:val="20"/>
                <w:szCs w:val="20"/>
                <w:color w:val="auto"/>
              </w:rPr>
            </w:pPr>
            <w:r>
              <w:rPr>
                <w:rFonts w:ascii="Arial" w:cs="Arial" w:eastAsia="Arial" w:hAnsi="Arial"/>
                <w:sz w:val="18"/>
                <w:szCs w:val="18"/>
                <w:color w:val="auto"/>
                <w:w w:val="96"/>
              </w:rPr>
              <w:t>(5,360 )</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(5,544 )</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6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carrying amount</w:t>
            </w:r>
          </w:p>
        </w:tc>
        <w:tc>
          <w:tcPr>
            <w:tcW w:w="9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453,723</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383,861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w w:val="93"/>
              </w:rPr>
              <w:t>Interest expense related to the 2025 Notes is as follows:</w:t>
            </w: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1,291</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9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1,465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2,756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-1482090</wp:posOffset>
            </wp:positionV>
            <wp:extent cx="5969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-1482090</wp:posOffset>
            </wp:positionV>
            <wp:extent cx="5143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03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143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41"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are not accounted for as separate derivative financial instruments.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7" w:name="page18"/>
    <w:bookmarkEnd w:id="17"/>
    <w:p>
      <w:pPr>
        <w:ind w:right="60" w:firstLine="509"/>
        <w:spacing w:after="0" w:line="260" w:lineRule="auto"/>
        <w:rPr>
          <w:sz w:val="20"/>
          <w:szCs w:val="20"/>
          <w:color w:val="auto"/>
        </w:rPr>
      </w:pPr>
      <w:r>
        <w:rPr>
          <w:rFonts w:ascii="Arial" w:cs="Arial" w:eastAsia="Arial" w:hAnsi="Arial"/>
          <w:sz w:val="17"/>
          <w:szCs w:val="17"/>
          <w:color w:val="auto"/>
        </w:rPr>
        <w:t>In May 2017, the Company issued $350.0 million aggregate principal amount of 0.25% convertible senior notes due June 1, 2022 (the “2022 Notes”) in a private offering and an additional $50 million aggregate principal amount of the 2022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 On June 1, 2022, upon the maturity of the 2022 Notes, the Company paid $19.4 million to satisfy the aggregate principal amount due and $60.4 million for the conversion premium in excess of the principal amount.</w:t>
      </w:r>
    </w:p>
    <w:p>
      <w:pPr>
        <w:spacing w:after="0" w:line="147"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Upon the maturity of the 2022 Notes on June 1, 2022, the Convertible Note Hedges were settled in cash and the Company received approximately $60.5 million in cash upon settlement.</w:t>
      </w:r>
    </w:p>
    <w:p>
      <w:pPr>
        <w:spacing w:after="0" w:line="110" w:lineRule="exact"/>
        <w:rPr>
          <w:sz w:val="20"/>
          <w:szCs w:val="20"/>
          <w:color w:val="auto"/>
        </w:rPr>
      </w:pPr>
    </w:p>
    <w:p>
      <w:pPr>
        <w:ind w:right="60" w:firstLine="554"/>
        <w:spacing w:after="0" w:line="246" w:lineRule="auto"/>
        <w:rPr>
          <w:sz w:val="20"/>
          <w:szCs w:val="20"/>
          <w:color w:val="auto"/>
        </w:rPr>
      </w:pPr>
      <w:r>
        <w:rPr>
          <w:rFonts w:ascii="Arial" w:cs="Arial" w:eastAsia="Arial" w:hAnsi="Arial"/>
          <w:sz w:val="18"/>
          <w:szCs w:val="18"/>
          <w:color w:val="auto"/>
        </w:rPr>
        <w:t>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Warrants began to mature on September 1, 2022 and will be settled on a weekly basis through the end of the year. In the three months ended September 30, 2022, 0.3 million shares of Warrants were exercised, which the Company net share settled and issued 0.2 million shares of its common stock. As of September 30, 2022, Warrants giving certain counterparties the option to acquire up to 1.1 million shares of the Company’s common stock remain outstanding.</w:t>
      </w:r>
    </w:p>
    <w:p>
      <w:pPr>
        <w:spacing w:after="0" w:line="158"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2022 Notes and recorded $18.9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related to the 2022 Notes is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r>
      <w:tr>
        <w:trPr>
          <w:trHeight w:val="209"/>
        </w:trPr>
        <w:tc>
          <w:tcPr>
            <w:tcW w:w="33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r>
      <w:tr>
        <w:trPr>
          <w:trHeight w:val="223"/>
        </w:trPr>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860" w:type="dxa"/>
            <w:vAlign w:val="bottom"/>
          </w:tcPr>
          <w:p>
            <w:pPr>
              <w:spacing w:after="0"/>
              <w:rPr>
                <w:sz w:val="19"/>
                <w:szCs w:val="19"/>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r>
      <w:tr>
        <w:trPr>
          <w:trHeight w:val="216"/>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8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3,724</w:t>
            </w: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6032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-170815</wp:posOffset>
            </wp:positionV>
            <wp:extent cx="6032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514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office facilities under non-cancelable operating leases that expire at various dates through February 2035.</w:t>
      </w:r>
    </w:p>
    <w:p>
      <w:pPr>
        <w:spacing w:after="0" w:line="17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During the nine months ended September 30, 2022, the lease term began, was amended, or extended for various leases of office spaces globally. The Company recorded a net $7.8 million of right-of-use assets and $7.8 million of lease liabilities for these leases during the period upon the lease commencement, amendment, or extension.</w:t>
      </w:r>
    </w:p>
    <w:p>
      <w:pPr>
        <w:spacing w:after="0" w:line="14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September 30, 2022 was 4.7%.</w:t>
      </w:r>
    </w:p>
    <w:p>
      <w:pPr>
        <w:spacing w:after="0" w:line="126"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Operating lease expense was $10.7 million for the three months ended September 30, 2022, $32.4 million for the nine months ended September 30, 2022, $12.7 million for the three months ended September 30, 2021, and $36.7 million for the nine months ended September 30, 2021.</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8" w:name="page19"/>
    <w:bookmarkEnd w:id="18"/>
    <w:p>
      <w:pPr>
        <w:ind w:firstLine="509"/>
        <w:spacing w:after="0" w:line="261"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three and nine months ended September 30, 2022 and 2021 are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209"/>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center"/>
              <w:ind w:left="584"/>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Cash payments related to operating lease liabilities were $8.1 million for the three months ended September 30, 2022, $29.0 million for the nine months ended September 30, 2022, $12.3 million for the three months ended September 30, 2021, and $38.5 million for the nine months ended September 30, 2021.</w:t>
      </w:r>
    </w:p>
    <w:p>
      <w:pPr>
        <w:spacing w:after="0" w:line="134"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In the three months ended September 30, 2021, the Company terminated a lease for certain office facilities in Cambridge, Massachusetts and recorded a gain of $4.3 million. In connection with the lease termination, the Company recorded a loss of $6.5 million for the disposal of fixed assets. The net loss of $2.2 million is reported in the consolidated statements of operations as operating expense.</w:t>
      </w:r>
    </w:p>
    <w:p>
      <w:pPr>
        <w:spacing w:after="0" w:line="130" w:lineRule="exact"/>
        <w:rPr>
          <w:sz w:val="20"/>
          <w:szCs w:val="20"/>
          <w:color w:val="auto"/>
        </w:rPr>
      </w:pPr>
    </w:p>
    <w:p>
      <w:pPr>
        <w:ind w:left="540" w:right="8420" w:hanging="532"/>
        <w:spacing w:after="0" w:line="513" w:lineRule="auto"/>
        <w:tabs>
          <w:tab w:leader="none" w:pos="27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Contractual Obligations</w:t>
      </w:r>
    </w:p>
    <w:p>
      <w:pPr>
        <w:ind w:right="320" w:firstLine="509"/>
        <w:spacing w:after="0" w:line="270"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$71.9 million.</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September 30, 2022 are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11,149</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43,768</w:t>
            </w:r>
          </w:p>
        </w:tc>
        <w:tc>
          <w:tcPr>
            <w:tcW w:w="8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40,497</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40,286</w:t>
            </w:r>
          </w:p>
        </w:tc>
        <w:tc>
          <w:tcPr>
            <w:tcW w:w="8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40,229</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164,636</w:t>
            </w:r>
          </w:p>
        </w:tc>
        <w:tc>
          <w:tcPr>
            <w:tcW w:w="8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payments under all non-cancelable arrangements as of September 30, 2022 and agreements entered into since then are as follows: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Product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19"/>
              <w:spacing w:after="0"/>
              <w:rPr>
                <w:sz w:val="20"/>
                <w:szCs w:val="20"/>
                <w:color w:val="auto"/>
              </w:rPr>
            </w:pPr>
            <w:r>
              <w:rPr>
                <w:rFonts w:ascii="Arial" w:cs="Arial" w:eastAsia="Arial" w:hAnsi="Arial"/>
                <w:sz w:val="14"/>
                <w:szCs w:val="14"/>
                <w:b w:val="1"/>
                <w:bCs w:val="1"/>
                <w:color w:val="auto"/>
              </w:rPr>
              <w:t>INBOUND</w:t>
            </w:r>
          </w:p>
        </w:tc>
        <w:tc>
          <w:tcPr>
            <w:tcW w:w="80" w:type="dxa"/>
            <w:vAlign w:val="bottom"/>
          </w:tcPr>
          <w:p>
            <w:pPr>
              <w:spacing w:after="0"/>
              <w:rPr>
                <w:sz w:val="14"/>
                <w:szCs w:val="14"/>
                <w:color w:val="auto"/>
              </w:rPr>
            </w:pPr>
          </w:p>
        </w:tc>
      </w:tr>
      <w:tr>
        <w:trPr>
          <w:trHeight w:val="148"/>
        </w:trPr>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related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7"/>
              </w:rPr>
              <w:t>event</w:t>
            </w:r>
          </w:p>
        </w:tc>
        <w:tc>
          <w:tcPr>
            <w:tcW w:w="80" w:type="dxa"/>
            <w:vAlign w:val="bottom"/>
          </w:tcPr>
          <w:p>
            <w:pPr>
              <w:spacing w:after="0"/>
              <w:rPr>
                <w:sz w:val="12"/>
                <w:szCs w:val="12"/>
                <w:color w:val="auto"/>
              </w:rPr>
            </w:pPr>
          </w:p>
        </w:tc>
      </w:tr>
      <w:tr>
        <w:trPr>
          <w:trHeight w:val="192"/>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obligations</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obligations</w:t>
            </w:r>
          </w:p>
        </w:tc>
        <w:tc>
          <w:tcPr>
            <w:tcW w:w="80" w:type="dxa"/>
            <w:vAlign w:val="bottom"/>
          </w:tcPr>
          <w:p>
            <w:pPr>
              <w:spacing w:after="0"/>
              <w:rPr>
                <w:sz w:val="16"/>
                <w:szCs w:val="16"/>
                <w:color w:val="auto"/>
              </w:rPr>
            </w:pPr>
          </w:p>
        </w:tc>
      </w:tr>
      <w:tr>
        <w:trPr>
          <w:trHeight w:val="186"/>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9"/>
        </w:trPr>
        <w:tc>
          <w:tcPr>
            <w:tcW w:w="4600" w:type="dxa"/>
            <w:vAlign w:val="bottom"/>
          </w:tcPr>
          <w:p>
            <w:pPr>
              <w:spacing w:after="0"/>
              <w:rPr>
                <w:sz w:val="20"/>
                <w:szCs w:val="20"/>
                <w:color w:val="auto"/>
              </w:rPr>
            </w:pPr>
            <w:r>
              <w:rPr>
                <w:rFonts w:ascii="Arial" w:cs="Arial" w:eastAsia="Arial" w:hAnsi="Arial"/>
                <w:sz w:val="17"/>
                <w:szCs w:val="17"/>
                <w:color w:val="auto"/>
              </w:rPr>
              <w:t>Remainder of 2022</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23,371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1,386</w:t>
            </w:r>
          </w:p>
        </w:tc>
        <w:tc>
          <w:tcPr>
            <w:tcW w:w="80" w:type="dxa"/>
            <w:vAlign w:val="bottom"/>
          </w:tcPr>
          <w:p>
            <w:pPr>
              <w:spacing w:after="0"/>
              <w:rPr>
                <w:sz w:val="24"/>
                <w:szCs w:val="24"/>
                <w:color w:val="auto"/>
              </w:rPr>
            </w:pPr>
          </w:p>
        </w:tc>
      </w:tr>
      <w:tr>
        <w:trPr>
          <w:trHeight w:val="39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6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158,886</w:t>
            </w:r>
          </w:p>
        </w:tc>
        <w:tc>
          <w:tcPr>
            <w:tcW w:w="2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80" w:type="dxa"/>
            <w:vAlign w:val="bottom"/>
            <w:shd w:val="clear" w:color="auto" w:fill="CFF0FC"/>
          </w:tcPr>
          <w:p>
            <w:pPr>
              <w:spacing w:after="0"/>
              <w:rPr>
                <w:sz w:val="24"/>
                <w:szCs w:val="24"/>
                <w:color w:val="auto"/>
              </w:rPr>
            </w:pPr>
          </w:p>
        </w:tc>
      </w:tr>
      <w:tr>
        <w:trPr>
          <w:trHeight w:val="390"/>
        </w:trPr>
        <w:tc>
          <w:tcPr>
            <w:tcW w:w="4600" w:type="dxa"/>
            <w:vAlign w:val="bottom"/>
          </w:tcPr>
          <w:p>
            <w:pPr>
              <w:spacing w:after="0"/>
              <w:rPr>
                <w:sz w:val="20"/>
                <w:szCs w:val="20"/>
                <w:color w:val="auto"/>
              </w:rPr>
            </w:pPr>
            <w:r>
              <w:rPr>
                <w:rFonts w:ascii="Arial" w:cs="Arial" w:eastAsia="Arial" w:hAnsi="Arial"/>
                <w:sz w:val="17"/>
                <w:szCs w:val="17"/>
                <w:color w:val="auto"/>
              </w:rPr>
              <w:t>2024</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178,087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673</w:t>
            </w:r>
          </w:p>
        </w:tc>
        <w:tc>
          <w:tcPr>
            <w:tcW w:w="80" w:type="dxa"/>
            <w:vAlign w:val="bottom"/>
          </w:tcPr>
          <w:p>
            <w:pPr>
              <w:spacing w:after="0"/>
              <w:rPr>
                <w:sz w:val="24"/>
                <w:szCs w:val="24"/>
                <w:color w:val="auto"/>
              </w:rPr>
            </w:pPr>
          </w:p>
        </w:tc>
      </w:tr>
      <w:tr>
        <w:trPr>
          <w:trHeight w:val="39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195,972</w:t>
            </w:r>
          </w:p>
        </w:tc>
        <w:tc>
          <w:tcPr>
            <w:tcW w:w="2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FF0FC"/>
          </w:tcPr>
          <w:p>
            <w:pPr>
              <w:spacing w:after="0"/>
              <w:rPr>
                <w:sz w:val="24"/>
                <w:szCs w:val="24"/>
                <w:color w:val="auto"/>
              </w:rPr>
            </w:pPr>
          </w:p>
        </w:tc>
      </w:tr>
      <w:tr>
        <w:trPr>
          <w:trHeight w:val="390"/>
        </w:trPr>
        <w:tc>
          <w:tcPr>
            <w:tcW w:w="4600" w:type="dxa"/>
            <w:vAlign w:val="bottom"/>
          </w:tcPr>
          <w:p>
            <w:pPr>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220,000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w:t>
            </w:r>
          </w:p>
        </w:tc>
        <w:tc>
          <w:tcPr>
            <w:tcW w:w="80" w:type="dxa"/>
            <w:vAlign w:val="bottom"/>
          </w:tcPr>
          <w:p>
            <w:pPr>
              <w:spacing w:after="0"/>
              <w:rPr>
                <w:sz w:val="24"/>
                <w:szCs w:val="24"/>
                <w:color w:val="auto"/>
              </w:rPr>
            </w:pPr>
          </w:p>
        </w:tc>
      </w:tr>
      <w:tr>
        <w:trPr>
          <w:trHeight w:val="380"/>
        </w:trPr>
        <w:tc>
          <w:tcPr>
            <w:tcW w:w="4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187,500</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r>
        <w:trPr>
          <w:trHeight w:val="196"/>
        </w:trPr>
        <w:tc>
          <w:tcPr>
            <w:tcW w:w="460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963,816</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3,911</w:t>
            </w:r>
          </w:p>
        </w:tc>
        <w:tc>
          <w:tcPr>
            <w:tcW w:w="8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-162560</wp:posOffset>
            </wp:positionV>
            <wp:extent cx="51435"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-162560</wp:posOffset>
            </wp:positionV>
            <wp:extent cx="431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16319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8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Changes in Accumulated Other Comprehensive Loss</w:t>
      </w:r>
    </w:p>
    <w:p>
      <w:pPr>
        <w:spacing w:after="0" w:line="17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nine months ended September 30, 2022.</w:t>
      </w:r>
    </w:p>
    <w:p>
      <w:pPr>
        <w:spacing w:after="0" w:line="136"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Cumulative</w:t>
            </w:r>
          </w:p>
        </w:tc>
        <w:tc>
          <w:tcPr>
            <w:tcW w:w="24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Gain 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r>
      <w:tr>
        <w:trPr>
          <w:trHeight w:val="169"/>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513" w:right="339" w:bottom="1440" w:gutter="0" w:footer="0" w:header="0"/>
        </w:sectPr>
      </w:pPr>
    </w:p>
    <w:p>
      <w:pPr>
        <w:ind w:left="1140"/>
        <w:spacing w:after="0"/>
        <w:rPr>
          <w:sz w:val="20"/>
          <w:szCs w:val="20"/>
          <w:color w:val="auto"/>
        </w:rPr>
      </w:pPr>
      <w:r>
        <w:rPr>
          <w:rFonts w:ascii="Arial" w:cs="Arial" w:eastAsia="Arial" w:hAnsi="Arial"/>
          <w:sz w:val="18"/>
          <w:szCs w:val="18"/>
          <w:color w:val="auto"/>
        </w:rPr>
        <w:t>Beginning balance at January 1, 2022</w:t>
      </w:r>
    </w:p>
    <w:p>
      <w:pPr>
        <w:spacing w:after="0" w:line="23"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Other comprehensive loss before reclassifications</w:t>
      </w:r>
    </w:p>
    <w:p>
      <w:pPr>
        <w:spacing w:after="0" w:line="23" w:lineRule="exact"/>
        <w:rPr>
          <w:sz w:val="20"/>
          <w:szCs w:val="20"/>
          <w:color w:val="auto"/>
        </w:rPr>
      </w:pPr>
    </w:p>
    <w:p>
      <w:pPr>
        <w:ind w:left="1420" w:right="980" w:hanging="89"/>
        <w:spacing w:after="0" w:line="234"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Ending balance at September 30,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14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(532 )</w:t>
            </w:r>
          </w:p>
        </w:tc>
        <w:tc>
          <w:tcPr>
            <w:tcW w:w="1340" w:type="dxa"/>
            <w:vAlign w:val="bottom"/>
            <w:gridSpan w:val="2"/>
          </w:tcPr>
          <w:p>
            <w:pPr>
              <w:jc w:val="right"/>
              <w:ind w:right="41"/>
              <w:spacing w:after="0" w:line="189" w:lineRule="exact"/>
              <w:rPr>
                <w:sz w:val="20"/>
                <w:szCs w:val="20"/>
                <w:color w:val="auto"/>
              </w:rPr>
            </w:pPr>
            <w:r>
              <w:rPr>
                <w:rFonts w:ascii="Arial" w:cs="Arial" w:eastAsia="Arial" w:hAnsi="Arial"/>
                <w:sz w:val="18"/>
                <w:szCs w:val="18"/>
                <w:color w:val="auto"/>
              </w:rPr>
              <w:t>(807 )</w:t>
            </w: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(1,339 )</w:t>
            </w:r>
          </w:p>
        </w:tc>
      </w:tr>
      <w:tr>
        <w:trPr>
          <w:trHeight w:val="230"/>
        </w:trPr>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(5,818 )</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(10,354 )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(16,172 )</w:t>
            </w:r>
          </w:p>
        </w:tc>
      </w:tr>
      <w:tr>
        <w:trPr>
          <w:trHeight w:val="392"/>
        </w:trPr>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09"/>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highlight w:val="white"/>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highlight w:val="white"/>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(17,511</w:t>
            </w:r>
          </w:p>
        </w:tc>
        <w:tc>
          <w:tcPr>
            <w:tcW w:w="60" w:type="dxa"/>
            <w:vAlign w:val="bottom"/>
          </w:tcPr>
          <w:p>
            <w:pPr>
              <w:jc w:val="right"/>
              <w:spacing w:after="0"/>
              <w:rPr>
                <w:sz w:val="20"/>
                <w:szCs w:val="20"/>
                <w:color w:val="auto"/>
              </w:rPr>
            </w:pPr>
            <w:r>
              <w:rPr>
                <w:rFonts w:ascii="Arial" w:cs="Arial" w:eastAsia="Arial" w:hAnsi="Arial"/>
                <w:sz w:val="16"/>
                <w:szCs w:val="16"/>
                <w:color w:val="auto"/>
                <w:highlight w:val="white"/>
                <w:w w:val="74"/>
              </w:rPr>
              <w:t>)</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-702310</wp:posOffset>
            </wp:positionV>
            <wp:extent cx="570039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-419735</wp:posOffset>
            </wp:positionV>
            <wp:extent cx="5700395"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944" w:lineRule="exact"/>
        <w:rPr>
          <w:sz w:val="20"/>
          <w:szCs w:val="20"/>
          <w:color w:val="auto"/>
        </w:rPr>
      </w:pPr>
    </w:p>
    <w:p>
      <w:pPr>
        <w:sectPr>
          <w:pgSz w:w="11900" w:h="16838" w:orient="portrait"/>
          <w:cols w:equalWidth="0" w:num="2">
            <w:col w:w="5600" w:space="720"/>
            <w:col w:w="4920"/>
          </w:cols>
          <w:pgMar w:left="320" w:top="513" w:right="339" w:bottom="1440" w:gutter="0" w:footer="0" w:header="0"/>
          <w:type w:val="continuous"/>
        </w:sectPr>
      </w:pPr>
    </w:p>
    <w:p>
      <w:pPr>
        <w:ind w:right="20" w:firstLine="509"/>
        <w:spacing w:after="0" w:line="249" w:lineRule="auto"/>
        <w:rPr>
          <w:sz w:val="20"/>
          <w:szCs w:val="20"/>
          <w:color w:val="auto"/>
        </w:rPr>
      </w:pPr>
      <w:r>
        <w:rPr>
          <w:rFonts w:ascii="Arial" w:cs="Arial" w:eastAsia="Arial" w:hAnsi="Arial"/>
          <w:sz w:val="18"/>
          <w:szCs w:val="18"/>
          <w:color w:val="auto"/>
        </w:rPr>
        <w:t>In April 2022, the Company purchased the rights to the domain name "connect.com" for $10.0 million. The domain will be used to host a networked community for customers, Solutions Partners, and prospects. The cost is amortized on a straight-line basis over its estimated useful life of seven years. Amortization expense is included in sales and marketing expense in the consolidated statements of operations and was $0.4 million for the three months ended September 30, 2022 and $0.7 million for the nine months ended September 30,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Expense</w:t>
      </w:r>
    </w:p>
    <w:p>
      <w:pPr>
        <w:spacing w:after="0" w:line="18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following two tables show stock-based compensation expense by award type and where the stock-based compensation expense is recorded in the Company’s consolidated statements of operations: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69"/>
        </w:trPr>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4"/>
              </w:rPr>
              <w:t>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60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RSUs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182,773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109,488</w:t>
            </w:r>
          </w:p>
        </w:tc>
        <w:tc>
          <w:tcPr>
            <w:tcW w:w="100" w:type="dxa"/>
            <w:vAlign w:val="bottom"/>
          </w:tcPr>
          <w:p>
            <w:pPr>
              <w:spacing w:after="0"/>
              <w:rPr>
                <w:sz w:val="18"/>
                <w:szCs w:val="18"/>
                <w:color w:val="auto"/>
              </w:rPr>
            </w:pP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8,616</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72,213</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44,988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199,081</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120,847</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-170815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 of stock-based compensation expense on income by line item:</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77,269</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45,014</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28,060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77,113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34,932</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72,213</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44,988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199,081</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120,847</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4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Capitalized software development costs excluded from stock-based compensation expense is $3.4 million for the three months ended September 30, 2022, $9.0 for the nine months ended September 30, 2022, $1.6 million for the three months ended September 30, 2021, and $4.7 million for the nine months ended September 30,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and Geographic Data</w:t>
      </w:r>
    </w:p>
    <w:p>
      <w:pPr>
        <w:spacing w:after="0" w:line="175"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ind w:right="420"/>
        <w:spacing w:after="0" w:line="261" w:lineRule="auto"/>
        <w:rPr>
          <w:sz w:val="20"/>
          <w:szCs w:val="20"/>
          <w:color w:val="auto"/>
        </w:rPr>
      </w:pPr>
      <w:r>
        <w:rPr>
          <w:rFonts w:ascii="Arial" w:cs="Arial" w:eastAsia="Arial" w:hAnsi="Arial"/>
          <w:sz w:val="18"/>
          <w:szCs w:val="18"/>
          <w:color w:val="auto"/>
        </w:rPr>
        <w:t>statements. Revenue and long-lived assets by geographic region, based on the physical location of the operations recording the sale or the asset, are as follows:</w:t>
      </w:r>
    </w:p>
    <w:p>
      <w:pPr>
        <w:sectPr>
          <w:pgSz w:w="11900" w:h="16838" w:orient="portrait"/>
          <w:cols w:equalWidth="0" w:num="1">
            <w:col w:w="11240"/>
          </w:cols>
          <w:pgMar w:left="320" w:top="517" w:right="339" w:bottom="1440" w:gutter="0" w:footer="0" w:header="0"/>
        </w:sectPr>
      </w:pP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Europe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Asia Pacific</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w:t>
      </w:r>
    </w:p>
    <w:p>
      <w:pPr>
        <w:spacing w:after="0" w:line="23" w:lineRule="exact"/>
        <w:rPr>
          <w:sz w:val="20"/>
          <w:szCs w:val="20"/>
          <w:color w:val="auto"/>
        </w:rPr>
      </w:pPr>
    </w:p>
    <w:p>
      <w:pPr>
        <w:ind w:left="680" w:right="240" w:hanging="89"/>
        <w:spacing w:after="0" w:line="234" w:lineRule="auto"/>
        <w:rPr>
          <w:sz w:val="20"/>
          <w:szCs w:val="20"/>
          <w:color w:val="auto"/>
        </w:rPr>
      </w:pPr>
      <w:r>
        <w:rPr>
          <w:rFonts w:ascii="Arial" w:cs="Arial" w:eastAsia="Arial" w:hAnsi="Arial"/>
          <w:sz w:val="18"/>
          <w:szCs w:val="18"/>
          <w:color w:val="auto"/>
        </w:rPr>
        <w:t>Percentage of revenues generated outside of the Americas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2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69"/>
        </w:trPr>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82"/>
              </w:rPr>
              <w:t>thousands)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276,613</w:t>
            </w:r>
          </w:p>
        </w:tc>
        <w:tc>
          <w:tcPr>
            <w:tcW w:w="240" w:type="dxa"/>
            <w:vAlign w:val="bottom"/>
          </w:tcPr>
          <w:p>
            <w:pPr>
              <w:spacing w:after="0"/>
              <w:rPr>
                <w:sz w:val="19"/>
                <w:szCs w:val="19"/>
                <w:color w:val="auto"/>
              </w:rPr>
            </w:pPr>
          </w:p>
        </w:tc>
        <w:tc>
          <w:tcPr>
            <w:tcW w:w="480" w:type="dxa"/>
            <w:vAlign w:val="bottom"/>
          </w:tcPr>
          <w:p>
            <w:pPr>
              <w:jc w:val="center"/>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207,244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777,960</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571,842</w:t>
            </w:r>
          </w:p>
        </w:tc>
        <w:tc>
          <w:tcPr>
            <w:tcW w:w="1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128,934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373,264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279,412</w:t>
            </w:r>
          </w:p>
        </w:tc>
        <w:tc>
          <w:tcPr>
            <w:tcW w:w="160" w:type="dxa"/>
            <w:vAlign w:val="bottom"/>
          </w:tcPr>
          <w:p>
            <w:pPr>
              <w:spacing w:after="0"/>
              <w:rPr>
                <w:sz w:val="18"/>
                <w:szCs w:val="18"/>
                <w:color w:val="auto"/>
              </w:rPr>
            </w:pPr>
          </w:p>
        </w:tc>
      </w:tr>
      <w:tr>
        <w:trPr>
          <w:trHeight w:val="230"/>
        </w:trPr>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38,411</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110,089</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80,095</w:t>
            </w:r>
          </w:p>
        </w:tc>
        <w:tc>
          <w:tcPr>
            <w:tcW w:w="160" w:type="dxa"/>
            <w:vAlign w:val="bottom"/>
          </w:tcPr>
          <w:p>
            <w:pPr>
              <w:spacing w:after="0"/>
              <w:rPr>
                <w:sz w:val="20"/>
                <w:szCs w:val="20"/>
                <w:color w:val="auto"/>
              </w:rPr>
            </w:pPr>
          </w:p>
        </w:tc>
      </w:tr>
      <w:tr>
        <w:trPr>
          <w:trHeight w:val="210"/>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443,958</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1,261,313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931,349</w:t>
            </w:r>
          </w:p>
        </w:tc>
        <w:tc>
          <w:tcPr>
            <w:tcW w:w="16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4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-710565</wp:posOffset>
            </wp:positionV>
            <wp:extent cx="641223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-419735</wp:posOffset>
            </wp:positionV>
            <wp:extent cx="6412230" cy="420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12230" cy="42037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000" w:space="720"/>
            <w:col w:w="6520"/>
          </w:cols>
          <w:pgMar w:left="320" w:top="517" w:right="339" w:bottom="1440" w:gutter="0" w:footer="0" w:header="0"/>
          <w:type w:val="continuous"/>
        </w:sectPr>
      </w:pPr>
    </w:p>
    <w:p>
      <w:pPr>
        <w:ind w:right="380" w:firstLine="509"/>
        <w:spacing w:after="0" w:line="261" w:lineRule="auto"/>
        <w:rPr>
          <w:sz w:val="20"/>
          <w:szCs w:val="20"/>
          <w:color w:val="auto"/>
        </w:rPr>
      </w:pPr>
      <w:r>
        <w:rPr>
          <w:rFonts w:ascii="Arial" w:cs="Arial" w:eastAsia="Arial" w:hAnsi="Arial"/>
          <w:sz w:val="18"/>
          <w:szCs w:val="18"/>
          <w:color w:val="auto"/>
        </w:rPr>
        <w:t>Revenue derived from customers outside the United States (international) was approximately 46% of total revenue in the three and nine months ended September 30, 2022 and 2021.</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As of September 30, 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As of December 31, 2021</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right"/>
              <w:ind w:right="115"/>
              <w:spacing w:after="0"/>
              <w:rPr>
                <w:sz w:val="20"/>
                <w:szCs w:val="20"/>
                <w:color w:val="auto"/>
              </w:rPr>
            </w:pPr>
            <w:r>
              <w:rPr>
                <w:rFonts w:ascii="Arial" w:cs="Arial" w:eastAsia="Arial" w:hAnsi="Arial"/>
                <w:sz w:val="14"/>
                <w:szCs w:val="14"/>
                <w:b w:val="1"/>
                <w:bCs w:val="1"/>
                <w:color w:val="auto"/>
              </w:rPr>
              <w:t>(in</w:t>
            </w: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224,861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226,848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118,226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139,846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Asia Pacific</w:t>
            </w: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354,050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376,962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660" w:type="dxa"/>
            <w:vAlign w:val="bottom"/>
          </w:tcPr>
          <w:p>
            <w:pPr>
              <w:spacing w:after="0" w:line="196" w:lineRule="exact"/>
              <w:rPr>
                <w:sz w:val="20"/>
                <w:szCs w:val="20"/>
                <w:color w:val="auto"/>
              </w:rPr>
            </w:pPr>
            <w:r>
              <w:rPr>
                <w:rFonts w:ascii="Arial" w:cs="Arial" w:eastAsia="Arial" w:hAnsi="Arial"/>
                <w:sz w:val="18"/>
                <w:szCs w:val="18"/>
                <w:color w:val="auto"/>
                <w:w w:val="96"/>
              </w:rPr>
              <w:t>Percentage of long-lived assets held outside of the Americas</w:t>
            </w:r>
          </w:p>
        </w:tc>
        <w:tc>
          <w:tcPr>
            <w:tcW w:w="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2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-933450</wp:posOffset>
            </wp:positionV>
            <wp:extent cx="6412230" cy="3340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12230" cy="3340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2021 filed with the SEC on February 14,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60" w:firstLine="544"/>
        <w:spacing w:after="0" w:line="256"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spacing w:after="0" w:line="148" w:lineRule="exact"/>
        <w:rPr>
          <w:sz w:val="20"/>
          <w:szCs w:val="20"/>
          <w:color w:val="auto"/>
        </w:rPr>
      </w:pPr>
    </w:p>
    <w:p>
      <w:pPr>
        <w:ind w:firstLine="544"/>
        <w:spacing w:after="0" w:line="243" w:lineRule="auto"/>
        <w:rPr>
          <w:sz w:val="20"/>
          <w:szCs w:val="20"/>
          <w:color w:val="auto"/>
        </w:rPr>
      </w:pPr>
      <w:r>
        <w:rPr>
          <w:rFonts w:ascii="Arial" w:cs="Arial" w:eastAsia="Arial" w:hAnsi="Arial"/>
          <w:sz w:val="18"/>
          <w:szCs w:val="18"/>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native payment solution, Payments, is built within our CRM Platform which enables customers to streamline their payment process.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59" w:lineRule="exact"/>
        <w:rPr>
          <w:sz w:val="20"/>
          <w:szCs w:val="20"/>
          <w:color w:val="auto"/>
        </w:rPr>
      </w:pPr>
    </w:p>
    <w:p>
      <w:pPr>
        <w:ind w:right="140" w:firstLine="544"/>
        <w:spacing w:after="0" w:line="277" w:lineRule="auto"/>
        <w:rPr>
          <w:sz w:val="20"/>
          <w:szCs w:val="20"/>
          <w:color w:val="auto"/>
        </w:rPr>
      </w:pPr>
      <w:r>
        <w:rPr>
          <w:rFonts w:ascii="Arial" w:cs="Arial" w:eastAsia="Arial" w:hAnsi="Arial"/>
          <w:sz w:val="16"/>
          <w:szCs w:val="16"/>
          <w:color w:val="212529"/>
        </w:rPr>
        <w:t xml:space="preserve">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w:t>
      </w:r>
      <w:r>
        <w:rPr>
          <w:rFonts w:ascii="Arial" w:cs="Arial" w:eastAsia="Arial" w:hAnsi="Arial"/>
          <w:sz w:val="16"/>
          <w:szCs w:val="16"/>
          <w:color w:val="000000"/>
        </w:rPr>
        <w:t>As of September 30, 2022,</w:t>
      </w:r>
      <w:r>
        <w:rPr>
          <w:rFonts w:ascii="Arial" w:cs="Arial" w:eastAsia="Arial" w:hAnsi="Arial"/>
          <w:sz w:val="16"/>
          <w:szCs w:val="16"/>
          <w:color w:val="212529"/>
        </w:rPr>
        <w:t xml:space="preserve"> </w:t>
      </w:r>
      <w:r>
        <w:rPr>
          <w:rFonts w:ascii="Arial" w:cs="Arial" w:eastAsia="Arial" w:hAnsi="Arial"/>
          <w:sz w:val="16"/>
          <w:szCs w:val="16"/>
          <w:color w:val="000000"/>
        </w:rPr>
        <w:t>we had 7,409 full-time employees and 158,905 Customers of varying sizes in more than 120 countries, representing almost every industry.</w:t>
      </w:r>
    </w:p>
    <w:p>
      <w:pPr>
        <w:spacing w:after="0" w:line="124" w:lineRule="exact"/>
        <w:rPr>
          <w:sz w:val="20"/>
          <w:szCs w:val="20"/>
          <w:color w:val="auto"/>
        </w:rPr>
      </w:pPr>
    </w:p>
    <w:p>
      <w:pPr>
        <w:ind w:firstLine="544"/>
        <w:spacing w:after="0" w:line="244" w:lineRule="auto"/>
        <w:rPr>
          <w:sz w:val="20"/>
          <w:szCs w:val="20"/>
          <w:color w:val="auto"/>
        </w:rPr>
      </w:pPr>
      <w:r>
        <w:rPr>
          <w:rFonts w:ascii="Arial" w:cs="Arial" w:eastAsia="Arial" w:hAnsi="Arial"/>
          <w:sz w:val="18"/>
          <w:szCs w:val="18"/>
          <w:color w:val="auto"/>
        </w:rPr>
        <w:t>We derive most of our revenue from subscriptions to our cloud-based CRM Platform and related professional services, which consist of customer on-boarding, training and consulting services. Subscription revenue accounted for 98% of our total revenue for the three and nine months ended September 30, 2022 and 97% of our total revenue for the three and nine months ended September 30, 2021.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60" w:lineRule="exact"/>
        <w:rPr>
          <w:sz w:val="20"/>
          <w:szCs w:val="20"/>
          <w:color w:val="auto"/>
        </w:rPr>
      </w:pPr>
    </w:p>
    <w:p>
      <w:pPr>
        <w:jc w:val="both"/>
        <w:ind w:firstLine="589"/>
        <w:spacing w:after="0" w:line="256"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34" w:lineRule="exact"/>
        <w:rPr>
          <w:sz w:val="20"/>
          <w:szCs w:val="20"/>
          <w:color w:val="auto"/>
        </w:rPr>
      </w:pPr>
    </w:p>
    <w:p>
      <w:pPr>
        <w:ind w:right="160" w:firstLine="544"/>
        <w:spacing w:after="0" w:line="249" w:lineRule="auto"/>
        <w:rPr>
          <w:sz w:val="20"/>
          <w:szCs w:val="20"/>
          <w:color w:val="auto"/>
        </w:rPr>
      </w:pPr>
      <w:r>
        <w:rPr>
          <w:rFonts w:ascii="Arial" w:cs="Arial" w:eastAsia="Arial" w:hAnsi="Arial"/>
          <w:sz w:val="18"/>
          <w:szCs w:val="18"/>
          <w:color w:val="auto"/>
        </w:rPr>
        <w:t>Many of our customers purchase on-boarding, training, and consulting services, and utilize other tools and Payments, which are designed to help customers enhance their ability to attract, engage and delight their customers using our CRM Platform. Professional services and other revenue accounted for 2% of total revenue for three and nine months ended September 30, 2022 and 3% of our total revenue for the three and nine months ended September 30, 2021.</w:t>
      </w:r>
    </w:p>
    <w:p>
      <w:pPr>
        <w:spacing w:after="0" w:line="154" w:lineRule="exact"/>
        <w:rPr>
          <w:sz w:val="20"/>
          <w:szCs w:val="20"/>
          <w:color w:val="auto"/>
        </w:rPr>
      </w:pPr>
    </w:p>
    <w:p>
      <w:pPr>
        <w:ind w:right="160" w:firstLine="544"/>
        <w:spacing w:after="0" w:line="261" w:lineRule="auto"/>
        <w:rPr>
          <w:sz w:val="20"/>
          <w:szCs w:val="20"/>
          <w:color w:val="auto"/>
        </w:rPr>
      </w:pPr>
      <w:r>
        <w:rPr>
          <w:rFonts w:ascii="Arial" w:cs="Arial" w:eastAsia="Arial" w:hAnsi="Arial"/>
          <w:sz w:val="18"/>
          <w:szCs w:val="18"/>
          <w:color w:val="auto"/>
        </w:rPr>
        <w:t>We have focused on rapidly growing our business and plan to continue to make investments to help us address some of the challenges facing us to support this growth, such as demand for our CRM Platform by existing and new customers, significant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ind w:right="240"/>
        <w:spacing w:after="0" w:line="261" w:lineRule="auto"/>
        <w:rPr>
          <w:sz w:val="20"/>
          <w:szCs w:val="20"/>
          <w:color w:val="auto"/>
        </w:rPr>
      </w:pPr>
      <w:r>
        <w:rPr>
          <w:rFonts w:ascii="Arial" w:cs="Arial" w:eastAsia="Arial" w:hAnsi="Arial"/>
          <w:sz w:val="18"/>
          <w:szCs w:val="18"/>
          <w:color w:val="auto"/>
        </w:rPr>
        <w:t>competition from other providers of marketing, sales, customer service, operations, and content management software and related applications and rapid technological change in our industry.</w:t>
      </w:r>
    </w:p>
    <w:p>
      <w:pPr>
        <w:spacing w:after="0" w:line="144" w:lineRule="exact"/>
        <w:rPr>
          <w:sz w:val="20"/>
          <w:szCs w:val="20"/>
          <w:color w:val="auto"/>
        </w:rPr>
      </w:pPr>
    </w:p>
    <w:p>
      <w:pPr>
        <w:ind w:right="80" w:firstLine="544"/>
        <w:spacing w:after="0" w:line="258" w:lineRule="auto"/>
        <w:rPr>
          <w:sz w:val="20"/>
          <w:szCs w:val="20"/>
          <w:color w:val="auto"/>
        </w:rPr>
      </w:pPr>
      <w:r>
        <w:rPr>
          <w:rFonts w:ascii="Arial" w:cs="Arial" w:eastAsia="Arial" w:hAnsi="Arial"/>
          <w:sz w:val="17"/>
          <w:szCs w:val="17"/>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continue to invest in sales and marketing and expand our international operations. We also expect to increase our investment in research and development as we continue to introduce new products and applications to extend the functionality of our CRM Platform. We also intend to maintain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Other Global Economic Conditions</w:t>
      </w:r>
    </w:p>
    <w:p>
      <w:pPr>
        <w:spacing w:after="0" w:line="189" w:lineRule="exact"/>
        <w:rPr>
          <w:sz w:val="20"/>
          <w:szCs w:val="20"/>
          <w:color w:val="auto"/>
        </w:rPr>
      </w:pPr>
    </w:p>
    <w:p>
      <w:pPr>
        <w:ind w:firstLine="544"/>
        <w:spacing w:after="0" w:line="244" w:lineRule="auto"/>
        <w:rPr>
          <w:sz w:val="20"/>
          <w:szCs w:val="20"/>
          <w:color w:val="auto"/>
        </w:rPr>
      </w:pPr>
      <w:r>
        <w:rPr>
          <w:rFonts w:ascii="Arial" w:cs="Arial" w:eastAsia="Arial" w:hAnsi="Arial"/>
          <w:sz w:val="18"/>
          <w:szCs w:val="18"/>
          <w:color w:val="auto"/>
        </w:rPr>
        <w:t>Our results of operations can be significantly influenced by general macroeconomic conditions, including, but not limited to, the impact of the pandemic, foreign currency fluctuations, interest rates, inflation, recession risks, existing and new domestic and foreign laws and regulations, all of which are beyond our control. Fluctuations in foreign exchange rates and rising inflation has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2022 and 2021</w:t>
      </w:r>
    </w:p>
    <w:p>
      <w:pPr>
        <w:spacing w:after="0" w:line="17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860" w:type="dxa"/>
        <w:tblCellMar>
          <w:top w:w="0" w:type="dxa"/>
          <w:left w:w="0" w:type="dxa"/>
          <w:bottom w:w="0" w:type="dxa"/>
          <w:right w:w="0" w:type="dxa"/>
        </w:tblCellMar>
      </w:tblPr>
      <w:tr>
        <w:trPr>
          <w:trHeight w:val="137"/>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tcPr>
          <w:p>
            <w:pPr>
              <w:jc w:val="right"/>
              <w:ind w:right="838"/>
              <w:spacing w:after="0" w:line="137"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1"/>
                <w:szCs w:val="11"/>
                <w:color w:val="auto"/>
              </w:rPr>
            </w:pPr>
          </w:p>
        </w:tc>
        <w:tc>
          <w:tcPr>
            <w:tcW w:w="1340" w:type="dxa"/>
            <w:vAlign w:val="bottom"/>
            <w:gridSpan w:val="5"/>
          </w:tcPr>
          <w:p>
            <w:pPr>
              <w:jc w:val="right"/>
              <w:spacing w:after="0" w:line="137" w:lineRule="exact"/>
              <w:rPr>
                <w:sz w:val="20"/>
                <w:szCs w:val="20"/>
                <w:color w:val="auto"/>
              </w:rPr>
            </w:pPr>
            <w:r>
              <w:rPr>
                <w:rFonts w:ascii="Arial" w:cs="Arial" w:eastAsia="Arial" w:hAnsi="Arial"/>
                <w:sz w:val="14"/>
                <w:szCs w:val="14"/>
                <w:b w:val="1"/>
                <w:bCs w:val="1"/>
                <w:color w:val="auto"/>
              </w:rPr>
              <w:t>Nine Months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598"/>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2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Ended September 30,</w:t>
            </w:r>
          </w:p>
        </w:tc>
      </w:tr>
      <w:tr>
        <w:trPr>
          <w:trHeight w:val="169"/>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435,030</w:t>
            </w:r>
          </w:p>
        </w:tc>
        <w:tc>
          <w:tcPr>
            <w:tcW w:w="240" w:type="dxa"/>
            <w:vAlign w:val="bottom"/>
          </w:tcPr>
          <w:p>
            <w:pPr>
              <w:spacing w:after="0"/>
              <w:rPr>
                <w:sz w:val="18"/>
                <w:szCs w:val="18"/>
                <w:color w:val="auto"/>
              </w:rPr>
            </w:pPr>
          </w:p>
        </w:tc>
        <w:tc>
          <w:tcPr>
            <w:tcW w:w="180" w:type="dxa"/>
            <w:vAlign w:val="bottom"/>
          </w:tcPr>
          <w:p>
            <w:pPr>
              <w:jc w:val="center"/>
              <w:ind w:right="3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328,975</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1,232,387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899,661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28,926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tcPr>
          <w:p>
            <w:pPr>
              <w:ind w:left="5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443,958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1,261,313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14,479</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12,059</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42,532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tcPr>
          <w:p>
            <w:pPr>
              <w:ind w:left="54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361,831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269,589</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1,027,315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744,131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114,038</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78,473</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325,687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218,973</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229,541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650,936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50,465</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36,027</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146,309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394,044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1,122,932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240" w:type="dxa"/>
            <w:vAlign w:val="bottom"/>
            <w:tcBorders>
              <w:bottom w:val="single" w:sz="8" w:color="CFF0FC"/>
              <w:righ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(14,927</w:t>
            </w:r>
          </w:p>
        </w:tc>
        <w:tc>
          <w:tcPr>
            <w:tcW w:w="180" w:type="dxa"/>
            <w:vAlign w:val="bottom"/>
            <w:tcBorders>
              <w:bottom w:val="single" w:sz="8" w:color="CFF0FC"/>
              <w:right w:val="single" w:sz="8" w:color="CFF0FC"/>
            </w:tcBorders>
            <w:shd w:val="clear" w:color="auto" w:fill="CFF0FC"/>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(95,617</w:t>
            </w:r>
          </w:p>
        </w:tc>
        <w:tc>
          <w:tcPr>
            <w:tcW w:w="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(46,561</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(923 )</w:t>
            </w:r>
          </w:p>
        </w:tc>
        <w:tc>
          <w:tcPr>
            <w:tcW w:w="18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8"/>
                <w:szCs w:val="18"/>
                <w:color w:val="auto"/>
              </w:rPr>
              <w:t>(7,798 )</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(2,822 )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(24,376 )</w:t>
            </w: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(1,185 )</w:t>
            </w: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(583 )</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xml:space="preserve">(12,266 </w:t>
            </w:r>
            <w:r>
              <w:rPr>
                <w:rFonts w:ascii="Arial" w:cs="Arial" w:eastAsia="Arial" w:hAnsi="Arial"/>
                <w:sz w:val="18"/>
                <w:szCs w:val="18"/>
                <w:color w:val="auto"/>
                <w:highlight w:val="white"/>
              </w:rPr>
              <w:t>)</w:t>
            </w:r>
          </w:p>
        </w:tc>
        <w:tc>
          <w:tcPr>
            <w:tcW w:w="120" w:type="dxa"/>
            <w:vAlign w:val="bottom"/>
          </w:tcPr>
          <w:p>
            <w:pPr>
              <w:spacing w:after="0"/>
              <w:rPr>
                <w:sz w:val="18"/>
                <w:szCs w:val="18"/>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(29,663</w:t>
            </w:r>
          </w:p>
        </w:tc>
        <w:tc>
          <w:tcPr>
            <w:tcW w:w="240" w:type="dxa"/>
            <w:vAlign w:val="bottom"/>
            <w:tcBorders>
              <w:righ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180" w:type="dxa"/>
            <w:vAlign w:val="bottom"/>
            <w:tcBorders>
              <w:right w:val="single" w:sz="8" w:color="CFF0FC"/>
            </w:tcBorders>
            <w:shd w:val="clear" w:color="auto" w:fill="CFF0FC"/>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(91,800</w:t>
            </w: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(58,827</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(1,748 )</w:t>
            </w:r>
          </w:p>
        </w:tc>
        <w:tc>
          <w:tcPr>
            <w:tcW w:w="18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8"/>
                <w:szCs w:val="18"/>
                <w:color w:val="auto"/>
              </w:rPr>
              <w:t>(1,117 )</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(5,313 )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(2,639 )</w:t>
            </w:r>
          </w:p>
        </w:tc>
        <w:tc>
          <w:tcPr>
            <w:tcW w:w="120" w:type="dxa"/>
            <w:vAlign w:val="bottom"/>
          </w:tcPr>
          <w:p>
            <w:pPr>
              <w:spacing w:after="0"/>
              <w:rPr>
                <w:sz w:val="18"/>
                <w:szCs w:val="18"/>
                <w:color w:val="auto"/>
              </w:rPr>
            </w:pPr>
          </w:p>
        </w:tc>
      </w:tr>
      <w:tr>
        <w:trPr>
          <w:trHeight w:val="250"/>
        </w:trPr>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(31,411</w:t>
            </w:r>
          </w:p>
        </w:tc>
        <w:tc>
          <w:tcPr>
            <w:tcW w:w="240" w:type="dxa"/>
            <w:vAlign w:val="bottom"/>
            <w:tcBorders>
              <w:bottom w:val="single" w:sz="8" w:color="CFF0FC"/>
              <w:righ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center"/>
              <w:ind w:right="3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180" w:type="dxa"/>
            <w:vAlign w:val="bottom"/>
            <w:tcBorders>
              <w:bottom w:val="single" w:sz="8" w:color="CFF0FC"/>
              <w:right w:val="single" w:sz="8" w:color="CFF0FC"/>
            </w:tcBorders>
            <w:shd w:val="clear" w:color="auto" w:fill="CFF0FC"/>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(97,113</w:t>
            </w:r>
          </w:p>
        </w:tc>
        <w:tc>
          <w:tcPr>
            <w:tcW w:w="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(61,466</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r>
      <w:tr>
        <w:trPr>
          <w:trHeight w:val="322"/>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right"/>
              <w:ind w:right="778"/>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24"/>
                <w:szCs w:val="24"/>
                <w:color w:val="auto"/>
              </w:rPr>
            </w:pPr>
          </w:p>
        </w:tc>
        <w:tc>
          <w:tcPr>
            <w:tcW w:w="1340" w:type="dxa"/>
            <w:vAlign w:val="bottom"/>
            <w:gridSpan w:val="5"/>
          </w:tcPr>
          <w:p>
            <w:pPr>
              <w:jc w:val="center"/>
              <w:ind w:left="373"/>
              <w:spacing w:after="0"/>
              <w:rPr>
                <w:sz w:val="20"/>
                <w:szCs w:val="20"/>
                <w:color w:val="auto"/>
              </w:rPr>
            </w:pPr>
            <w:r>
              <w:rPr>
                <w:rFonts w:ascii="Arial" w:cs="Arial" w:eastAsia="Arial" w:hAnsi="Arial"/>
                <w:sz w:val="14"/>
                <w:szCs w:val="14"/>
                <w:b w:val="1"/>
                <w:bCs w:val="1"/>
                <w:color w:val="auto"/>
                <w:w w:val="95"/>
              </w:rPr>
              <w:t>Nine Months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538"/>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2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1"/>
              </w:rPr>
              <w:t>Ended September 30,</w:t>
            </w:r>
          </w:p>
        </w:tc>
      </w:tr>
      <w:tr>
        <w:trPr>
          <w:trHeight w:val="169"/>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97 %</w:t>
            </w: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240" w:type="dxa"/>
            <w:vAlign w:val="bottom"/>
            <w:gridSpan w:val="3"/>
          </w:tcPr>
          <w:p>
            <w:pPr>
              <w:jc w:val="right"/>
              <w:ind w:right="37"/>
              <w:spacing w:after="0"/>
              <w:rPr>
                <w:sz w:val="20"/>
                <w:szCs w:val="20"/>
                <w:color w:val="auto"/>
              </w:rPr>
            </w:pPr>
            <w:r>
              <w:rPr>
                <w:rFonts w:ascii="Arial" w:cs="Arial" w:eastAsia="Arial" w:hAnsi="Arial"/>
                <w:sz w:val="18"/>
                <w:szCs w:val="18"/>
                <w:color w:val="auto"/>
              </w:rPr>
              <w:t>(0 )</w:t>
            </w:r>
          </w:p>
        </w:tc>
        <w:tc>
          <w:tcPr>
            <w:tcW w:w="1140" w:type="dxa"/>
            <w:vAlign w:val="bottom"/>
            <w:gridSpan w:val="2"/>
          </w:tcPr>
          <w:p>
            <w:pPr>
              <w:jc w:val="right"/>
              <w:ind w:right="58"/>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7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6"/>
                <w:szCs w:val="16"/>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gridSpan w:val="2"/>
          </w:tcPr>
          <w:p>
            <w:pPr>
              <w:spacing w:after="0"/>
              <w:rPr>
                <w:sz w:val="20"/>
                <w:szCs w:val="20"/>
                <w:color w:val="auto"/>
              </w:rPr>
            </w:pPr>
            <w:r>
              <w:rPr>
                <w:rFonts w:ascii="Arial" w:cs="Arial" w:eastAsia="Arial" w:hAnsi="Arial"/>
                <w:sz w:val="18"/>
                <w:szCs w:val="18"/>
                <w:color w:val="auto"/>
                <w:w w:val="72"/>
              </w:rPr>
              <w:t>)%</w:t>
            </w: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81"/>
              </w:rPr>
              <w:t>)%</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-6034405</wp:posOffset>
            </wp:positionV>
            <wp:extent cx="60325"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-6034405</wp:posOffset>
            </wp:positionV>
            <wp:extent cx="6032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-6034405</wp:posOffset>
            </wp:positionV>
            <wp:extent cx="6032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-6034405</wp:posOffset>
            </wp:positionV>
            <wp:extent cx="6032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-5468620</wp:posOffset>
            </wp:positionV>
            <wp:extent cx="6032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-5468620</wp:posOffset>
            </wp:positionV>
            <wp:extent cx="6032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-5468620</wp:posOffset>
            </wp:positionV>
            <wp:extent cx="6032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-5468620</wp:posOffset>
            </wp:positionV>
            <wp:extent cx="6032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-5177155</wp:posOffset>
            </wp:positionV>
            <wp:extent cx="6032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-5177155</wp:posOffset>
            </wp:positionV>
            <wp:extent cx="6032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-5177155</wp:posOffset>
            </wp:positionV>
            <wp:extent cx="6032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-5177155</wp:posOffset>
            </wp:positionV>
            <wp:extent cx="6032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-4619625</wp:posOffset>
            </wp:positionV>
            <wp:extent cx="6032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-4619625</wp:posOffset>
            </wp:positionV>
            <wp:extent cx="6032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-4619625</wp:posOffset>
            </wp:positionV>
            <wp:extent cx="6032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-4619625</wp:posOffset>
            </wp:positionV>
            <wp:extent cx="60325"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-4328795</wp:posOffset>
            </wp:positionV>
            <wp:extent cx="60325"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-4328795</wp:posOffset>
            </wp:positionV>
            <wp:extent cx="60325"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-4328795</wp:posOffset>
            </wp:positionV>
            <wp:extent cx="60325"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-4328795</wp:posOffset>
            </wp:positionV>
            <wp:extent cx="60325"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-3771265</wp:posOffset>
            </wp:positionV>
            <wp:extent cx="60325"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-3771265</wp:posOffset>
            </wp:positionV>
            <wp:extent cx="6032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-3771265</wp:posOffset>
            </wp:positionV>
            <wp:extent cx="6032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-3196590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-3179445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-3196590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-3179445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-3196590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-3179445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-3196590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-3179445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-2296795</wp:posOffset>
            </wp:positionV>
            <wp:extent cx="6032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-2296795</wp:posOffset>
            </wp:positionV>
            <wp:extent cx="6032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-2296795</wp:posOffset>
            </wp:positionV>
            <wp:extent cx="6032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-2296795</wp:posOffset>
            </wp:positionV>
            <wp:extent cx="6032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-1731010</wp:posOffset>
            </wp:positionV>
            <wp:extent cx="60325"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-1731010</wp:posOffset>
            </wp:positionV>
            <wp:extent cx="60325"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-1731010</wp:posOffset>
            </wp:positionV>
            <wp:extent cx="6032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-1731010</wp:posOffset>
            </wp:positionV>
            <wp:extent cx="60325"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-1439545</wp:posOffset>
            </wp:positionV>
            <wp:extent cx="60325"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-1439545</wp:posOffset>
            </wp:positionV>
            <wp:extent cx="6032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-1439545</wp:posOffset>
            </wp:positionV>
            <wp:extent cx="60325"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-1439545</wp:posOffset>
            </wp:positionV>
            <wp:extent cx="60325"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-882650</wp:posOffset>
            </wp:positionV>
            <wp:extent cx="6032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-882650</wp:posOffset>
            </wp:positionV>
            <wp:extent cx="6032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-882650</wp:posOffset>
            </wp:positionV>
            <wp:extent cx="6032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-882650</wp:posOffset>
            </wp:positionV>
            <wp:extent cx="6032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-162560</wp:posOffset>
            </wp:positionV>
            <wp:extent cx="606044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Three and Nine Months Ended September 30, 2022 Compared to the Three and Nine Months Ended September 30, 2021</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8"/>
              </w:rPr>
              <w:t>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8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840" w:type="dxa"/>
            <w:vAlign w:val="bottom"/>
            <w:gridSpan w:val="2"/>
          </w:tcPr>
          <w:p>
            <w:pPr>
              <w:ind w:left="200"/>
              <w:spacing w:after="0"/>
              <w:rPr>
                <w:sz w:val="20"/>
                <w:szCs w:val="20"/>
                <w:color w:val="auto"/>
              </w:rPr>
            </w:pPr>
            <w:r>
              <w:rPr>
                <w:rFonts w:ascii="Arial" w:cs="Arial" w:eastAsia="Arial" w:hAnsi="Arial"/>
                <w:sz w:val="14"/>
                <w:szCs w:val="14"/>
                <w:color w:val="auto"/>
              </w:rPr>
              <w:t>Subscription</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435,030</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328,975</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106,055</w:t>
            </w:r>
          </w:p>
        </w:tc>
        <w:tc>
          <w:tcPr>
            <w:tcW w:w="2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32 %</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$ 1,232,387</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899,661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332,726</w:t>
            </w:r>
          </w:p>
        </w:tc>
        <w:tc>
          <w:tcPr>
            <w:tcW w:w="2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5"/>
                <w:szCs w:val="15"/>
                <w:color w:val="auto"/>
              </w:rPr>
            </w:pPr>
          </w:p>
        </w:tc>
      </w:tr>
      <w:tr>
        <w:trPr>
          <w:trHeight w:val="176"/>
        </w:trPr>
        <w:tc>
          <w:tcPr>
            <w:tcW w:w="2840" w:type="dxa"/>
            <w:vAlign w:val="bottom"/>
            <w:gridSpan w:val="2"/>
          </w:tcPr>
          <w:p>
            <w:pPr>
              <w:ind w:left="200"/>
              <w:spacing w:after="0"/>
              <w:rPr>
                <w:sz w:val="20"/>
                <w:szCs w:val="20"/>
                <w:color w:val="auto"/>
              </w:rPr>
            </w:pPr>
            <w:r>
              <w:rPr>
                <w:rFonts w:ascii="Arial" w:cs="Arial" w:eastAsia="Arial" w:hAnsi="Arial"/>
                <w:sz w:val="14"/>
                <w:szCs w:val="14"/>
                <w:color w:val="auto"/>
              </w:rPr>
              <w:t>Professional services and other</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8,928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(1,292 )</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(13 )%</w:t>
            </w:r>
          </w:p>
        </w:tc>
        <w:tc>
          <w:tcPr>
            <w:tcW w:w="720" w:type="dxa"/>
            <w:vAlign w:val="bottom"/>
          </w:tcPr>
          <w:p>
            <w:pPr>
              <w:jc w:val="right"/>
              <w:spacing w:after="0"/>
              <w:rPr>
                <w:sz w:val="20"/>
                <w:szCs w:val="20"/>
                <w:color w:val="auto"/>
              </w:rPr>
            </w:pPr>
            <w:r>
              <w:rPr>
                <w:rFonts w:ascii="Arial" w:cs="Arial" w:eastAsia="Arial" w:hAnsi="Arial"/>
                <w:sz w:val="14"/>
                <w:szCs w:val="14"/>
                <w:color w:val="auto"/>
              </w:rPr>
              <w:t>28,926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31,688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(2,762 )</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(9 )%</w:t>
            </w:r>
          </w:p>
        </w:tc>
      </w:tr>
      <w:tr>
        <w:trPr>
          <w:trHeight w:val="169"/>
        </w:trPr>
        <w:tc>
          <w:tcPr>
            <w:tcW w:w="284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443,958</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339,195</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104,763</w:t>
            </w:r>
          </w:p>
        </w:tc>
        <w:tc>
          <w:tcPr>
            <w:tcW w:w="220" w:type="dxa"/>
            <w:vAlign w:val="bottom"/>
          </w:tcPr>
          <w:p>
            <w:pPr>
              <w:spacing w:after="0"/>
              <w:rPr>
                <w:sz w:val="14"/>
                <w:szCs w:val="14"/>
                <w:color w:val="auto"/>
              </w:rPr>
            </w:pPr>
          </w:p>
        </w:tc>
        <w:tc>
          <w:tcPr>
            <w:tcW w:w="13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31 %</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$ 1,261,313</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931,349</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329,964</w:t>
            </w:r>
          </w:p>
        </w:tc>
        <w:tc>
          <w:tcPr>
            <w:tcW w:w="220" w:type="dxa"/>
            <w:vAlign w:val="bottom"/>
          </w:tcPr>
          <w:p>
            <w:pPr>
              <w:spacing w:after="0"/>
              <w:rPr>
                <w:sz w:val="14"/>
                <w:szCs w:val="14"/>
                <w:color w:val="auto"/>
              </w:rPr>
            </w:pP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35 %</w:t>
            </w: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8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Subscription revenue increased during the three months ended September 30, 2022 compared to the same period in 2021 primarily due to the increase in Customers, which grew from 128,144 as of September 30, 2021 to 158,905 as of September 30, 2022. Average Subscription Revenue per Customer increased from $10,536 for the three months ended September 30, 2021 to $11,233 for the three months ended September 30, 2022. The growth in Customers was primarily driven by increased demand for our lower priced Starter products. The increase in Average Subscription Revenue per Customer was primarily driven by a continued demand for our Professional and Enterprise products, offset by continued purchases of our lower priced Starter products and the impact of foreign currency translation primarily attributable to the decline in the value of the Euro and British Pound Sterling relative to the U.S. Dollar.</w:t>
      </w:r>
    </w:p>
    <w:p>
      <w:pPr>
        <w:spacing w:after="0" w:line="147"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Professional services and other revenue decreased during the three months ended September 30, 2022 compared to the same period in 2021 primarily due to lower overall services revenue from onboardings and trainings, and lower fees earned from revenue share arrangements with third parties, partially offset by fees earned from Payments and other revenue streams.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7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Subscription revenue increased during the three months ended September 30, 2022 compared to the same period in 2021 primarily due to the increase in Customers, which grew from 128,144 as of September 30, 2021 to 158,905 as of September 30, 2022. Average Subscription Revenue per Customer increased from $10,305 for the nine months ended September 30, 2021 to $11,162 for the nine months ended September 30, 2022. The growth in Customers was primarily driven by our increased demand for our lower priced Starter products. The increase in Average Subscription Revenue per Customer was primarily driven by a continued demand for our Professional and Enterprise products, offset by continued purchases of our lower priced Starter products and the impact of foreign currency translation primarily attributable to the decline in the value of the Euro and British Pound Sterling relative to the U.S. Dollar.</w:t>
      </w:r>
    </w:p>
    <w:p>
      <w:pPr>
        <w:spacing w:after="0" w:line="160"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Professional services and other revenue decreased during the nine months ended September 30, 2022 compared to the same period in 2021 primarily due to non-recurring advertising revenue generated from our acquisition of the Hustle in the first quarter of 2021, lower overall services revenue from onboardings and trainings, and lower fees earned from revenue share arrangements with third parties, partially offset by fees earned from Payments and other revenue streams.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280" w:type="dxa"/>
            <w:vAlign w:val="bottom"/>
            <w:gridSpan w:val="2"/>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cost of revenue</w:t>
            </w: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82,127</w:t>
            </w: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69,606</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12,521</w:t>
            </w:r>
          </w:p>
        </w:tc>
        <w:tc>
          <w:tcPr>
            <w:tcW w:w="2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18</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233,998</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187,218</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46,780</w:t>
            </w:r>
          </w:p>
        </w:tc>
        <w:tc>
          <w:tcPr>
            <w:tcW w:w="22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5"/>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361,831</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269,589</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92,242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w w:val="87"/>
              </w:rPr>
              <w:t>34 %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1,027,315</w:t>
            </w:r>
          </w:p>
        </w:tc>
        <w:tc>
          <w:tcPr>
            <w:tcW w:w="2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744,131</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283,184</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38 %</w:t>
            </w:r>
          </w:p>
        </w:tc>
        <w:tc>
          <w:tcPr>
            <w:tcW w:w="20" w:type="dxa"/>
            <w:vAlign w:val="bottom"/>
          </w:tcPr>
          <w:p>
            <w:pPr>
              <w:spacing w:after="0"/>
              <w:rPr>
                <w:sz w:val="15"/>
                <w:szCs w:val="15"/>
                <w:color w:val="auto"/>
              </w:rPr>
            </w:pPr>
          </w:p>
        </w:tc>
      </w:tr>
      <w:tr>
        <w:trPr>
          <w:trHeight w:val="176"/>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Gross margin percentage</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82 %</w:t>
            </w:r>
          </w:p>
        </w:tc>
        <w:tc>
          <w:tcPr>
            <w:tcW w:w="3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79 %</w:t>
            </w: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81 %</w:t>
            </w:r>
          </w:p>
        </w:tc>
        <w:tc>
          <w:tcPr>
            <w:tcW w:w="2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80 %</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bl>
    <w:p>
      <w:pPr>
        <w:spacing w:after="0" w:line="161" w:lineRule="exact"/>
        <w:rPr>
          <w:sz w:val="20"/>
          <w:szCs w:val="20"/>
          <w:color w:val="auto"/>
        </w:rPr>
      </w:pPr>
    </w:p>
    <w:p>
      <w:pPr>
        <w:jc w:val="both"/>
        <w:ind w:right="320" w:firstLine="509"/>
        <w:spacing w:after="0" w:line="278" w:lineRule="auto"/>
        <w:rPr>
          <w:sz w:val="20"/>
          <w:szCs w:val="20"/>
          <w:color w:val="auto"/>
        </w:rPr>
      </w:pPr>
      <w:r>
        <w:rPr>
          <w:rFonts w:ascii="Arial" w:cs="Arial" w:eastAsia="Arial" w:hAnsi="Arial"/>
          <w:sz w:val="17"/>
          <w:szCs w:val="17"/>
          <w:color w:val="auto"/>
        </w:rPr>
        <w:t>Total cost of revenue for the three and nine months ended September 30, 2022 increased compared to the same period in 2021 primarily due to an increase in subscription and hosting costs, employee-related costs, amortization of capitalized software development costs, and amortization of acquired technology, offset by a decrease in allocated overhead expenses. Gross margins remained consistent year-over-year.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Subscription cost of revenue</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67,648</w:t>
            </w: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57,547</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10,101</w:t>
            </w: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18</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191,466</w:t>
            </w:r>
          </w:p>
        </w:tc>
        <w:tc>
          <w:tcPr>
            <w:tcW w:w="20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152,533</w:t>
            </w:r>
          </w:p>
        </w:tc>
        <w:tc>
          <w:tcPr>
            <w:tcW w:w="22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   38,933</w:t>
            </w:r>
          </w:p>
        </w:tc>
        <w:tc>
          <w:tcPr>
            <w:tcW w:w="22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Percentage of subscription revenue</w:t>
            </w:r>
          </w:p>
        </w:tc>
        <w:tc>
          <w:tcPr>
            <w:tcW w:w="1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16 %</w:t>
            </w: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16 %</w:t>
            </w:r>
          </w:p>
        </w:tc>
        <w:tc>
          <w:tcPr>
            <w:tcW w:w="3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17 %</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3" w:right="259" w:bottom="1440" w:gutter="0" w:footer="0" w:header="0"/>
        </w:sectPr>
      </w:pPr>
    </w:p>
    <w:bookmarkStart w:id="25" w:name="page26"/>
    <w:bookmarkEnd w:id="25"/>
    <w:p>
      <w:pPr>
        <w:ind w:right="420" w:firstLine="509"/>
        <w:spacing w:after="0" w:line="261" w:lineRule="auto"/>
        <w:rPr>
          <w:sz w:val="20"/>
          <w:szCs w:val="20"/>
          <w:color w:val="auto"/>
        </w:rPr>
      </w:pPr>
      <w:r>
        <w:rPr>
          <w:rFonts w:ascii="Arial" w:cs="Arial" w:eastAsia="Arial" w:hAnsi="Arial"/>
          <w:sz w:val="18"/>
          <w:szCs w:val="18"/>
          <w:color w:val="auto"/>
        </w:rPr>
        <w:t>The increase in subscription cost of revenue for the three and nine months ended September 30, 2022 compared to the same period in 2021 was primarily due to the following:</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Three Months</w:t>
            </w:r>
          </w:p>
        </w:tc>
        <w:tc>
          <w:tcPr>
            <w:tcW w:w="180" w:type="dxa"/>
            <w:vAlign w:val="bottom"/>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7"/>
              </w:rPr>
              <w:t>Nine Months</w:t>
            </w:r>
          </w:p>
        </w:tc>
        <w:tc>
          <w:tcPr>
            <w:tcW w:w="80" w:type="dxa"/>
            <w:vAlign w:val="bottom"/>
          </w:tcPr>
          <w:p>
            <w:pPr>
              <w:spacing w:after="0"/>
              <w:rPr>
                <w:sz w:val="18"/>
                <w:szCs w:val="18"/>
                <w:color w:val="auto"/>
              </w:rPr>
            </w:pPr>
          </w:p>
        </w:tc>
      </w:tr>
      <w:tr>
        <w:trPr>
          <w:trHeight w:val="169"/>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22,402</w:t>
            </w:r>
          </w:p>
        </w:tc>
        <w:tc>
          <w:tcPr>
            <w:tcW w:w="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Employee-related costs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9,525</w:t>
            </w:r>
          </w:p>
        </w:tc>
        <w:tc>
          <w:tcPr>
            <w:tcW w:w="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(509 )</w:t>
            </w:r>
          </w:p>
        </w:tc>
        <w:tc>
          <w:tcPr>
            <w:tcW w:w="80" w:type="dxa"/>
            <w:vAlign w:val="bottom"/>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(109 )</w:t>
            </w:r>
          </w:p>
        </w:tc>
      </w:tr>
      <w:tr>
        <w:trPr>
          <w:trHeight w:val="209"/>
        </w:trPr>
        <w:tc>
          <w:tcPr>
            <w:tcW w:w="50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38,933</w:t>
            </w:r>
          </w:p>
        </w:tc>
        <w:tc>
          <w:tcPr>
            <w:tcW w:w="80" w:type="dxa"/>
            <w:vAlign w:val="bottom"/>
            <w:tcBorders>
              <w:top w:val="single" w:sz="8" w:color="CFF0FC"/>
            </w:tcBorders>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8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6"/>
          <w:szCs w:val="16"/>
          <w:color w:val="auto"/>
        </w:rPr>
        <w:t>Subscription and hosting costs increased primarily due to growth in our Customer base from 128,144 as of September 30, 2021 to 158,905 as of September 30, 2022. We also saw higher subscription and hosting costs as we continued to focus on the security, reliability and performance of our CRM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Allocated overhead expenses decreased primarily due to the reduction of our leased space.</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8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Subscription and hosting costs increased primarily due to growth in our Customer base from 128,144 as of September 30, 2021 to 158,905 as of September 30, 2022. We also saw higher subscription and hosting costs as we launched an additional data center in the third quarter of 2021 and continued to focus on the security, reliability and performance of our CRM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Allocated overhead expenses decreased primarily due to the reduction of our leased space.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37"/>
        </w:trPr>
        <w:tc>
          <w:tcPr>
            <w:tcW w:w="2340" w:type="dxa"/>
            <w:vAlign w:val="bottom"/>
            <w:tcBorders>
              <w:top w:val="single" w:sz="8" w:color="auto"/>
            </w:tcBorders>
            <w:shd w:val="clear" w:color="auto" w:fill="CFF0FC"/>
          </w:tcPr>
          <w:p>
            <w:pPr>
              <w:ind w:left="20"/>
              <w:spacing w:after="0" w:line="137" w:lineRule="exact"/>
              <w:rPr>
                <w:sz w:val="20"/>
                <w:szCs w:val="20"/>
                <w:color w:val="auto"/>
              </w:rPr>
            </w:pPr>
            <w:r>
              <w:rPr>
                <w:rFonts w:ascii="Arial" w:cs="Arial" w:eastAsia="Arial" w:hAnsi="Arial"/>
                <w:sz w:val="14"/>
                <w:szCs w:val="14"/>
                <w:color w:val="auto"/>
              </w:rPr>
              <w:t>Professional services and other</w:t>
            </w:r>
          </w:p>
        </w:tc>
        <w:tc>
          <w:tcPr>
            <w:tcW w:w="1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24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cost of revenue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14,479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12,059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2,420</w:t>
            </w:r>
          </w:p>
        </w:tc>
        <w:tc>
          <w:tcPr>
            <w:tcW w:w="160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20 %  $</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42,532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34,685</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7,847</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5"/>
                <w:szCs w:val="15"/>
                <w:color w:val="auto"/>
              </w:rPr>
            </w:pPr>
          </w:p>
        </w:tc>
      </w:tr>
      <w:tr>
        <w:trPr>
          <w:trHeight w:val="143"/>
        </w:trPr>
        <w:tc>
          <w:tcPr>
            <w:tcW w:w="24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Percentage of professional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2460" w:type="dxa"/>
            <w:vAlign w:val="bottom"/>
            <w:gridSpan w:val="2"/>
          </w:tcPr>
          <w:p>
            <w:pPr>
              <w:ind w:left="100"/>
              <w:spacing w:after="0"/>
              <w:rPr>
                <w:sz w:val="20"/>
                <w:szCs w:val="20"/>
                <w:color w:val="auto"/>
              </w:rPr>
            </w:pPr>
            <w:r>
              <w:rPr>
                <w:rFonts w:ascii="Arial" w:cs="Arial" w:eastAsia="Arial" w:hAnsi="Arial"/>
                <w:sz w:val="14"/>
                <w:szCs w:val="14"/>
                <w:color w:val="auto"/>
              </w:rPr>
              <w:t>services and other revenue</w:t>
            </w:r>
          </w:p>
        </w:tc>
        <w:tc>
          <w:tcPr>
            <w:tcW w:w="1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162 %</w:t>
            </w: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147 %</w:t>
            </w:r>
          </w:p>
        </w:tc>
        <w:tc>
          <w:tcPr>
            <w:tcW w:w="3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109 %</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60"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auto"/>
        </w:rPr>
        <w:t>The increase in professional services and other cost of revenue for three and nine months ended September 30, 2022 compared to the same period in 2021 was primarily due to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9"/>
              </w:rPr>
              <w:t>Nine Months</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2640" w:type="dxa"/>
            <w:vAlign w:val="bottom"/>
            <w:gridSpan w:val="2"/>
            <w:shd w:val="clear" w:color="auto" w:fill="CFF0FC"/>
          </w:tcPr>
          <w:p>
            <w:pPr>
              <w:jc w:val="right"/>
              <w:ind w:right="11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2,333</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Allocated overhead and other expenses</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(346 )</w:t>
            </w:r>
          </w:p>
        </w:tc>
        <w:tc>
          <w:tcPr>
            <w:tcW w:w="80" w:type="dxa"/>
            <w:vAlign w:val="bottom"/>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(555 )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2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2,420</w:t>
            </w:r>
          </w:p>
        </w:tc>
        <w:tc>
          <w:tcPr>
            <w:tcW w:w="10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-659130</wp:posOffset>
            </wp:positionV>
            <wp:extent cx="5969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Employee-related costs increased as a result of increased headcount as we grew our professional services organization to support our customer growth. Allocated overhead and other expenses increased primarily due to increased costs associated with our service offerings, offset slightly by a decrease in expense from the reduction of our leased space. Professional fees decreased due to a reduction in the use of third-party services and contractors.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71"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Employee-related costs increased as a result of increased headcount as we grew our professional services organization to support our customer growth. Allocated overhead and other expenses increased primarily due to increased costs associated with our service offerings, offset slightly by a decrease in expense from the reduction of our leased space. Professional fees decreased due to a reduction in the use of third-party services and contractors.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   114,038</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78,473</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35,565</w:t>
            </w:r>
          </w:p>
        </w:tc>
        <w:tc>
          <w:tcPr>
            <w:tcW w:w="20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45</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w:t>
            </w: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325,687</w:t>
            </w: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218,973</w:t>
            </w:r>
          </w:p>
        </w:tc>
        <w:tc>
          <w:tcPr>
            <w:tcW w:w="2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   106,714</w:t>
            </w:r>
          </w:p>
        </w:tc>
        <w:tc>
          <w:tcPr>
            <w:tcW w:w="2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Percentage of total revenue</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26 %</w:t>
            </w:r>
          </w:p>
        </w:tc>
        <w:tc>
          <w:tcPr>
            <w:tcW w:w="1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23 %</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26 %</w:t>
            </w:r>
          </w:p>
        </w:tc>
        <w:tc>
          <w:tcPr>
            <w:tcW w:w="3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24 %</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5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increase in research and development expense for the three and nine months ended September 30, 2022 compared to the same period in 2021 was primarily due to the following:</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ind w:left="142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69"/>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71"/>
              </w:rPr>
              <w:t>thousands)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35,299</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shd w:val="clear" w:color="auto" w:fill="CFF0FC"/>
          </w:tcPr>
          <w:p>
            <w:pPr>
              <w:jc w:val="center"/>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108,946</w:t>
            </w:r>
          </w:p>
        </w:tc>
        <w:tc>
          <w:tcPr>
            <w:tcW w:w="80" w:type="dxa"/>
            <w:vAlign w:val="bottom"/>
            <w:shd w:val="clear" w:color="auto" w:fill="CFF0FC"/>
          </w:tcPr>
          <w:p>
            <w:pPr>
              <w:spacing w:after="0"/>
              <w:rPr>
                <w:sz w:val="18"/>
                <w:szCs w:val="18"/>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19"/>
                <w:szCs w:val="19"/>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Hosting expenses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(4,623 )</w:t>
            </w:r>
          </w:p>
        </w:tc>
      </w:tr>
      <w:tr>
        <w:trPr>
          <w:trHeight w:val="209"/>
        </w:trPr>
        <w:tc>
          <w:tcPr>
            <w:tcW w:w="50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35,565</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106,714</w:t>
            </w:r>
          </w:p>
        </w:tc>
        <w:tc>
          <w:tcPr>
            <w:tcW w:w="80" w:type="dxa"/>
            <w:vAlign w:val="bottom"/>
            <w:tcBorders>
              <w:top w:val="single" w:sz="8" w:color="CFF0FC"/>
            </w:tcBorders>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032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 and expand headcount. In July of 2021, we launched a new data center and the ongoing expenses related to the hosting of our CRM Platform on that data center are classified as subscription cost of revenue. As such, there was no change in hosting expenses.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8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 and expand headcount. Hosting expense decreased due to incremental spend in the first half of 2021 associated with product development infrastructure that is unrelated to the hosting of our CRM Platform for paying Customers. In July of 2021, we launched a new data center and the ongoing expenses related to the hosting of our CRM Platform on that data center are classified as subscription cost of revenue.</w:t>
      </w:r>
    </w:p>
    <w:p>
      <w:pPr>
        <w:spacing w:after="0" w:line="3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Ended September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3"/>
              </w:rPr>
              <w:t>2021</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229,541</w:t>
            </w: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170,016</w:t>
            </w:r>
          </w:p>
        </w:tc>
        <w:tc>
          <w:tcPr>
            <w:tcW w:w="24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   59,525</w:t>
            </w:r>
          </w:p>
        </w:tc>
        <w:tc>
          <w:tcPr>
            <w:tcW w:w="2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35</w:t>
            </w:r>
          </w:p>
        </w:tc>
        <w:tc>
          <w:tcPr>
            <w:tcW w:w="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650,936</w:t>
            </w: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468,836</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182,100</w:t>
            </w:r>
          </w:p>
        </w:tc>
        <w:tc>
          <w:tcPr>
            <w:tcW w:w="2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82"/>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Percentage of total revenue</w:t>
            </w:r>
          </w:p>
        </w:tc>
        <w:tc>
          <w:tcPr>
            <w:tcW w:w="2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52 %</w:t>
            </w:r>
          </w:p>
        </w:tc>
        <w:tc>
          <w:tcPr>
            <w:tcW w:w="3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50 %</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52 %</w:t>
            </w:r>
          </w:p>
        </w:tc>
        <w:tc>
          <w:tcPr>
            <w:tcW w:w="3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7" w:name="page28"/>
    <w:bookmarkEnd w:id="27"/>
    <w:p>
      <w:pPr>
        <w:ind w:right="380" w:firstLine="509"/>
        <w:spacing w:after="0" w:line="261" w:lineRule="auto"/>
        <w:rPr>
          <w:sz w:val="20"/>
          <w:szCs w:val="20"/>
          <w:color w:val="auto"/>
        </w:rPr>
      </w:pPr>
      <w:r>
        <w:rPr>
          <w:rFonts w:ascii="Arial" w:cs="Arial" w:eastAsia="Arial" w:hAnsi="Arial"/>
          <w:sz w:val="18"/>
          <w:szCs w:val="18"/>
          <w:color w:val="auto"/>
        </w:rPr>
        <w:t>The increase in sales and marketing expense for the three and nine months ended September 30, 2022 compared to the same period in 2021 was primarily due to the following:</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Change</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6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69"/>
        </w:trPr>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3"/>
          </w:tcPr>
          <w:p>
            <w:pPr>
              <w:jc w:val="right"/>
              <w:ind w:right="50"/>
              <w:spacing w:after="0"/>
              <w:rPr>
                <w:sz w:val="20"/>
                <w:szCs w:val="20"/>
                <w:color w:val="auto"/>
              </w:rPr>
            </w:pPr>
            <w:r>
              <w:rPr>
                <w:rFonts w:ascii="Arial" w:cs="Arial" w:eastAsia="Arial" w:hAnsi="Arial"/>
                <w:sz w:val="13"/>
                <w:szCs w:val="13"/>
                <w:b w:val="1"/>
                <w:bCs w:val="1"/>
                <w:color w:val="auto"/>
                <w:w w:val="71"/>
              </w:rPr>
              <w:t>thousands)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8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48,348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139,765</w:t>
            </w:r>
          </w:p>
        </w:tc>
        <w:tc>
          <w:tcPr>
            <w:tcW w:w="8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19,999</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Marketing programs</w:t>
            </w: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13,111</w:t>
            </w:r>
          </w:p>
        </w:tc>
        <w:tc>
          <w:tcPr>
            <w:tcW w:w="8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8,544</w:t>
            </w:r>
          </w:p>
        </w:tc>
        <w:tc>
          <w:tcPr>
            <w:tcW w:w="80" w:type="dxa"/>
            <w:vAlign w:val="bottom"/>
          </w:tcPr>
          <w:p>
            <w:pPr>
              <w:spacing w:after="0"/>
              <w:rPr>
                <w:sz w:val="19"/>
                <w:szCs w:val="19"/>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intangible asset</w:t>
            </w:r>
          </w:p>
        </w:tc>
        <w:tc>
          <w:tcPr>
            <w:tcW w:w="14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spacing w:after="0"/>
              <w:rPr>
                <w:sz w:val="18"/>
                <w:szCs w:val="18"/>
                <w:color w:val="auto"/>
              </w:rPr>
            </w:pPr>
          </w:p>
        </w:tc>
        <w:tc>
          <w:tcPr>
            <w:tcW w:w="1480" w:type="dxa"/>
            <w:vAlign w:val="bottom"/>
            <w:tcBorders>
              <w:bottom w:val="single" w:sz="8" w:color="auto"/>
            </w:tcBorders>
          </w:tcPr>
          <w:p>
            <w:pPr>
              <w:jc w:val="right"/>
              <w:ind w:right="12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182,100</w:t>
            </w:r>
          </w:p>
        </w:tc>
        <w:tc>
          <w:tcPr>
            <w:tcW w:w="8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5969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85"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made investments in attracting new customers. Allocated overhead expenses increased due to an increase in shared company expenses associated with our systems and infrastructure as we continued to grow our business, offset slightly by a decrease in expense from the reduction of our leased space. Amortization of intangible assets increased primarily due to the purchase of a domain name in the second quarter of 2022.</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71"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continue to make investments in attracting new customers. Allocated overhead expenses increased due to an increase in shared company expenses associated with our systems and infrastructure as we continued to grow our business, offset slightly by a decrease in expense from the reduction of our leased space. Amortization of intangible assets increased primarily due to the purchase of a domain name in the second quarter of 2022.</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Ended September 30,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50,465</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36,027</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14,438</w:t>
            </w:r>
          </w:p>
        </w:tc>
        <w:tc>
          <w:tcPr>
            <w:tcW w:w="2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40</w:t>
            </w: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146,309</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102,883</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43,426</w:t>
            </w: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82"/>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Percentage of total revenue</w:t>
            </w:r>
          </w:p>
        </w:tc>
        <w:tc>
          <w:tcPr>
            <w:tcW w:w="1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11 %</w:t>
            </w:r>
          </w:p>
        </w:tc>
        <w:tc>
          <w:tcPr>
            <w:tcW w:w="2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11 %</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12 %</w:t>
            </w:r>
          </w:p>
        </w:tc>
        <w:tc>
          <w:tcPr>
            <w:tcW w:w="1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increase in general and administrative expense for the three and nine months ended September 30, 2022 compared to the same period in 2021 was primarily due to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69"/>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ind w:right="98"/>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ind w:right="10"/>
              <w:spacing w:after="0"/>
              <w:rPr>
                <w:sz w:val="20"/>
                <w:szCs w:val="20"/>
                <w:color w:val="auto"/>
              </w:rPr>
            </w:pPr>
            <w:r>
              <w:rPr>
                <w:rFonts w:ascii="Arial" w:cs="Arial" w:eastAsia="Arial" w:hAnsi="Arial"/>
                <w:sz w:val="13"/>
                <w:szCs w:val="13"/>
                <w:b w:val="1"/>
                <w:bCs w:val="1"/>
                <w:color w:val="auto"/>
                <w:w w:val="71"/>
              </w:rPr>
              <w:t>thousands)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35,862</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Customer credit card fees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5,697</w:t>
            </w:r>
          </w:p>
        </w:tc>
        <w:tc>
          <w:tcPr>
            <w:tcW w:w="8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43,426</w:t>
            </w: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60325"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140" w:firstLine="509"/>
        <w:spacing w:after="0" w:line="303" w:lineRule="auto"/>
        <w:rPr>
          <w:sz w:val="20"/>
          <w:szCs w:val="20"/>
          <w:color w:val="auto"/>
        </w:rPr>
      </w:pPr>
      <w:r>
        <w:rPr>
          <w:rFonts w:ascii="Arial" w:cs="Arial" w:eastAsia="Arial" w:hAnsi="Arial"/>
          <w:sz w:val="16"/>
          <w:szCs w:val="16"/>
          <w:color w:val="auto"/>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8" w:name="page29"/>
    <w:bookmarkEnd w:id="28"/>
    <w:p>
      <w:pPr>
        <w:ind w:right="220" w:firstLine="509"/>
        <w:spacing w:after="0" w:line="294" w:lineRule="auto"/>
        <w:rPr>
          <w:sz w:val="20"/>
          <w:szCs w:val="20"/>
          <w:color w:val="auto"/>
        </w:rPr>
      </w:pPr>
      <w:r>
        <w:rPr>
          <w:rFonts w:ascii="Arial" w:cs="Arial" w:eastAsia="Arial" w:hAnsi="Arial"/>
          <w:sz w:val="16"/>
          <w:szCs w:val="16"/>
          <w:color w:val="auto"/>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right"/>
              <w:ind w:right="421"/>
              <w:spacing w:after="0"/>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2"/>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3"/>
                <w:szCs w:val="13"/>
                <w:b w:val="1"/>
                <w:bCs w:val="1"/>
                <w:color w:val="auto"/>
              </w:rPr>
              <w:t>Ended September 30,</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3"/>
                <w:szCs w:val="13"/>
                <w:b w:val="1"/>
                <w:bCs w:val="1"/>
                <w:color w:val="auto"/>
              </w:rPr>
              <w:t>Ended September 30,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4"/>
        </w:trPr>
        <w:tc>
          <w:tcPr>
            <w:tcW w:w="27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5"/>
                <w:szCs w:val="15"/>
                <w:color w:val="auto"/>
              </w:rPr>
            </w:pPr>
          </w:p>
        </w:tc>
        <w:tc>
          <w:tcPr>
            <w:tcW w:w="1320" w:type="dxa"/>
            <w:vAlign w:val="bottom"/>
            <w:gridSpan w:val="2"/>
          </w:tcPr>
          <w:p>
            <w:pPr>
              <w:jc w:val="right"/>
              <w:ind w:right="375"/>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5"/>
                <w:szCs w:val="15"/>
                <w:color w:val="auto"/>
              </w:rPr>
            </w:pPr>
          </w:p>
        </w:tc>
        <w:tc>
          <w:tcPr>
            <w:tcW w:w="700" w:type="dxa"/>
            <w:vAlign w:val="bottom"/>
          </w:tcPr>
          <w:p>
            <w:pPr>
              <w:jc w:val="right"/>
              <w:ind w:right="24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ind w:right="221"/>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5"/>
                <w:szCs w:val="15"/>
                <w:color w:val="auto"/>
              </w:rPr>
            </w:pPr>
          </w:p>
        </w:tc>
        <w:tc>
          <w:tcPr>
            <w:tcW w:w="126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 Change</w:t>
            </w:r>
          </w:p>
        </w:tc>
      </w:tr>
      <w:tr>
        <w:trPr>
          <w:trHeight w:val="179"/>
        </w:trPr>
        <w:tc>
          <w:tcPr>
            <w:tcW w:w="262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4,658</w:t>
            </w:r>
          </w:p>
        </w:tc>
        <w:tc>
          <w:tcPr>
            <w:tcW w:w="240" w:type="dxa"/>
            <w:vAlign w:val="bottom"/>
          </w:tcPr>
          <w:p>
            <w:pPr>
              <w:spacing w:after="0"/>
              <w:rPr>
                <w:sz w:val="15"/>
                <w:szCs w:val="15"/>
                <w:color w:val="auto"/>
              </w:rPr>
            </w:pPr>
          </w:p>
        </w:tc>
        <w:tc>
          <w:tcPr>
            <w:tcW w:w="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230</w:t>
            </w:r>
          </w:p>
        </w:tc>
        <w:tc>
          <w:tcPr>
            <w:tcW w:w="240" w:type="dxa"/>
            <w:vAlign w:val="bottom"/>
          </w:tcPr>
          <w:p>
            <w:pPr>
              <w:spacing w:after="0"/>
              <w:rPr>
                <w:sz w:val="15"/>
                <w:szCs w:val="15"/>
                <w:color w:val="auto"/>
              </w:rPr>
            </w:pPr>
          </w:p>
        </w:tc>
        <w:tc>
          <w:tcPr>
            <w:tcW w:w="6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97"/>
              </w:rPr>
              <w:t>$  4,428</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1925</w:t>
            </w:r>
          </w:p>
        </w:tc>
        <w:tc>
          <w:tcPr>
            <w:tcW w:w="220" w:type="dxa"/>
            <w:vAlign w:val="bottom"/>
          </w:tcPr>
          <w:p>
            <w:pPr>
              <w:jc w:val="right"/>
              <w:spacing w:after="0" w:line="180" w:lineRule="exact"/>
              <w:rPr>
                <w:sz w:val="20"/>
                <w:szCs w:val="20"/>
                <w:color w:val="auto"/>
              </w:rPr>
            </w:pPr>
            <w:r>
              <w:rPr>
                <w:rFonts w:ascii="Arial" w:cs="Arial" w:eastAsia="Arial" w:hAnsi="Arial"/>
                <w:sz w:val="17"/>
                <w:szCs w:val="17"/>
                <w:color w:val="auto"/>
                <w:w w:val="92"/>
              </w:rPr>
              <w:t>%</w:t>
            </w:r>
          </w:p>
        </w:tc>
        <w:tc>
          <w:tcPr>
            <w:tcW w:w="200" w:type="dxa"/>
            <w:vAlign w:val="bottom"/>
            <w:tcBorders>
              <w:top w:val="single" w:sz="8" w:color="auto"/>
            </w:tcBorders>
          </w:tcPr>
          <w:p>
            <w:pPr>
              <w:jc w:val="right"/>
              <w:ind w:right="15"/>
              <w:spacing w:after="0" w:line="180"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7,222</w:t>
            </w:r>
          </w:p>
        </w:tc>
        <w:tc>
          <w:tcPr>
            <w:tcW w:w="220" w:type="dxa"/>
            <w:vAlign w:val="bottom"/>
          </w:tcPr>
          <w:p>
            <w:pPr>
              <w:spacing w:after="0"/>
              <w:rPr>
                <w:sz w:val="15"/>
                <w:szCs w:val="15"/>
                <w:color w:val="auto"/>
              </w:rPr>
            </w:pPr>
          </w:p>
        </w:tc>
        <w:tc>
          <w:tcPr>
            <w:tcW w:w="260" w:type="dxa"/>
            <w:vAlign w:val="bottom"/>
            <w:tcBorders>
              <w:top w:val="single" w:sz="8" w:color="auto"/>
            </w:tcBorders>
          </w:tcPr>
          <w:p>
            <w:pPr>
              <w:jc w:val="right"/>
              <w:ind w:right="75"/>
              <w:spacing w:after="0" w:line="180"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1,046</w:t>
            </w:r>
          </w:p>
        </w:tc>
        <w:tc>
          <w:tcPr>
            <w:tcW w:w="220" w:type="dxa"/>
            <w:vAlign w:val="bottom"/>
          </w:tcPr>
          <w:p>
            <w:pPr>
              <w:spacing w:after="0"/>
              <w:rPr>
                <w:sz w:val="15"/>
                <w:szCs w:val="15"/>
                <w:color w:val="auto"/>
              </w:rPr>
            </w:pPr>
          </w:p>
        </w:tc>
        <w:tc>
          <w:tcPr>
            <w:tcW w:w="6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94"/>
              </w:rPr>
              <w:t>$  6,176</w:t>
            </w: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590</w:t>
            </w:r>
          </w:p>
        </w:tc>
        <w:tc>
          <w:tcPr>
            <w:tcW w:w="140" w:type="dxa"/>
            <w:vAlign w:val="bottom"/>
          </w:tcPr>
          <w:p>
            <w:pPr>
              <w:jc w:val="right"/>
              <w:spacing w:after="0" w:line="180" w:lineRule="exact"/>
              <w:rPr>
                <w:sz w:val="20"/>
                <w:szCs w:val="20"/>
                <w:color w:val="auto"/>
              </w:rPr>
            </w:pPr>
            <w:r>
              <w:rPr>
                <w:rFonts w:ascii="Arial" w:cs="Arial" w:eastAsia="Arial" w:hAnsi="Arial"/>
                <w:sz w:val="17"/>
                <w:szCs w:val="17"/>
                <w:color w:val="auto"/>
                <w:w w:val="79"/>
              </w:rPr>
              <w:t>%</w:t>
            </w: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1 %</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1 %</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85" w:lineRule="exact"/>
        <w:rPr>
          <w:sz w:val="20"/>
          <w:szCs w:val="20"/>
          <w:color w:val="auto"/>
        </w:rPr>
      </w:pPr>
    </w:p>
    <w:p>
      <w:pPr>
        <w:ind w:right="220" w:firstLine="544"/>
        <w:spacing w:after="0" w:line="261"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increase during the three and nine months ended September 30, 2022 is due to an increase in yields on our investment balances.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Three Months</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4"/>
          </w:tcPr>
          <w:p>
            <w:pPr>
              <w:jc w:val="center"/>
              <w:ind w:left="5"/>
              <w:spacing w:after="0"/>
              <w:rPr>
                <w:sz w:val="20"/>
                <w:szCs w:val="20"/>
                <w:color w:val="auto"/>
              </w:rPr>
            </w:pPr>
            <w:r>
              <w:rPr>
                <w:rFonts w:ascii="Arial" w:cs="Arial" w:eastAsia="Arial" w:hAnsi="Arial"/>
                <w:sz w:val="13"/>
                <w:szCs w:val="13"/>
                <w:b w:val="1"/>
                <w:bCs w:val="1"/>
                <w:color w:val="auto"/>
                <w:w w:val="97"/>
              </w:rPr>
              <w:t>Nine Months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4"/>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Ended September 30,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tcPr>
          <w:p>
            <w:pPr>
              <w:jc w:val="center"/>
              <w:ind w:left="45"/>
              <w:spacing w:after="0"/>
              <w:rPr>
                <w:sz w:val="20"/>
                <w:szCs w:val="20"/>
                <w:color w:val="auto"/>
              </w:rPr>
            </w:pPr>
            <w:r>
              <w:rPr>
                <w:rFonts w:ascii="Arial" w:cs="Arial" w:eastAsia="Arial" w:hAnsi="Arial"/>
                <w:sz w:val="13"/>
                <w:szCs w:val="13"/>
                <w:b w:val="1"/>
                <w:bCs w:val="1"/>
                <w:color w:val="auto"/>
                <w:w w:val="93"/>
              </w:rPr>
              <w:t>Ended 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8"/>
        </w:trPr>
        <w:tc>
          <w:tcPr>
            <w:tcW w:w="252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94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 Change</w:t>
            </w:r>
          </w:p>
        </w:tc>
        <w:tc>
          <w:tcPr>
            <w:tcW w:w="118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35"/>
              <w:spacing w:after="0"/>
              <w:rPr>
                <w:sz w:val="20"/>
                <w:szCs w:val="20"/>
                <w:color w:val="auto"/>
              </w:rPr>
            </w:pPr>
            <w:r>
              <w:rPr>
                <w:rFonts w:ascii="Arial" w:cs="Arial" w:eastAsia="Arial" w:hAnsi="Arial"/>
                <w:sz w:val="13"/>
                <w:szCs w:val="13"/>
                <w:b w:val="1"/>
                <w:bCs w:val="1"/>
                <w:color w:val="auto"/>
                <w:w w:val="95"/>
              </w:rPr>
              <w:t>$ Change</w:t>
            </w:r>
          </w:p>
        </w:tc>
        <w:tc>
          <w:tcPr>
            <w:tcW w:w="126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 Change</w:t>
            </w:r>
          </w:p>
        </w:tc>
      </w:tr>
      <w:tr>
        <w:trPr>
          <w:trHeight w:val="179"/>
        </w:trPr>
        <w:tc>
          <w:tcPr>
            <w:tcW w:w="240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(923</w:t>
            </w:r>
          </w:p>
        </w:tc>
        <w:tc>
          <w:tcPr>
            <w:tcW w:w="240" w:type="dxa"/>
            <w:vAlign w:val="bottom"/>
          </w:tcPr>
          <w:p>
            <w:pPr>
              <w:jc w:val="right"/>
              <w:ind w:right="75"/>
              <w:spacing w:after="0" w:line="180"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tcPr>
          <w:p>
            <w:pPr>
              <w:jc w:val="right"/>
              <w:ind w:right="55"/>
              <w:spacing w:after="0" w:line="180"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(7,798</w:t>
            </w:r>
          </w:p>
        </w:tc>
        <w:tc>
          <w:tcPr>
            <w:tcW w:w="240" w:type="dxa"/>
            <w:vAlign w:val="bottom"/>
          </w:tcPr>
          <w:p>
            <w:pPr>
              <w:jc w:val="right"/>
              <w:ind w:right="100"/>
              <w:spacing w:after="0" w:line="180" w:lineRule="exact"/>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98"/>
              </w:rPr>
              <w:t>$  (6,875</w:t>
            </w:r>
          </w:p>
        </w:tc>
        <w:tc>
          <w:tcPr>
            <w:tcW w:w="240" w:type="dxa"/>
            <w:vAlign w:val="bottom"/>
          </w:tcPr>
          <w:p>
            <w:pPr>
              <w:jc w:val="right"/>
              <w:ind w:right="75"/>
              <w:spacing w:after="0" w:line="180"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(88</w:t>
            </w:r>
          </w:p>
        </w:tc>
        <w:tc>
          <w:tcPr>
            <w:tcW w:w="220" w:type="dxa"/>
            <w:vAlign w:val="bottom"/>
          </w:tcPr>
          <w:p>
            <w:pPr>
              <w:jc w:val="right"/>
              <w:spacing w:after="0" w:line="180" w:lineRule="exact"/>
              <w:rPr>
                <w:sz w:val="20"/>
                <w:szCs w:val="20"/>
                <w:color w:val="auto"/>
              </w:rPr>
            </w:pPr>
            <w:r>
              <w:rPr>
                <w:rFonts w:ascii="Arial" w:cs="Arial" w:eastAsia="Arial" w:hAnsi="Arial"/>
                <w:sz w:val="17"/>
                <w:szCs w:val="17"/>
                <w:color w:val="auto"/>
                <w:w w:val="96"/>
              </w:rPr>
              <w:t>)%</w:t>
            </w:r>
          </w:p>
        </w:tc>
        <w:tc>
          <w:tcPr>
            <w:tcW w:w="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(2,822</w:t>
            </w:r>
          </w:p>
        </w:tc>
        <w:tc>
          <w:tcPr>
            <w:tcW w:w="220" w:type="dxa"/>
            <w:vAlign w:val="bottom"/>
          </w:tcPr>
          <w:p>
            <w:pPr>
              <w:jc w:val="right"/>
              <w:ind w:right="80"/>
              <w:spacing w:after="0" w:line="180"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5"/>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gridSpan w:val="2"/>
          </w:tcPr>
          <w:p>
            <w:pPr>
              <w:jc w:val="right"/>
              <w:spacing w:after="0" w:line="180" w:lineRule="exact"/>
              <w:rPr>
                <w:sz w:val="20"/>
                <w:szCs w:val="20"/>
                <w:color w:val="auto"/>
              </w:rPr>
            </w:pPr>
            <w:r>
              <w:rPr>
                <w:rFonts w:ascii="Arial" w:cs="Arial" w:eastAsia="Arial" w:hAnsi="Arial"/>
                <w:sz w:val="17"/>
                <w:szCs w:val="17"/>
                <w:color w:val="auto"/>
              </w:rPr>
              <w:t>(24,376</w:t>
            </w:r>
          </w:p>
        </w:tc>
        <w:tc>
          <w:tcPr>
            <w:tcW w:w="220" w:type="dxa"/>
            <w:vAlign w:val="bottom"/>
          </w:tcPr>
          <w:p>
            <w:pPr>
              <w:jc w:val="right"/>
              <w:ind w:right="80"/>
              <w:spacing w:after="0" w:line="180" w:lineRule="exact"/>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w w:val="93"/>
              </w:rPr>
              <w:t>$  (21,554</w:t>
            </w:r>
          </w:p>
        </w:tc>
        <w:tc>
          <w:tcPr>
            <w:tcW w:w="220" w:type="dxa"/>
            <w:vAlign w:val="bottom"/>
          </w:tcPr>
          <w:p>
            <w:pPr>
              <w:jc w:val="right"/>
              <w:ind w:right="55"/>
              <w:spacing w:after="0" w:line="180"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(88</w:t>
            </w:r>
          </w:p>
        </w:tc>
        <w:tc>
          <w:tcPr>
            <w:tcW w:w="200" w:type="dxa"/>
            <w:vAlign w:val="bottom"/>
          </w:tcPr>
          <w:p>
            <w:pPr>
              <w:jc w:val="right"/>
              <w:spacing w:after="0" w:line="180" w:lineRule="exact"/>
              <w:rPr>
                <w:sz w:val="20"/>
                <w:szCs w:val="20"/>
                <w:color w:val="auto"/>
              </w:rPr>
            </w:pPr>
            <w:r>
              <w:rPr>
                <w:rFonts w:ascii="Arial" w:cs="Arial" w:eastAsia="Arial" w:hAnsi="Arial"/>
                <w:sz w:val="17"/>
                <w:szCs w:val="17"/>
                <w:color w:val="auto"/>
                <w:w w:val="86"/>
              </w:rPr>
              <w:t>)%</w:t>
            </w:r>
          </w:p>
        </w:tc>
      </w:tr>
      <w:tr>
        <w:trPr>
          <w:trHeight w:val="216"/>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85" w:lineRule="exact"/>
        <w:rPr>
          <w:sz w:val="20"/>
          <w:szCs w:val="20"/>
          <w:color w:val="auto"/>
        </w:rPr>
      </w:pPr>
    </w:p>
    <w:p>
      <w:pPr>
        <w:ind w:right="820" w:firstLine="544"/>
        <w:spacing w:after="0" w:line="261" w:lineRule="auto"/>
        <w:rPr>
          <w:sz w:val="20"/>
          <w:szCs w:val="20"/>
          <w:color w:val="auto"/>
        </w:rPr>
      </w:pPr>
      <w:r>
        <w:rPr>
          <w:rFonts w:ascii="Arial" w:cs="Arial" w:eastAsia="Arial" w:hAnsi="Arial"/>
          <w:sz w:val="18"/>
          <w:szCs w:val="18"/>
          <w:color w:val="auto"/>
        </w:rPr>
        <w:t>The change in interest expense for the three and nine months ended September 30, 2022 compared to the same period in 2021 is due to the following:</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8"/>
                <w:szCs w:val="18"/>
                <w:color w:val="auto"/>
              </w:rPr>
              <w:t>Amortization of the debt discount and issuance costs and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line="175" w:lineRule="exact"/>
              <w:rPr>
                <w:sz w:val="20"/>
                <w:szCs w:val="20"/>
                <w:color w:val="auto"/>
              </w:rPr>
            </w:pPr>
            <w:r>
              <w:rPr>
                <w:rFonts w:ascii="Arial" w:cs="Arial" w:eastAsia="Arial" w:hAnsi="Arial"/>
                <w:sz w:val="18"/>
                <w:szCs w:val="18"/>
                <w:color w:val="auto"/>
              </w:rPr>
              <w:t>(5,139 )</w:t>
            </w:r>
          </w:p>
        </w:tc>
        <w:tc>
          <w:tcPr>
            <w:tcW w:w="80" w:type="dxa"/>
            <w:vAlign w:val="bottom"/>
          </w:tcPr>
          <w:p>
            <w:pPr>
              <w:spacing w:after="0"/>
              <w:rPr>
                <w:sz w:val="15"/>
                <w:szCs w:val="15"/>
                <w:color w:val="auto"/>
              </w:rPr>
            </w:pPr>
          </w:p>
        </w:tc>
        <w:tc>
          <w:tcPr>
            <w:tcW w:w="360" w:type="dxa"/>
            <w:vAlign w:val="bottom"/>
          </w:tcPr>
          <w:p>
            <w:pPr>
              <w:jc w:val="right"/>
              <w:ind w:right="170"/>
              <w:spacing w:after="0" w:line="175"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line="175" w:lineRule="exact"/>
              <w:rPr>
                <w:sz w:val="20"/>
                <w:szCs w:val="20"/>
                <w:color w:val="auto"/>
              </w:rPr>
            </w:pPr>
            <w:r>
              <w:rPr>
                <w:rFonts w:ascii="Arial" w:cs="Arial" w:eastAsia="Arial" w:hAnsi="Arial"/>
                <w:sz w:val="18"/>
                <w:szCs w:val="18"/>
                <w:color w:val="auto"/>
              </w:rPr>
              <w:t>(16,731 )</w:t>
            </w: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contractual interest expense related to our Notes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2022 Convertible Notes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(1,736 )</w:t>
            </w:r>
          </w:p>
        </w:tc>
        <w:tc>
          <w:tcPr>
            <w:tcW w:w="8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(4,823 )</w:t>
            </w: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(6,875 </w:t>
            </w:r>
            <w:r>
              <w:rPr>
                <w:rFonts w:ascii="Arial" w:cs="Arial" w:eastAsia="Arial" w:hAnsi="Arial"/>
                <w:sz w:val="18"/>
                <w:szCs w:val="18"/>
                <w:color w:val="auto"/>
                <w:highlight w:val="white"/>
              </w:rPr>
              <w:t>)</w:t>
            </w: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(21,554 </w:t>
            </w:r>
            <w:r>
              <w:rPr>
                <w:rFonts w:ascii="Arial" w:cs="Arial" w:eastAsia="Arial" w:hAnsi="Arial"/>
                <w:sz w:val="18"/>
                <w:szCs w:val="18"/>
                <w:color w:val="auto"/>
                <w:highlight w:val="white"/>
              </w:rPr>
              <w:t>)</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85" w:lineRule="exact"/>
        <w:rPr>
          <w:sz w:val="20"/>
          <w:szCs w:val="20"/>
          <w:color w:val="auto"/>
        </w:rPr>
      </w:pPr>
    </w:p>
    <w:p>
      <w:pPr>
        <w:jc w:val="both"/>
        <w:ind w:right="140" w:firstLine="509"/>
        <w:spacing w:after="0" w:line="256"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decrease in interest expense related to the Notes and loss on extinguishment is primarily due to the adoption of the new convertible debt guidance.</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85"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decrease in interest expense related to the Notes and loss on extinguishment is primarily due to the adoption of the new convertible debt guidance.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5"/>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Ended September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September 30,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1"/>
              </w:rPr>
              <w:t>$ Change</w:t>
            </w:r>
          </w:p>
        </w:tc>
        <w:tc>
          <w:tcPr>
            <w:tcW w:w="13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Other (expense) income</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9,877</w:t>
            </w:r>
          </w:p>
        </w:tc>
        <w:tc>
          <w:tcPr>
            <w:tcW w:w="2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(11,062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11,064</w:t>
            </w:r>
          </w:p>
        </w:tc>
        <w:tc>
          <w:tcPr>
            <w:tcW w:w="220" w:type="dxa"/>
            <w:vAlign w:val="bottom"/>
          </w:tcPr>
          <w:p>
            <w:pPr>
              <w:spacing w:after="0"/>
              <w:rPr>
                <w:sz w:val="14"/>
                <w:szCs w:val="14"/>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5"/>
              </w:rPr>
              <w:t>$  (11,647</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w:t>
            </w:r>
          </w:p>
        </w:tc>
      </w:tr>
      <w:tr>
        <w:trPr>
          <w:trHeight w:val="182"/>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Percentage of total revenue</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2 %</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1 %</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3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7" w:right="23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color w:val="auto"/>
        </w:rPr>
        <w:t>The change in other income during the three and nine months ended September 30, 2022 is primarily due to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Foreign currency transaction gains and losses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(345 )</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(4,108 )</w:t>
            </w: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Gain on strategic investments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(10,717 )</w:t>
            </w:r>
          </w:p>
        </w:tc>
        <w:tc>
          <w:tcPr>
            <w:tcW w:w="8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(7,539 )</w:t>
            </w: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(11,062 </w:t>
            </w:r>
            <w:r>
              <w:rPr>
                <w:rFonts w:ascii="Arial" w:cs="Arial" w:eastAsia="Arial" w:hAnsi="Arial"/>
                <w:sz w:val="18"/>
                <w:szCs w:val="18"/>
                <w:color w:val="auto"/>
                <w:highlight w:val="white"/>
              </w:rPr>
              <w:t>)</w:t>
            </w: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(11,647 </w:t>
            </w:r>
            <w:r>
              <w:rPr>
                <w:rFonts w:ascii="Arial" w:cs="Arial" w:eastAsia="Arial" w:hAnsi="Arial"/>
                <w:sz w:val="18"/>
                <w:szCs w:val="18"/>
                <w:color w:val="auto"/>
                <w:highlight w:val="white"/>
              </w:rPr>
              <w:t>)</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60" w:firstLine="544"/>
        <w:spacing w:after="0" w:line="245" w:lineRule="auto"/>
        <w:rPr>
          <w:sz w:val="20"/>
          <w:szCs w:val="20"/>
          <w:color w:val="auto"/>
        </w:rPr>
      </w:pPr>
      <w:r>
        <w:rPr>
          <w:rFonts w:ascii="Arial" w:cs="Arial" w:eastAsia="Arial" w:hAnsi="Arial"/>
          <w:sz w:val="18"/>
          <w:szCs w:val="18"/>
          <w:color w:val="auto"/>
        </w:rPr>
        <w:t>Other (expense) income primarily consists of the impact of foreign currency transaction gains and losses associated with monetary assets and liabilities and any gains or losses on our strategic investments. The increase in foreign currency transaction losses is primarily attributable to the decline in the value of the Euro and British Pound Sterling relative to the U.S. Dollar. The decrease in gain on investments is due to an adjustment to the fair value of an investment as a result of an observable price change in the three months ended September 30, 2021, whereas no gain was recognized in the three months ended September 30, 2022.</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85"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Other (expense) income primarily consists of the impact of foreign currency transaction gains and losses associated with monetary assets and liabilities and any gains or losses on our strategic investments. The increase in foreign currency transaction losses is primarily attributable to the decline in the value of the Euro and British Pound Sterling relative to the U.S. Dollar. The decrease in gain on investments is due to an adjustment to the fair value of an investment as a result of an observable price change of $4.2 million in the nine months ended September 30, 2022 compared to $11.7 million in the nine months ended September 30, 2021.</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6"/>
          </w:tcPr>
          <w:p>
            <w:pPr>
              <w:jc w:val="right"/>
              <w:ind w:right="779"/>
              <w:spacing w:after="0"/>
              <w:rPr>
                <w:sz w:val="20"/>
                <w:szCs w:val="20"/>
                <w:color w:val="auto"/>
              </w:rPr>
            </w:pPr>
            <w:r>
              <w:rPr>
                <w:rFonts w:ascii="Arial" w:cs="Arial" w:eastAsia="Arial" w:hAnsi="Arial"/>
                <w:sz w:val="13"/>
                <w:szCs w:val="13"/>
                <w:b w:val="1"/>
                <w:bCs w:val="1"/>
                <w:color w:val="auto"/>
              </w:rPr>
              <w:t>Three Months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left="407"/>
              <w:spacing w:after="0"/>
              <w:rPr>
                <w:sz w:val="20"/>
                <w:szCs w:val="20"/>
                <w:color w:val="auto"/>
              </w:rPr>
            </w:pPr>
            <w:r>
              <w:rPr>
                <w:rFonts w:ascii="Arial" w:cs="Arial" w:eastAsia="Arial" w:hAnsi="Arial"/>
                <w:sz w:val="13"/>
                <w:szCs w:val="13"/>
                <w:b w:val="1"/>
                <w:bCs w:val="1"/>
                <w:color w:val="auto"/>
                <w:w w:val="97"/>
              </w:rPr>
              <w:t>Nine Months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6"/>
          </w:tcPr>
          <w:p>
            <w:pPr>
              <w:jc w:val="right"/>
              <w:ind w:right="559"/>
              <w:spacing w:after="0"/>
              <w:rPr>
                <w:sz w:val="20"/>
                <w:szCs w:val="20"/>
                <w:color w:val="auto"/>
              </w:rPr>
            </w:pPr>
            <w:r>
              <w:rPr>
                <w:rFonts w:ascii="Arial" w:cs="Arial" w:eastAsia="Arial" w:hAnsi="Arial"/>
                <w:sz w:val="13"/>
                <w:szCs w:val="13"/>
                <w:b w:val="1"/>
                <w:bCs w:val="1"/>
                <w:color w:val="auto"/>
              </w:rPr>
              <w:t>Ended September 30,</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6"/>
          </w:tcPr>
          <w:p>
            <w:pPr>
              <w:jc w:val="center"/>
              <w:ind w:right="444"/>
              <w:spacing w:after="0"/>
              <w:rPr>
                <w:sz w:val="20"/>
                <w:szCs w:val="20"/>
                <w:color w:val="auto"/>
              </w:rPr>
            </w:pPr>
            <w:r>
              <w:rPr>
                <w:rFonts w:ascii="Arial" w:cs="Arial" w:eastAsia="Arial" w:hAnsi="Arial"/>
                <w:sz w:val="13"/>
                <w:szCs w:val="13"/>
                <w:b w:val="1"/>
                <w:bCs w:val="1"/>
                <w:color w:val="auto"/>
                <w:w w:val="93"/>
              </w:rPr>
              <w:t>Ended September 30,</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91"/>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w w:val="95"/>
              </w:rPr>
              <w:t>$ Change</w:t>
            </w:r>
          </w:p>
        </w:tc>
        <w:tc>
          <w:tcPr>
            <w:tcW w:w="900" w:type="dxa"/>
            <w:vAlign w:val="bottom"/>
          </w:tcPr>
          <w:p>
            <w:pPr>
              <w:ind w:left="24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07"/>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30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99"/>
              <w:spacing w:after="0"/>
              <w:rPr>
                <w:sz w:val="20"/>
                <w:szCs w:val="20"/>
                <w:color w:val="auto"/>
              </w:rPr>
            </w:pPr>
            <w:r>
              <w:rPr>
                <w:rFonts w:ascii="Arial" w:cs="Arial" w:eastAsia="Arial" w:hAnsi="Arial"/>
                <w:sz w:val="13"/>
                <w:szCs w:val="13"/>
                <w:b w:val="1"/>
                <w:bCs w:val="1"/>
                <w:color w:val="auto"/>
                <w:w w:val="95"/>
              </w:rPr>
              <w:t>$ Change</w:t>
            </w:r>
          </w:p>
        </w:tc>
        <w:tc>
          <w:tcPr>
            <w:tcW w:w="1220" w:type="dxa"/>
            <w:vAlign w:val="bottom"/>
            <w:gridSpan w:val="2"/>
          </w:tcPr>
          <w:p>
            <w:pPr>
              <w:jc w:val="right"/>
              <w:ind w:right="299"/>
              <w:spacing w:after="0"/>
              <w:rPr>
                <w:sz w:val="20"/>
                <w:szCs w:val="20"/>
                <w:color w:val="auto"/>
              </w:rPr>
            </w:pPr>
            <w:r>
              <w:rPr>
                <w:rFonts w:ascii="Arial" w:cs="Arial" w:eastAsia="Arial" w:hAnsi="Arial"/>
                <w:sz w:val="13"/>
                <w:szCs w:val="13"/>
                <w:b w:val="1"/>
                <w:bCs w:val="1"/>
                <w:color w:val="auto"/>
              </w:rPr>
              <w:t>% Change</w:t>
            </w:r>
          </w:p>
        </w:tc>
      </w:tr>
      <w:tr>
        <w:trPr>
          <w:trHeight w:val="203"/>
        </w:trPr>
        <w:tc>
          <w:tcPr>
            <w:tcW w:w="1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56</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(5,313</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(2,639</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(2,674</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6"/>
        </w:trPr>
        <w:tc>
          <w:tcPr>
            <w:tcW w:w="192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3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lower-than-expected tax benefits associated with stock-based compensation.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171"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lower-than-expected tax benefits associated with stock-based compensation, partially offset by a non-recurring income tax benefit recognized in 2021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16" w:lineRule="exact"/>
        <w:rPr>
          <w:sz w:val="20"/>
          <w:szCs w:val="20"/>
          <w:color w:val="auto"/>
        </w:rPr>
      </w:pPr>
    </w:p>
    <w:p>
      <w:pPr>
        <w:ind w:right="180" w:firstLine="554"/>
        <w:spacing w:after="0" w:line="277"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7"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for the nine months ended September 30, 2022 and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w w:val="71"/>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331,659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288,334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Working capital</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892,884</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861,244</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operating activities</w:t>
            </w: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183,209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143,544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98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w w:val="87"/>
              </w:rPr>
              <w:t>(211,121 )</w:t>
            </w:r>
          </w:p>
        </w:tc>
        <w:tc>
          <w:tcPr>
            <w:tcW w:w="9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(169,704 )</w:t>
            </w: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used in financing activities</w:t>
            </w:r>
          </w:p>
        </w:tc>
        <w:tc>
          <w:tcPr>
            <w:tcW w:w="9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(1,179 )</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(57,303 )</w:t>
            </w:r>
          </w:p>
        </w:tc>
      </w:tr>
    </w:tbl>
    <w:p>
      <w:pPr>
        <w:spacing w:after="0" w:line="175" w:lineRule="exact"/>
        <w:rPr>
          <w:sz w:val="20"/>
          <w:szCs w:val="20"/>
          <w:color w:val="auto"/>
        </w:rPr>
      </w:pPr>
    </w:p>
    <w:p>
      <w:pPr>
        <w:ind w:right="240" w:firstLine="509"/>
        <w:spacing w:after="0" w:line="290" w:lineRule="auto"/>
        <w:rPr>
          <w:sz w:val="20"/>
          <w:szCs w:val="20"/>
          <w:color w:val="auto"/>
        </w:rPr>
      </w:pPr>
      <w:r>
        <w:rPr>
          <w:rFonts w:ascii="Arial" w:cs="Arial" w:eastAsia="Arial" w:hAnsi="Arial"/>
          <w:sz w:val="16"/>
          <w:szCs w:val="16"/>
          <w:color w:val="auto"/>
        </w:rPr>
        <w:t>Our cash and cash equivalents at September 30, 2022 were held for working capital purposes. At September 30, 2022, $111.2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10"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7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16"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Net cash and cash equivalents provided by operating activities during the nine months ended September 30, 2022 primarily reflected our net loss of $97.1 million, benefit from deferred income taxes of $0.6 million, $3.3 million accretion of bond discounts, and gains on strategic investments of $4.2 million, offset by non-cash expenses that included $42.6 million of depreciation and amortization, $199.1 million in stock-based compensation, and $1.5 million of amortization of debt discount and issuance costs. Working capital sources of cash and cash equivalents primarily included a $63.7 million increase in deferred revenue primarily resulting from the growth in the number of customers invoiced during the period, a $19.6 million increase in right-of-use asset, a $10.7 million increase in accounts payable related to timing of bill payments, and $16.5 million increase in accrued expenses and other liabilities. These sources of cash and cash equivalents were offset by a $8.9 million increase in prepaid expenses and other assets, a $14.6 million decrease in operating lease liabilities, a $22.2 million increase in deferred commissions, and a $20.1 million increase in accounts receivable as a result of increased billings to customers.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and cash equivalents provided by operating activities during the nine months ended September 30, 2021 primarily reflected our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$61.5 million, the portion of the repayment of the 2022 Notes attributable to the debt discount of $24.5 million, benefit from deferred income taxes of $1.3</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million, a gain on termination of operating leases of $4.3 million, and aggregate gains on strategic investments of $11.7 million, offset by non-cash</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expenses that included $33.2 million of depreciation and amortization, $120.8 million in stock-based compensation, $2.9 million amortization of bond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discounts, $18.1 million of amortization of debt discount and issuance costs, loss on disposal of fixed assets of $6.5 million, and $4.8 million of loss 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early extinguishment of 2022 Notes. Working capital sources of cash and cash equivalents primarily included a $66.8 million increase in deferred revenue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primarily resulting from the growth in the number of customers invoiced during the period, a $26.9 million increase in right-of-use asset, and $38.2 million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increase in accrued expenses and other liabilities. These sources of cash and cash equivalents were offset by a $12.0 million increase in accounts payable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related to timing of bill payments, a $7.1 million increase in prepaid expenses and other assets, a $26.4 million decrease in operating lease liabilities,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$24.4 million increase in deferred commissions, and a $2.2 million increase in accounts receivable as a result of increased billings to customers consistent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with the overall growth of the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85"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Our investing activities have consisted primarily of purchases and maturities of investments, sale of investments, property and equipment purchases, an acquisition of a business, purchase of intangible assets,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4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Net cash and cash equivalents used in investing activities during the nine months ended September 30, 2022 consisted primarily of $1.3 billion purchases of investments, $31.4 million of purchased property and equipment, $19.9 million of purchases of strategic</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1" w:name="page32"/>
    <w:bookmarkEnd w:id="31"/>
    <w:p>
      <w:pPr>
        <w:ind w:right="100"/>
        <w:spacing w:after="0" w:line="261" w:lineRule="auto"/>
        <w:rPr>
          <w:sz w:val="20"/>
          <w:szCs w:val="20"/>
          <w:color w:val="auto"/>
        </w:rPr>
      </w:pPr>
      <w:r>
        <w:rPr>
          <w:rFonts w:ascii="Arial" w:cs="Arial" w:eastAsia="Arial" w:hAnsi="Arial"/>
          <w:sz w:val="18"/>
          <w:szCs w:val="18"/>
          <w:color w:val="auto"/>
        </w:rPr>
        <w:t>investments, $31.4 million of capitalized software development costs, and a $10.0 million purchase of intangible assets. These uses of cash were offset by $1.0 billion received related to the maturity of investments and $125.0 million received for sale of investments.</w:t>
      </w:r>
    </w:p>
    <w:p>
      <w:pPr>
        <w:spacing w:after="0" w:line="144"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Net cash and cash equivalents used in investing activities during the nine months ended September 30, 2021 consisted primarily of $1.0 billion purchases of investments, $17.4 million of purchased property and equipment, a $16.8 million business acquisition, $10.2 million of purchases of strategic investments, $3.1 million in an equity method investment and $25.6 million of capitalized software development costs. These uses of cash were offset by $940.8 million received related to the maturity of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85" w:lineRule="exact"/>
        <w:rPr>
          <w:sz w:val="20"/>
          <w:szCs w:val="20"/>
          <w:color w:val="auto"/>
        </w:rPr>
      </w:pPr>
    </w:p>
    <w:p>
      <w:pPr>
        <w:ind w:right="560" w:firstLine="509"/>
        <w:spacing w:after="0" w:line="324" w:lineRule="auto"/>
        <w:rPr>
          <w:sz w:val="20"/>
          <w:szCs w:val="20"/>
          <w:color w:val="auto"/>
        </w:rPr>
      </w:pPr>
      <w:r>
        <w:rPr>
          <w:rFonts w:ascii="Arial" w:cs="Arial" w:eastAsia="Arial" w:hAnsi="Arial"/>
          <w:sz w:val="16"/>
          <w:szCs w:val="16"/>
          <w:color w:val="auto"/>
        </w:rPr>
        <w:t>Our financing activities have consisted primarily of the various components of our 2022 Notes repayment, repayment of our 2025 Notes, the issuance of common stock under our stock plans, and payments of employee taxes related to the net share settlement of stock-based awards,.</w:t>
      </w:r>
    </w:p>
    <w:p>
      <w:pPr>
        <w:spacing w:after="0" w:line="9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For the nine months ended September 30, 2022 cash used in financing activities consisted of $1.6 million used for the repayment of the 2025 Notes attributable to the principal, $79.8 million payment for settlement of the 2022 Notes, and $10.0 million used for payment of employee taxes related to the net share settlement of stock-based awards, offset by $29.7 million of proceeds related to issuance of common stock under stock plans and $60.5 million of proceeds from settlement of the Convertible Note Hedges.</w:t>
      </w:r>
    </w:p>
    <w:p>
      <w:pPr>
        <w:spacing w:after="0" w:line="140"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For the nine months ended September 30, 2021 cash used in financing activities consisted of $80.4 million used for repayment of the 2022 Notes attributable to the principal and $11.7 million used for payment of employee taxes related to the net share settlement of stock-based awards, offset by $0.7 million of proceeds from the settlement of the Convertible Note Hedges related to the 2022 Notes and $34.1 million of proceeds related to issuance of common stock under stock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60" w:firstLine="544"/>
        <w:spacing w:after="0" w:line="324"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nine months ended September 30, 2022 as compared to the critical accounting policies and estimates disclosed in our Annual Report on Form 10-K for the year ended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80" w:firstLine="509"/>
        <w:spacing w:after="0" w:line="278" w:lineRule="auto"/>
        <w:rPr>
          <w:sz w:val="20"/>
          <w:szCs w:val="20"/>
          <w:color w:val="auto"/>
        </w:rPr>
      </w:pPr>
      <w:r>
        <w:rPr>
          <w:rFonts w:ascii="Arial" w:cs="Arial" w:eastAsia="Arial" w:hAnsi="Arial"/>
          <w:sz w:val="17"/>
          <w:szCs w:val="17"/>
          <w:color w:val="auto"/>
        </w:rPr>
        <w:t>As of the date of this report, we are committed to contribute additional capital of $6.3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right="240" w:firstLine="544"/>
        <w:spacing w:after="0" w:line="270"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4" w:lineRule="exact"/>
        <w:rPr>
          <w:sz w:val="20"/>
          <w:szCs w:val="20"/>
          <w:color w:val="auto"/>
        </w:rPr>
      </w:pPr>
    </w:p>
    <w:p>
      <w:pPr>
        <w:ind w:firstLine="544"/>
        <w:spacing w:after="0" w:line="256" w:lineRule="auto"/>
        <w:rPr>
          <w:sz w:val="20"/>
          <w:szCs w:val="20"/>
          <w:color w:val="auto"/>
        </w:rPr>
      </w:pPr>
      <w:r>
        <w:rPr>
          <w:rFonts w:ascii="Arial" w:cs="Arial" w:eastAsia="Arial" w:hAnsi="Arial"/>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While we have not engaged in the hedging of our foreign currency transactions to date, we are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2" w:name="page33"/>
    <w:bookmarkEnd w:id="32"/>
    <w:p>
      <w:pPr>
        <w:ind w:right="80"/>
        <w:spacing w:after="0" w:line="277" w:lineRule="auto"/>
        <w:rPr>
          <w:sz w:val="20"/>
          <w:szCs w:val="20"/>
          <w:color w:val="auto"/>
        </w:rPr>
      </w:pPr>
      <w:r>
        <w:rPr>
          <w:rFonts w:ascii="Arial" w:cs="Arial" w:eastAsia="Arial" w:hAnsi="Arial"/>
          <w:sz w:val="18"/>
          <w:szCs w:val="18"/>
          <w:color w:val="auto"/>
        </w:rPr>
        <w:t>evaluating the costs and benefits of initiating such a program and may in the future hedge selected significant transactions denominated in currencies other than the U.S. dollar as we expand our international operation, and our risk grows.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12" w:lineRule="exact"/>
        <w:rPr>
          <w:sz w:val="20"/>
          <w:szCs w:val="20"/>
          <w:color w:val="auto"/>
        </w:rPr>
      </w:pPr>
    </w:p>
    <w:p>
      <w:pPr>
        <w:ind w:right="100" w:firstLine="544"/>
        <w:spacing w:after="0" w:line="267"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212"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In June 2020, we issued $460 million aggregate principal amount of convertible senior notes due June 1, 2025, of which $459.1 million remains outstanding as of September 30,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our senior convertible notes will increase as interest rates fall and decrease as interest rates rise. Additionally, we carry the convertible senior notes at face value less unamortized discount on our balance sheet, and we present the fair value for required disclosure purposes only. The Federal Reserve recently raised interest rates in an effort to combat high inflation and may continue to do so in the future. There continues to be uncertainty in the changing market and economic conditions, including the possibility or additional measures that could be taken by the Federal Reserve and other government agencies, related to concerns over inflation risk.</w:t>
      </w:r>
    </w:p>
    <w:p>
      <w:pPr>
        <w:spacing w:after="0" w:line="180" w:lineRule="exact"/>
        <w:rPr>
          <w:sz w:val="20"/>
          <w:szCs w:val="20"/>
          <w:color w:val="auto"/>
        </w:rPr>
      </w:pPr>
    </w:p>
    <w:p>
      <w:pPr>
        <w:jc w:val="both"/>
        <w:ind w:right="120" w:firstLine="544"/>
        <w:spacing w:after="0" w:line="256"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September 30, 2022 and the estimated impact on the fair value of the 2025 Notes. The selected scenarios are not predictions of future events, but rather are intended to illustrate the effect such an event may have on the fair value of the 2025 Notes.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2025 Notes</w:t>
      </w:r>
    </w:p>
    <w:tbl>
      <w:tblPr>
        <w:tblLayout w:type="fixed"/>
        <w:tblInd w:w="58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2"/>
          </w:tcPr>
          <w:p>
            <w:pPr>
              <w:jc w:val="center"/>
              <w:ind w:right="190"/>
              <w:spacing w:after="0" w:line="176" w:lineRule="exact"/>
              <w:rPr>
                <w:sz w:val="20"/>
                <w:szCs w:val="20"/>
                <w:color w:val="auto"/>
              </w:rPr>
            </w:pPr>
            <w:r>
              <w:rPr>
                <w:rFonts w:ascii="Arial" w:cs="Arial" w:eastAsia="Arial" w:hAnsi="Arial"/>
                <w:sz w:val="16"/>
                <w:szCs w:val="16"/>
                <w:b w:val="1"/>
                <w:bCs w:val="1"/>
                <w:color w:val="auto"/>
                <w:w w:val="90"/>
              </w:rPr>
              <w:t>Hypothetical percentage</w:t>
            </w:r>
          </w:p>
        </w:tc>
        <w:tc>
          <w:tcPr>
            <w:tcW w:w="0" w:type="dxa"/>
            <w:vAlign w:val="bottom"/>
          </w:tcPr>
          <w:p>
            <w:pPr>
              <w:spacing w:after="0"/>
              <w:rPr>
                <w:sz w:val="1"/>
                <w:szCs w:val="1"/>
                <w:color w:val="auto"/>
              </w:rPr>
            </w:pPr>
          </w:p>
        </w:tc>
      </w:tr>
      <w:tr>
        <w:trPr>
          <w:trHeight w:val="176"/>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400"/>
              <w:spacing w:after="0" w:line="175" w:lineRule="exact"/>
              <w:rPr>
                <w:sz w:val="20"/>
                <w:szCs w:val="20"/>
                <w:color w:val="auto"/>
              </w:rPr>
            </w:pPr>
            <w:r>
              <w:rPr>
                <w:rFonts w:ascii="Arial" w:cs="Arial" w:eastAsia="Arial" w:hAnsi="Arial"/>
                <w:sz w:val="16"/>
                <w:szCs w:val="16"/>
                <w:b w:val="1"/>
                <w:bCs w:val="1"/>
                <w:color w:val="auto"/>
                <w:w w:val="91"/>
              </w:rPr>
              <w:t>Estimated change in</w:t>
            </w:r>
          </w:p>
        </w:tc>
        <w:tc>
          <w:tcPr>
            <w:tcW w:w="2160" w:type="dxa"/>
            <w:vAlign w:val="bottom"/>
            <w:gridSpan w:val="2"/>
          </w:tcPr>
          <w:p>
            <w:pPr>
              <w:jc w:val="center"/>
              <w:ind w:right="170"/>
              <w:spacing w:after="0" w:line="175" w:lineRule="exact"/>
              <w:rPr>
                <w:sz w:val="20"/>
                <w:szCs w:val="20"/>
                <w:color w:val="auto"/>
              </w:rPr>
            </w:pPr>
            <w:r>
              <w:rPr>
                <w:rFonts w:ascii="Arial" w:cs="Arial" w:eastAsia="Arial" w:hAnsi="Arial"/>
                <w:sz w:val="16"/>
                <w:szCs w:val="16"/>
                <w:b w:val="1"/>
                <w:bCs w:val="1"/>
                <w:color w:val="auto"/>
                <w:w w:val="90"/>
              </w:rPr>
              <w:t>increase (decrease) in fair</w:t>
            </w: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fair value</w:t>
            </w:r>
          </w:p>
        </w:tc>
        <w:tc>
          <w:tcPr>
            <w:tcW w:w="2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215"/>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 increase</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577,481</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63,707</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No change</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513,774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10% decrease</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511,464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(2,309 )</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9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9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u w:val="single" w:color="auto"/>
          <w:color w:val="auto"/>
        </w:rPr>
        <w:t>Inherent Limitations of Internal Controls</w:t>
      </w:r>
      <w:r>
        <w:rPr>
          <w:rFonts w:ascii="Arial" w:cs="Arial" w:eastAsia="Arial" w:hAnsi="Arial"/>
          <w:sz w:val="18"/>
          <w:szCs w:val="18"/>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spacing w:after="0" w:line="267" w:lineRule="auto"/>
        <w:rPr>
          <w:sz w:val="20"/>
          <w:szCs w:val="20"/>
          <w:color w:val="auto"/>
        </w:rPr>
      </w:pPr>
      <w:r>
        <w:rPr>
          <w:rFonts w:ascii="Arial" w:cs="Arial" w:eastAsia="Arial" w:hAnsi="Arial"/>
          <w:sz w:val="17"/>
          <w:szCs w:val="17"/>
          <w:color w:val="auto"/>
        </w:rPr>
        <w:t>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116"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right="80"/>
        <w:spacing w:after="0" w:line="261" w:lineRule="auto"/>
        <w:rPr>
          <w:sz w:val="20"/>
          <w:szCs w:val="20"/>
          <w:color w:val="auto"/>
        </w:rPr>
      </w:pPr>
      <w:r>
        <w:rPr>
          <w:rFonts w:ascii="Arial" w:cs="Arial" w:eastAsia="Arial" w:hAnsi="Arial"/>
          <w:sz w:val="18"/>
          <w:szCs w:val="18"/>
          <w:color w:val="auto"/>
        </w:rPr>
        <w:t>in a decline in our revenue in future quarters. If we were to experience significant downturns in subscription sales and renewal rates, our reported financial results might not reflect such downturns until future periods.</w:t>
      </w:r>
    </w:p>
    <w:p>
      <w:pPr>
        <w:spacing w:after="0" w:line="13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61" w:lineRule="exact"/>
        <w:rPr>
          <w:sz w:val="20"/>
          <w:szCs w:val="20"/>
          <w:color w:val="auto"/>
        </w:rPr>
      </w:pPr>
    </w:p>
    <w:p>
      <w:pPr>
        <w:ind w:right="320" w:firstLine="509"/>
        <w:spacing w:after="0" w:line="303" w:lineRule="auto"/>
        <w:rPr>
          <w:sz w:val="20"/>
          <w:szCs w:val="20"/>
          <w:color w:val="auto"/>
        </w:rPr>
      </w:pPr>
      <w:r>
        <w:rPr>
          <w:rFonts w:ascii="Arial" w:cs="Arial" w:eastAsia="Arial" w:hAnsi="Arial"/>
          <w:sz w:val="16"/>
          <w:szCs w:val="16"/>
          <w:color w:val="auto"/>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00"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71"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71"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16"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35"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6" w:name="page37"/>
    <w:bookmarkEnd w:id="36"/>
    <w:p>
      <w:pPr>
        <w:ind w:right="200"/>
        <w:spacing w:after="0" w:line="324"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0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headcount and operations have grown substantially. For example, we had 7,409 full-time employees as of September 30, 2022, compared with 5,895 as of December 31, 2021. To date, we have opened several international offices.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our employees work remotely from geographic areas across the globe and more of our employees work remotely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39"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In addition, to manage the recent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5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30"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71" w:lineRule="exact"/>
        <w:rPr>
          <w:sz w:val="20"/>
          <w:szCs w:val="20"/>
          <w:color w:val="auto"/>
        </w:rPr>
      </w:pPr>
    </w:p>
    <w:p>
      <w:pPr>
        <w:ind w:right="200" w:firstLine="509"/>
        <w:spacing w:after="0" w:line="278" w:lineRule="auto"/>
        <w:rPr>
          <w:sz w:val="20"/>
          <w:szCs w:val="20"/>
          <w:color w:val="auto"/>
        </w:rPr>
      </w:pPr>
      <w:r>
        <w:rPr>
          <w:rFonts w:ascii="Arial" w:cs="Arial" w:eastAsia="Arial" w:hAnsi="Arial"/>
          <w:sz w:val="16"/>
          <w:szCs w:val="16"/>
          <w:color w:val="212529"/>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71"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5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7" w:name="page38"/>
    <w:bookmarkEnd w:id="37"/>
    <w:p>
      <w:pPr>
        <w:ind w:right="100" w:firstLine="509"/>
        <w:spacing w:after="0" w:line="269"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4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130" w:lineRule="exact"/>
        <w:rPr>
          <w:sz w:val="20"/>
          <w:szCs w:val="20"/>
          <w:color w:val="auto"/>
        </w:rPr>
      </w:pPr>
    </w:p>
    <w:p>
      <w:pPr>
        <w:ind w:right="160" w:firstLine="509"/>
        <w:spacing w:after="0" w:line="250"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71" w:lineRule="exact"/>
        <w:rPr>
          <w:sz w:val="20"/>
          <w:szCs w:val="20"/>
          <w:color w:val="auto"/>
        </w:rPr>
      </w:pPr>
    </w:p>
    <w:p>
      <w:pPr>
        <w:ind w:right="80" w:firstLine="509"/>
        <w:spacing w:after="0" w:line="234"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67" w:lineRule="exact"/>
        <w:rPr>
          <w:sz w:val="20"/>
          <w:szCs w:val="20"/>
          <w:color w:val="auto"/>
        </w:rPr>
      </w:pPr>
    </w:p>
    <w:p>
      <w:pPr>
        <w:ind w:right="720" w:firstLine="45"/>
        <w:spacing w:after="0" w:line="26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30" w:lineRule="exact"/>
        <w:rPr>
          <w:sz w:val="20"/>
          <w:szCs w:val="20"/>
          <w:color w:val="auto"/>
        </w:rPr>
      </w:pPr>
    </w:p>
    <w:p>
      <w:pPr>
        <w:ind w:firstLine="509"/>
        <w:spacing w:after="0" w:line="263"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158"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84"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8" w:name="page39"/>
    <w:bookmarkEnd w:id="38"/>
    <w:p>
      <w:pPr>
        <w:ind w:right="520"/>
        <w:spacing w:after="0" w:line="261"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130"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5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2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35" w:lineRule="exact"/>
        <w:rPr>
          <w:sz w:val="20"/>
          <w:szCs w:val="20"/>
          <w:color w:val="auto"/>
        </w:rPr>
      </w:pPr>
    </w:p>
    <w:p>
      <w:pPr>
        <w:ind w:right="40" w:firstLine="509"/>
        <w:spacing w:after="0" w:line="263" w:lineRule="auto"/>
        <w:rPr>
          <w:sz w:val="20"/>
          <w:szCs w:val="20"/>
          <w:color w:val="auto"/>
        </w:rPr>
      </w:pPr>
      <w:r>
        <w:rPr>
          <w:rFonts w:ascii="Arial" w:cs="Arial" w:eastAsia="Arial" w:hAnsi="Arial"/>
          <w:sz w:val="16"/>
          <w:szCs w:val="16"/>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3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0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formed several international entities and plan to form additional entities in the future. These international operations focus primarily on sales, professional services and support, and select international locations also have development teams. Our current international operations and future initiatives will involve a variety of risks, including:</w:t>
      </w:r>
    </w:p>
    <w:p>
      <w:pPr>
        <w:spacing w:after="0" w:line="16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84"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data, particularly in the European Union;</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84"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ind w:left="1020" w:right="6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4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4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and similar geopolitical developments;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71"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disputes, wars (such as the conflict between Russia and Ukraine), political instability or terrorist activities and resulting economic instability;</w:t>
      </w:r>
    </w:p>
    <w:p>
      <w:pPr>
        <w:spacing w:after="0" w:line="116" w:lineRule="exact"/>
        <w:rPr>
          <w:rFonts w:ascii="Arial" w:cs="Arial" w:eastAsia="Arial" w:hAnsi="Arial"/>
          <w:sz w:val="18"/>
          <w:szCs w:val="18"/>
          <w:color w:val="auto"/>
        </w:rPr>
      </w:pPr>
    </w:p>
    <w:p>
      <w:pPr>
        <w:ind w:left="1020" w:right="12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4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5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30"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a majority of our work force has been working from home in connection with our hybrid workplace model.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7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0" w:name="page41"/>
    <w:bookmarkEnd w:id="40"/>
    <w:p>
      <w:pPr>
        <w:ind w:firstLine="509"/>
        <w:spacing w:after="0" w:line="246" w:lineRule="auto"/>
        <w:rPr>
          <w:sz w:val="20"/>
          <w:szCs w:val="20"/>
          <w:color w:val="auto"/>
        </w:rPr>
      </w:pPr>
      <w:r>
        <w:rPr>
          <w:rFonts w:ascii="Arial" w:cs="Arial" w:eastAsia="Arial" w:hAnsi="Arial"/>
          <w:sz w:val="17"/>
          <w:szCs w:val="17"/>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4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Economic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adversely affect our financial results.</w:t>
      </w:r>
    </w:p>
    <w:p>
      <w:pPr>
        <w:spacing w:after="0" w:line="185"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While we have limited currency exchange exposure to the Russian, Belarusian and Ukrainian currencies, we expect exchange rates with respect to these currencies to be volatile and other exchange rates may also be more volatile than normal as a result of the ongoing conflict between Russia and Ukraine.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71"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w:t>
      </w:r>
    </w:p>
    <w:p>
      <w:pPr>
        <w:spacing w:after="0" w:line="11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1" w:name="page42"/>
    <w:bookmarkEnd w:id="41"/>
    <w:p>
      <w:pPr>
        <w:ind w:right="60"/>
        <w:spacing w:after="0" w:line="249" w:lineRule="auto"/>
        <w:rPr>
          <w:sz w:val="20"/>
          <w:szCs w:val="20"/>
          <w:color w:val="auto"/>
        </w:rPr>
      </w:pPr>
      <w:r>
        <w:rPr>
          <w:rFonts w:ascii="Arial" w:cs="Arial" w:eastAsia="Arial" w:hAnsi="Arial"/>
          <w:sz w:val="18"/>
          <w:szCs w:val="18"/>
          <w:color w:val="auto"/>
        </w:rPr>
        <w:t>volatility in the global markets.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40"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More recently, inflation rates in the U.S.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has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53" w:lineRule="exact"/>
        <w:rPr>
          <w:sz w:val="20"/>
          <w:szCs w:val="20"/>
          <w:color w:val="auto"/>
        </w:rPr>
      </w:pPr>
    </w:p>
    <w:p>
      <w:pPr>
        <w:jc w:val="both"/>
        <w:ind w:right="260" w:firstLine="509"/>
        <w:spacing w:after="0" w:line="249" w:lineRule="auto"/>
        <w:rPr>
          <w:sz w:val="20"/>
          <w:szCs w:val="20"/>
          <w:color w:val="auto"/>
        </w:rPr>
      </w:pPr>
      <w:r>
        <w:rPr>
          <w:rFonts w:ascii="Arial" w:cs="Arial" w:eastAsia="Arial" w:hAnsi="Arial"/>
          <w:sz w:val="18"/>
          <w:szCs w:val="18"/>
          <w:color w:val="auto"/>
        </w:rPr>
        <w:t>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spacing w:after="0" w:line="14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current economic downturn may lead to decreased demand for our products and services and otherwise harm our business and results of operations.</w:t>
      </w:r>
    </w:p>
    <w:p>
      <w:pPr>
        <w:spacing w:after="0" w:line="11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49"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falling overall demand for goods and services, leading to reduced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credit availability;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borrowing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credit, equity and foreign exchange markets;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bankruptcies.</w:t>
      </w:r>
    </w:p>
    <w:p>
      <w:pPr>
        <w:spacing w:after="0" w:line="21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06"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We currently serve the majority of our platform functions from third-party data center hosting facilities operated by Amazon Web Services located in northern Virginia and Frankfurt, Germany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emergencies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2" w:name="page43"/>
    <w:bookmarkEnd w:id="42"/>
    <w:p>
      <w:pPr>
        <w:ind w:right="240"/>
        <w:spacing w:after="0"/>
        <w:rPr>
          <w:sz w:val="20"/>
          <w:szCs w:val="20"/>
          <w:color w:val="auto"/>
        </w:rPr>
      </w:pPr>
      <w:r>
        <w:rPr>
          <w:rFonts w:ascii="Arial" w:cs="Arial" w:eastAsia="Arial" w:hAnsi="Arial"/>
          <w:sz w:val="18"/>
          <w:szCs w:val="18"/>
          <w:color w:val="auto"/>
        </w:rPr>
        <w:t>Additionally, we may be at risk due to the increased frequency of sophisticated cyber-attacks coordinated by foreign nation states. For example, the ongoing conflict between Russia and Ukraine may result in a heightened threat environment and create unknown cyber risks, including increased risk of retaliatory cyber-attacks from Russian actors against U.S.-based companies.</w:t>
      </w:r>
    </w:p>
    <w:p>
      <w:pPr>
        <w:spacing w:after="0" w:line="149" w:lineRule="exact"/>
        <w:rPr>
          <w:sz w:val="20"/>
          <w:szCs w:val="20"/>
          <w:color w:val="auto"/>
        </w:rPr>
      </w:pPr>
    </w:p>
    <w:p>
      <w:pPr>
        <w:ind w:right="80" w:firstLine="509"/>
        <w:spacing w:after="0" w:line="234"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6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30"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5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6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23" w:lineRule="exact"/>
        <w:rPr>
          <w:sz w:val="20"/>
          <w:szCs w:val="20"/>
          <w:color w:val="auto"/>
        </w:rPr>
      </w:pPr>
    </w:p>
    <w:p>
      <w:pPr>
        <w:ind w:right="60" w:firstLine="509"/>
        <w:spacing w:after="0" w:line="285" w:lineRule="auto"/>
        <w:rPr>
          <w:sz w:val="20"/>
          <w:szCs w:val="20"/>
          <w:color w:val="auto"/>
        </w:rPr>
      </w:pPr>
      <w:r>
        <w:rPr>
          <w:rFonts w:ascii="Arial" w:cs="Arial" w:eastAsia="Arial" w:hAnsi="Arial"/>
          <w:sz w:val="16"/>
          <w:szCs w:val="16"/>
          <w:color w:val="auto"/>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1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5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3" w:name="page44"/>
    <w:bookmarkEnd w:id="43"/>
    <w:p>
      <w:pPr>
        <w:ind w:right="80" w:firstLine="509"/>
        <w:spacing w:after="0" w:line="265" w:lineRule="auto"/>
        <w:rPr>
          <w:sz w:val="20"/>
          <w:szCs w:val="20"/>
          <w:color w:val="auto"/>
        </w:rPr>
      </w:pPr>
      <w:r>
        <w:rPr>
          <w:rFonts w:ascii="Arial" w:cs="Arial" w:eastAsia="Arial" w:hAnsi="Arial"/>
          <w:sz w:val="16"/>
          <w:szCs w:val="16"/>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103"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58" w:lineRule="exact"/>
        <w:rPr>
          <w:sz w:val="20"/>
          <w:szCs w:val="20"/>
          <w:color w:val="auto"/>
        </w:rPr>
      </w:pPr>
    </w:p>
    <w:p>
      <w:pPr>
        <w:ind w:right="60" w:firstLine="554"/>
        <w:spacing w:after="0" w:line="249"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8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data.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41" w:lineRule="exact"/>
        <w:rPr>
          <w:sz w:val="20"/>
          <w:szCs w:val="20"/>
          <w:color w:val="auto"/>
        </w:rPr>
      </w:pPr>
    </w:p>
    <w:p>
      <w:pPr>
        <w:jc w:val="both"/>
        <w:ind w:right="160" w:firstLine="509"/>
        <w:spacing w:after="0" w:line="238" w:lineRule="auto"/>
        <w:rPr>
          <w:sz w:val="20"/>
          <w:szCs w:val="20"/>
          <w:color w:val="auto"/>
        </w:rPr>
      </w:pPr>
      <w:r>
        <w:rPr>
          <w:rFonts w:ascii="Arial" w:cs="Arial" w:eastAsia="Arial" w:hAnsi="Arial"/>
          <w:sz w:val="18"/>
          <w:szCs w:val="18"/>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p>
      <w:pPr>
        <w:spacing w:after="0" w:line="246" w:lineRule="auto"/>
        <w:rPr>
          <w:sz w:val="20"/>
          <w:szCs w:val="20"/>
          <w:color w:val="auto"/>
        </w:rPr>
      </w:pPr>
      <w:r>
        <w:rPr>
          <w:rFonts w:ascii="Arial" w:cs="Arial" w:eastAsia="Arial" w:hAnsi="Arial"/>
          <w:sz w:val="17"/>
          <w:szCs w:val="17"/>
          <w:color w:val="auto"/>
        </w:rPr>
        <w:t>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w:t>
      </w:r>
    </w:p>
    <w:p>
      <w:pPr>
        <w:spacing w:after="0" w:line="151" w:lineRule="exact"/>
        <w:rPr>
          <w:sz w:val="20"/>
          <w:szCs w:val="20"/>
          <w:color w:val="auto"/>
        </w:rPr>
      </w:pPr>
    </w:p>
    <w:p>
      <w:pPr>
        <w:ind w:right="20" w:firstLine="509"/>
        <w:spacing w:after="0" w:line="261"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or to disrupt our operations or ability to provide our services.</w:t>
      </w:r>
    </w:p>
    <w:p>
      <w:pPr>
        <w:spacing w:after="0" w:line="140"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53" w:lineRule="exact"/>
        <w:rPr>
          <w:sz w:val="20"/>
          <w:szCs w:val="20"/>
          <w:color w:val="auto"/>
        </w:rPr>
      </w:pPr>
    </w:p>
    <w:p>
      <w:pPr>
        <w:ind w:right="20" w:firstLine="509"/>
        <w:spacing w:after="0" w:line="264" w:lineRule="auto"/>
        <w:rPr>
          <w:sz w:val="20"/>
          <w:szCs w:val="20"/>
          <w:color w:val="auto"/>
        </w:rPr>
      </w:pPr>
      <w:r>
        <w:rPr>
          <w:rFonts w:ascii="Arial" w:cs="Arial" w:eastAsia="Arial" w:hAnsi="Arial"/>
          <w:sz w:val="16"/>
          <w:szCs w:val="16"/>
          <w:color w:val="auto"/>
        </w:rPr>
        <w:t>Recent high-profile security breaches and related disclosures of sensitive data by large institutions suggest that the risk of such events is significant, even if privacy protection and security measures are implemented and enforced. 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ind w:right="20" w:firstLine="509"/>
        <w:spacing w:after="0" w:line="247" w:lineRule="auto"/>
        <w:rPr>
          <w:sz w:val="20"/>
          <w:szCs w:val="20"/>
          <w:color w:val="auto"/>
        </w:rPr>
      </w:pPr>
      <w:r>
        <w:rPr>
          <w:rFonts w:ascii="Arial" w:cs="Arial" w:eastAsia="Arial" w:hAnsi="Arial"/>
          <w:sz w:val="17"/>
          <w:szCs w:val="17"/>
          <w:color w:val="auto"/>
        </w:rPr>
        <w:t>Many governments have enacted laws requiring companies to notify individuals of data security incidents or unauthorized transfers involving certain types of personal data. In addition, the data processing agreements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47"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31"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3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30"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6" w:name="page47"/>
    <w:bookmarkEnd w:id="46"/>
    <w:p>
      <w:pPr>
        <w:ind w:right="280"/>
        <w:spacing w:after="0" w:line="257" w:lineRule="auto"/>
        <w:rPr>
          <w:sz w:val="20"/>
          <w:szCs w:val="20"/>
          <w:color w:val="auto"/>
        </w:rPr>
      </w:pPr>
      <w:r>
        <w:rPr>
          <w:rFonts w:ascii="Arial" w:cs="Arial" w:eastAsia="Arial" w:hAnsi="Arial"/>
          <w:sz w:val="17"/>
          <w:szCs w:val="17"/>
          <w:color w:val="auto"/>
        </w:rPr>
        <w:t>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35" w:lineRule="exact"/>
        <w:rPr>
          <w:sz w:val="20"/>
          <w:szCs w:val="20"/>
          <w:color w:val="auto"/>
        </w:rPr>
      </w:pPr>
    </w:p>
    <w:p>
      <w:pPr>
        <w:ind w:right="300" w:firstLine="509"/>
        <w:spacing w:after="0" w:line="278"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20"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71" w:lineRule="exact"/>
        <w:rPr>
          <w:sz w:val="20"/>
          <w:szCs w:val="20"/>
          <w:color w:val="auto"/>
        </w:rPr>
      </w:pPr>
    </w:p>
    <w:p>
      <w:pPr>
        <w:ind w:right="40" w:firstLine="509"/>
        <w:spacing w:after="0" w:line="246"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14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("FTC"), and various state, local and foreign agencies. We collect personal data and other data from our customers, prospects, and partners.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4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data of individuals. In the United States, the FTC and many state attorneys general are applying federal and state consumer protection laws to impose standards for the online collection, use and dissemination of personal data and other.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2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jc w:val="both"/>
        <w:ind w:right="60"/>
        <w:spacing w:after="0"/>
        <w:rPr>
          <w:sz w:val="20"/>
          <w:szCs w:val="20"/>
          <w:color w:val="auto"/>
        </w:rPr>
      </w:pPr>
      <w:r>
        <w:rPr>
          <w:rFonts w:ascii="Arial" w:cs="Arial" w:eastAsia="Arial" w:hAnsi="Arial"/>
          <w:sz w:val="18"/>
          <w:szCs w:val="18"/>
          <w:color w:val="auto"/>
        </w:rPr>
        <w:t>international data privacy laws and regulations could harm our ability to successfully operate our business and pursue our business goals. For example, the California Consumer Privacy Act (the “CCPA”), among other things, require covered companies to provide disclosures to California consumers and afford such consumers the ability to opt-out of sales of personal data.</w:t>
      </w:r>
    </w:p>
    <w:p>
      <w:pPr>
        <w:spacing w:after="0" w:line="149"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on January 1, 2023, the CPRA imposes additional obligations on companies covered by the legislation and will significantly modify the CCPA, including by expanding consumers’ rights with respect to certain sensitive personal data. The CPRA also creates a new state agency that will be vested with authority to implement regulations and enforce the CCPA and the CPRA. It is not yet fully clear how the CCPA and CPRA will be enforced and how certain of its requirements will be interpreted.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data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51"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For example, on March 2, 2021, Virginia enacted the Consumer Data Protection Act (the “CDPA”). The CDPA will become effective January 1, 2023. The CDPA will regulate how businesses (which the CDPA refers to as “controllers”) collect and share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5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Also, on July 8, 2021, Colorado’s governor signed the Colorado Privacy Act (“CPA”) into law. The CPA will become effective July 1, 2023. The CPA is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 In addition, on March 24, 2022, Utah enacted the Utah Consumer Privacy Act (“UCPA”), which will become effective on December 31, 2023. Also, in May 2022, Connecticut Governor Lamont signed the Connecticut Data Privacy Act (CTDPA) into law. The UCPA and CTDPA draw heavily upon their predecessors in Virginia and Colorado.</w:t>
      </w:r>
    </w:p>
    <w:p>
      <w:pPr>
        <w:spacing w:after="0" w:line="125" w:lineRule="exact"/>
        <w:rPr>
          <w:sz w:val="20"/>
          <w:szCs w:val="20"/>
          <w:color w:val="auto"/>
        </w:rPr>
      </w:pPr>
    </w:p>
    <w:p>
      <w:pPr>
        <w:ind w:right="100" w:firstLine="509"/>
        <w:spacing w:after="0" w:line="232" w:lineRule="auto"/>
        <w:rPr>
          <w:sz w:val="20"/>
          <w:szCs w:val="20"/>
          <w:color w:val="auto"/>
        </w:rPr>
      </w:pPr>
      <w:r>
        <w:rPr>
          <w:rFonts w:ascii="Arial" w:cs="Arial" w:eastAsia="Arial" w:hAnsi="Arial"/>
          <w:sz w:val="18"/>
          <w:szCs w:val="18"/>
          <w:color w:val="auto"/>
        </w:rPr>
        <w:t>With the CTDPA, Connecticut became the fifth state to enact a comprehensive privacy law. A number of additional other states have proposed bills for comprehensive consumer privacy laws and it is quite possible that certain of these bills will pass. The existence of comprehensive privacy laws in different states in the country, if enacted, will add additional complexity, variation in requirements, restrictions and potential legal risk, require additional investment of resources in compliance programs, impact strategies and the availability of previously useful data, and has resulted in and will result in increased compliance costs and/or changes in business practices and policies. At the federal level, there is a significant and potentially transformative bipartisan bill being debated. If passed, this proposed legislation, the American Data Privacy and Protection Act, would help to streamline certain of our privacy obligations, but would also introduce new stringent privacy and data security obligations that would apply to personal data collected from throughout the United States.</w:t>
      </w:r>
    </w:p>
    <w:p>
      <w:pPr>
        <w:spacing w:after="0" w:line="15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6"/>
          <w:szCs w:val="16"/>
          <w:color w:val="auto"/>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spacing w:after="0" w:line="131" w:lineRule="exact"/>
        <w:rPr>
          <w:sz w:val="20"/>
          <w:szCs w:val="20"/>
          <w:color w:val="auto"/>
        </w:rPr>
      </w:pPr>
    </w:p>
    <w:p>
      <w:pPr>
        <w:jc w:val="both"/>
        <w:ind w:right="120" w:firstLine="509"/>
        <w:spacing w:after="0" w:line="257" w:lineRule="auto"/>
        <w:rPr>
          <w:sz w:val="20"/>
          <w:szCs w:val="20"/>
          <w:color w:val="auto"/>
        </w:rPr>
      </w:pPr>
      <w:r>
        <w:rPr>
          <w:rFonts w:ascii="Arial" w:cs="Arial" w:eastAsia="Arial" w:hAnsi="Arial"/>
          <w:sz w:val="17"/>
          <w:szCs w:val="17"/>
          <w:color w:val="auto"/>
        </w:rPr>
        <w:t>In Japan, for example, the Act on the Protection of Personal Information (“APPI”) of Japan regulates privacy protection issues in Japan. The APPI shares similarities with the GDPR, including extraterritorial application and obligations to provide certain notices and rights to citizens of Japan. In Japan, our email marketing activities are also subject to stringent regulation under the Law Concerning the Proper Transmission of Specified Electronic Mail and the Law for the Partial Amendment to the Law Concerning Specified Commercial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8" w:name="page49"/>
    <w:bookmarkEnd w:id="48"/>
    <w:p>
      <w:pPr>
        <w:ind w:right="20" w:firstLine="509"/>
        <w:spacing w:after="0" w:line="263" w:lineRule="auto"/>
        <w:rPr>
          <w:sz w:val="20"/>
          <w:szCs w:val="20"/>
          <w:color w:val="auto"/>
        </w:rPr>
      </w:pPr>
      <w:r>
        <w:rPr>
          <w:rFonts w:ascii="Arial" w:cs="Arial" w:eastAsia="Arial" w:hAnsi="Arial"/>
          <w:sz w:val="16"/>
          <w:szCs w:val="16"/>
          <w:color w:val="auto"/>
        </w:rPr>
        <w:t>In Canada, our collection, use, disclosure, and management of personal information must comply with both federal and provincial privacy laws, which impose separate requirements, but may overlap in some instances. The Personal Information Protection and Electronic Documents Act, or PIPEDA, applies in all Canadian provinces except Alberta, British Columbia and Québec, as well as to the transfer of consumer data across provincial borders. PIPEDA imposes stringent consumer data protection obligations, requires privacy breach reporting, and limits the purposes for which organizations may collect, use, and disclose consumer data. The provinces of Alberta, British Columbia, and Québec have enacted separate data privacy laws that are substantially similar to PIPEDA, but all three additionally apply to our handling of our own employees’ personal data within their respective provinces. Notably, Québec’s Act respecting the protection of personal information in the private sector, or the Private Sector Act, was amended by Bill 64, an Act to modernize legislative provisions as regards the protection of personal information, which introduced major amendments to the Private Sector Act, notably, to impose significant and stringent new obligations on Québec businesses while increasing the powers of Quebec’s supervisory authority. We may incur additional costs and expenses related to compliance with these laws and may incur significant liability if we are not able to comply with these laws. We are also subject to Canada’s anti-spam legislation, or CASL, which includes rules governing commercial electronic messages, which include marketing emails, text messages, and social media advertisements. Under these rules, we must follow certain standards when sending marketing communications, are prohibited from sending them to customers without their consent and can be held liable for violations.</w:t>
      </w:r>
    </w:p>
    <w:p>
      <w:pPr>
        <w:spacing w:after="0" w:line="133"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Within the European Union, legislators adopted the GDPR, which became effective in May 2018, and which imposes heightened obligations and risk upon our business and which may substantially increase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48" w:lineRule="exact"/>
        <w:rPr>
          <w:sz w:val="20"/>
          <w:szCs w:val="20"/>
          <w:color w:val="auto"/>
        </w:rPr>
      </w:pPr>
    </w:p>
    <w:p>
      <w:pPr>
        <w:ind w:firstLine="509"/>
        <w:spacing w:after="0" w:line="261" w:lineRule="auto"/>
        <w:rPr>
          <w:sz w:val="20"/>
          <w:szCs w:val="20"/>
          <w:color w:val="auto"/>
        </w:rPr>
      </w:pPr>
      <w:r>
        <w:rPr>
          <w:rFonts w:ascii="Arial" w:cs="Arial" w:eastAsia="Arial" w:hAnsi="Arial"/>
          <w:sz w:val="16"/>
          <w:szCs w:val="16"/>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On July 16, 2020, the European Court of Justice invalidated the EU–US Privacy Shield ruling that facilitated transfers of personal data from the European Economic Area to the U.S. because it failed to offer adequate protections for personal data. The European Court of Justice, in the same decision, deemed that the Standard Contractual Clauses ("SCCs"), approved by the European Commission for transfers of personal data between European Economic Area controllers and non-European Economic Area processors are valid, however the European Court of Justice deemed that transfers made pursuant to the SCCs need to be analyzed on a case-by-case basis to ensure the European Economic Area's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Economic Area may require their vendors to host all personal data within the European Economic Area and may decide to do business with one of our competitors who hosts personal data within the European Economic Area instead of doing business with us. In addition, some companies based in Europe may be reluctant to transfer personal data to us for processing outside the European Economic Area because of the burden on some requirements to conduct transfer impact assessments in order to rely on the SCCs as well as the substantial obligations that the recently updated SCCs impose upon data exporters. On March 21, 2022, the United Kingdom adopted new international data transfer agreement templates ("IDTAs")and/or UK Addendum to facilitate transfers of personal data from the United Kingdom. The IDTAs and/or UK Addendumallow for a transition period in which controllers and processors may move to the new forms. We are in the process of transitioning to the IDTAs and UK Addendum and doing so will require significant effort and cost. The European Commission and the U.S. White House announced that they had reached an agreement in principle on a data transfer framework to replace the Privacy Shield 2.0. However, it is too soon to tell how this future framework will evolve and what impact it will have on our cross-border activities. We continue to monitor developments with respect to cross-border transfers and any prospective impacts on our activities.</w:t>
      </w:r>
    </w:p>
    <w:p>
      <w:pPr>
        <w:spacing w:after="0" w:line="33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data, is rapidly evolving and is likely to continue to be subject to uncertainty and varying interpretations. In addition to new and strengthened laws and regulations in the U.S., European Union, and United Kingdom, many foreign jurisdictions have passed new laws, strengthened existing laws, or are contemplating new laws regulating personal data. For example, South Africa’s Protection of Personal Information Act came into force on July 1, 2021, and imposes significant new requirements,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9" w:name="page50"/>
    <w:bookmarkEnd w:id="49"/>
    <w:p>
      <w:pPr>
        <w:spacing w:after="0" w:line="247" w:lineRule="auto"/>
        <w:rPr>
          <w:sz w:val="20"/>
          <w:szCs w:val="20"/>
          <w:color w:val="auto"/>
        </w:rPr>
      </w:pPr>
      <w:r>
        <w:rPr>
          <w:rFonts w:ascii="Arial" w:cs="Arial" w:eastAsia="Arial" w:hAnsi="Arial"/>
          <w:sz w:val="17"/>
          <w:szCs w:val="17"/>
          <w:color w:val="auto"/>
        </w:rPr>
        <w:t>with potentially significant penalties for non-compliance, on businesses that operate in South Africa. India is contemplating a new Personal Data Protection Bill that would, among other things, make it challenging to transfer personal data from India to countries outside of India. It is possible that these laws may impose, or may be interpreted and applied to impose, requirements that are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47"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4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30" w:lineRule="exact"/>
        <w:rPr>
          <w:sz w:val="20"/>
          <w:szCs w:val="20"/>
          <w:color w:val="auto"/>
        </w:rPr>
      </w:pPr>
    </w:p>
    <w:p>
      <w:pPr>
        <w:ind w:right="140" w:firstLine="509"/>
        <w:spacing w:after="0" w:line="250"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85" w:lineRule="exact"/>
        <w:rPr>
          <w:sz w:val="20"/>
          <w:szCs w:val="20"/>
          <w:color w:val="auto"/>
        </w:rPr>
      </w:pPr>
    </w:p>
    <w:p>
      <w:pPr>
        <w:ind w:left="1020" w:right="20" w:hanging="503"/>
        <w:spacing w:after="0" w:line="277"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37" w:lineRule="exact"/>
        <w:rPr>
          <w:rFonts w:ascii="Arial" w:cs="Arial" w:eastAsia="Arial" w:hAnsi="Arial"/>
          <w:sz w:val="16"/>
          <w:szCs w:val="16"/>
          <w:color w:val="auto"/>
        </w:rPr>
      </w:pPr>
    </w:p>
    <w:p>
      <w:pPr>
        <w:ind w:left="1020" w:right="80" w:hanging="503"/>
        <w:spacing w:after="0" w:line="24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0" w:name="page51"/>
    <w:bookmarkEnd w:id="50"/>
    <w:p>
      <w:pPr>
        <w:ind w:left="1020" w:right="60" w:hanging="503"/>
        <w:spacing w:after="0" w:line="27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2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53"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48"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37" w:lineRule="exact"/>
        <w:rPr>
          <w:sz w:val="20"/>
          <w:szCs w:val="20"/>
          <w:color w:val="auto"/>
        </w:rPr>
      </w:pPr>
    </w:p>
    <w:p>
      <w:pPr>
        <w:ind w:right="880" w:firstLine="45"/>
        <w:spacing w:after="0" w:line="261"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117" w:lineRule="exact"/>
        <w:rPr>
          <w:sz w:val="20"/>
          <w:szCs w:val="20"/>
          <w:color w:val="auto"/>
        </w:rPr>
      </w:pPr>
    </w:p>
    <w:p>
      <w:pPr>
        <w:ind w:right="240" w:firstLine="509"/>
        <w:spacing w:after="0" w:line="25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43" w:lineRule="exact"/>
        <w:rPr>
          <w:sz w:val="20"/>
          <w:szCs w:val="20"/>
          <w:color w:val="auto"/>
        </w:rPr>
      </w:pPr>
    </w:p>
    <w:p>
      <w:pPr>
        <w:ind w:right="80" w:firstLine="509"/>
        <w:spacing w:after="0" w:line="234"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6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3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1" w:name="page52"/>
    <w:bookmarkEnd w:id="51"/>
    <w:p>
      <w:pPr>
        <w:ind w:right="80"/>
        <w:spacing w:after="0" w:line="250" w:lineRule="auto"/>
        <w:rPr>
          <w:sz w:val="20"/>
          <w:szCs w:val="20"/>
          <w:color w:val="auto"/>
        </w:rPr>
      </w:pPr>
      <w:r>
        <w:rPr>
          <w:rFonts w:ascii="Arial" w:cs="Arial" w:eastAsia="Arial" w:hAnsi="Arial"/>
          <w:sz w:val="17"/>
          <w:szCs w:val="17"/>
          <w:color w:val="auto"/>
        </w:rPr>
        <w:t>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p>
    <w:p>
      <w:pPr>
        <w:spacing w:after="0" w:line="141"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7"/>
          <w:szCs w:val="17"/>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47"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03"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8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30"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2" w:name="page53"/>
    <w:bookmarkEnd w:id="52"/>
    <w:p>
      <w:pPr>
        <w:ind w:right="120"/>
        <w:spacing w:after="0" w:line="285" w:lineRule="auto"/>
        <w:rPr>
          <w:sz w:val="20"/>
          <w:szCs w:val="20"/>
          <w:color w:val="auto"/>
        </w:rPr>
      </w:pPr>
      <w:r>
        <w:rPr>
          <w:rFonts w:ascii="Arial" w:cs="Arial" w:eastAsia="Arial" w:hAnsi="Arial"/>
          <w:sz w:val="16"/>
          <w:szCs w:val="16"/>
          <w:color w:val="auto"/>
        </w:rPr>
        <w:t>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2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130"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be increased.</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7"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83" w:lineRule="exact"/>
        <w:rPr>
          <w:sz w:val="20"/>
          <w:szCs w:val="20"/>
          <w:color w:val="auto"/>
        </w:rPr>
      </w:pPr>
    </w:p>
    <w:p>
      <w:pPr>
        <w:ind w:firstLine="509"/>
        <w:spacing w:after="0" w:line="262"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2021, we had $1.2 billion of U.S. federal and $737.8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two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85"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generated net losses of $97.1 million and $61.5 million for the nine months ended September 30, 2022 and 2021, respectively. As of September 30, 2022, we had an accumulated deficit of $626.7 million. We will need to generate and sustain increased revenue levels in future periods to become profitable, and, even if we do, we may not be able to maintain or increase our level of profitability. We have spent and intend to continue to expend funds to grow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192"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From time to time, we may invest in social impact investment funds. For example, in December 2020, we committed $20 million to social impact investing. Our first allocation of those funds was a $12.5 million investment in the Black Economic Development Fund (“BEDF”) by December 2023. As of the date of this report, we have made contributions of $6.3 million in cash for an aggregate of 5%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In December 2021, we invested the remaining commitment of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6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0"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16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71" w:lineRule="exact"/>
        <w:rPr>
          <w:rFonts w:ascii="Arial" w:cs="Arial" w:eastAsia="Arial" w:hAnsi="Arial"/>
          <w:sz w:val="18"/>
          <w:szCs w:val="18"/>
          <w:color w:val="auto"/>
        </w:rPr>
      </w:pPr>
    </w:p>
    <w:p>
      <w:pPr>
        <w:ind w:left="1020" w:right="9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our CRM Platform subscriptions effectively so that we are able to attract and retain customers without compromising our profitability;</w:t>
      </w:r>
    </w:p>
    <w:p>
      <w:pPr>
        <w:spacing w:after="0" w:line="116"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84"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71"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8"/>
          <w:szCs w:val="18"/>
          <w:color w:val="auto"/>
        </w:rPr>
      </w:pPr>
    </w:p>
    <w:p>
      <w:pPr>
        <w:ind w:left="5540" w:right="200" w:hanging="5023"/>
        <w:spacing w:after="0" w:line="512" w:lineRule="auto"/>
        <w:tabs>
          <w:tab w:leader="none" w:pos="10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while maintaining our company culture;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4" w:name="page55"/>
    <w:bookmarkEnd w:id="54"/>
    <w:p>
      <w:pPr>
        <w:ind w:left="1020" w:right="5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14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rising inflation in the economies in which we operate and our ability to control costs, including operating expenses;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58"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30" w:lineRule="exact"/>
        <w:rPr>
          <w:sz w:val="20"/>
          <w:szCs w:val="20"/>
          <w:color w:val="auto"/>
        </w:rPr>
      </w:pPr>
    </w:p>
    <w:p>
      <w:pPr>
        <w:jc w:val="both"/>
        <w:ind w:right="500" w:firstLine="509"/>
        <w:spacing w:after="0" w:line="285"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2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103"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41" w:lineRule="exact"/>
        <w:rPr>
          <w:sz w:val="20"/>
          <w:szCs w:val="20"/>
          <w:color w:val="auto"/>
        </w:rPr>
      </w:pPr>
    </w:p>
    <w:p>
      <w:pPr>
        <w:ind w:right="20" w:firstLine="509"/>
        <w:spacing w:after="0" w:line="247" w:lineRule="auto"/>
        <w:rPr>
          <w:sz w:val="20"/>
          <w:szCs w:val="20"/>
          <w:color w:val="auto"/>
        </w:rPr>
      </w:pPr>
      <w:r>
        <w:rPr>
          <w:rFonts w:ascii="Arial" w:cs="Arial" w:eastAsia="Arial" w:hAnsi="Arial"/>
          <w:sz w:val="17"/>
          <w:szCs w:val="17"/>
          <w:color w:val="auto"/>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4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ind w:right="20"/>
        <w:spacing w:after="0" w:line="265" w:lineRule="auto"/>
        <w:rPr>
          <w:sz w:val="20"/>
          <w:szCs w:val="20"/>
          <w:color w:val="auto"/>
        </w:rPr>
      </w:pPr>
      <w:r>
        <w:rPr>
          <w:rFonts w:ascii="Arial" w:cs="Arial" w:eastAsia="Arial" w:hAnsi="Arial"/>
          <w:sz w:val="16"/>
          <w:szCs w:val="16"/>
          <w:color w:val="auto"/>
        </w:rPr>
        <w:t>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therefore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30" w:lineRule="exact"/>
        <w:rPr>
          <w:sz w:val="20"/>
          <w:szCs w:val="20"/>
          <w:color w:val="auto"/>
        </w:rPr>
      </w:pPr>
    </w:p>
    <w:p>
      <w:pPr>
        <w:ind w:right="1020" w:firstLine="509"/>
        <w:spacing w:after="0" w:line="261"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44" w:lineRule="exact"/>
        <w:rPr>
          <w:sz w:val="20"/>
          <w:szCs w:val="20"/>
          <w:color w:val="auto"/>
        </w:rPr>
      </w:pPr>
    </w:p>
    <w:p>
      <w:pPr>
        <w:ind w:left="1020" w:right="4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171"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58" w:lineRule="exact"/>
        <w:rPr>
          <w:sz w:val="20"/>
          <w:szCs w:val="20"/>
          <w:color w:val="auto"/>
        </w:rPr>
      </w:pPr>
    </w:p>
    <w:p>
      <w:pPr>
        <w:ind w:right="80" w:firstLine="509"/>
        <w:spacing w:after="0" w:line="267" w:lineRule="auto"/>
        <w:rPr>
          <w:sz w:val="20"/>
          <w:szCs w:val="20"/>
          <w:color w:val="auto"/>
        </w:rPr>
      </w:pPr>
      <w:r>
        <w:rPr>
          <w:rFonts w:ascii="Arial" w:cs="Arial" w:eastAsia="Arial" w:hAnsi="Arial"/>
          <w:sz w:val="16"/>
          <w:szCs w:val="16"/>
          <w:color w:val="auto"/>
        </w:rPr>
        <w:t>In the event the conditional conversion feature of the 2025 Notes is triggered, the holders thereof will be entitled to convert the 2025 Notes at any time during specified periods at their option. During the three months ended September 30, 2022, the 2025 Notes did not meet the Conversion Option and are not convertible. Whether the Notes that remain outstanding will be convertible following the calendar quarter ending September 30, 2022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03"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Under Financial Accounting Standards Board (“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 In addition, convertible debt instruments (such as the Notes) that may be settled entirely or partly cash were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August 2020, the FASB published an Accounting Standards Update (“ASU”) 2020-06, which amends the accounting standards for convertible debt instruments that may be settled entirely or partially in cash upon conversion. The new standard eliminates requirements to separately account for liability and equity components of such convertible debt instruments and requires the use of the if-converted method for calculating the diluted earnings per share for convertible debt instruments. We adopted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guidance on January 1, 2022, using the modified retrospective method. Future interest expense of the convertible notes will be lower as a result of adoption of this guidance and net loss per share will be computed using the if-converted method for these securities. See Note 8 of the consolidated financial statements for more details.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7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September 30, 2022. The market price of our common stock may fluctuate significantly in response to numerous factors, many of which are beyond our control, including:</w:t>
      </w:r>
    </w:p>
    <w:p>
      <w:pPr>
        <w:spacing w:after="0" w:line="164" w:lineRule="exact"/>
        <w:rPr>
          <w:sz w:val="20"/>
          <w:szCs w:val="20"/>
          <w:color w:val="auto"/>
        </w:rPr>
      </w:pPr>
    </w:p>
    <w:p>
      <w:pPr>
        <w:ind w:left="1020" w:right="3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14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84" w:lineRule="exact"/>
        <w:rPr>
          <w:rFonts w:ascii="Arial" w:cs="Arial" w:eastAsia="Arial" w:hAnsi="Arial"/>
          <w:sz w:val="18"/>
          <w:szCs w:val="18"/>
          <w:color w:val="auto"/>
        </w:rPr>
      </w:pPr>
    </w:p>
    <w:p>
      <w:pPr>
        <w:ind w:left="1020" w:right="360" w:hanging="503"/>
        <w:spacing w:after="0" w:line="32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97" w:lineRule="exact"/>
        <w:rPr>
          <w:rFonts w:ascii="Arial" w:cs="Arial" w:eastAsia="Arial" w:hAnsi="Arial"/>
          <w:sz w:val="16"/>
          <w:szCs w:val="16"/>
          <w:color w:val="auto"/>
        </w:rPr>
      </w:pPr>
    </w:p>
    <w:p>
      <w:pPr>
        <w:ind w:left="1020" w:right="5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130"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84"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71"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 international disputes, wars (such as the conflict between Russia and Ukraine), and political stability.</w:t>
      </w:r>
    </w:p>
    <w:p>
      <w:pPr>
        <w:spacing w:after="0" w:line="10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41" w:lineRule="exact"/>
        <w:rPr>
          <w:sz w:val="20"/>
          <w:szCs w:val="20"/>
          <w:color w:val="auto"/>
        </w:rPr>
      </w:pPr>
    </w:p>
    <w:p>
      <w:pPr>
        <w:jc w:val="both"/>
        <w:ind w:right="280" w:firstLine="509"/>
        <w:spacing w:after="0"/>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57" w:name="page58"/>
    <w:bookmarkEnd w:id="57"/>
    <w:p>
      <w:pPr>
        <w:ind w:right="380"/>
        <w:spacing w:after="0" w:line="246" w:lineRule="auto"/>
        <w:rPr>
          <w:sz w:val="20"/>
          <w:szCs w:val="20"/>
          <w:color w:val="auto"/>
        </w:rPr>
      </w:pPr>
      <w:r>
        <w:rPr>
          <w:rFonts w:ascii="Arial" w:cs="Arial" w:eastAsia="Arial" w:hAnsi="Arial"/>
          <w:sz w:val="18"/>
          <w:szCs w:val="18"/>
          <w:color w:val="auto"/>
        </w:rPr>
        <w:t>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43"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2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7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62" w:lineRule="exact"/>
        <w:rPr>
          <w:sz w:val="20"/>
          <w:szCs w:val="20"/>
          <w:color w:val="auto"/>
        </w:rPr>
      </w:pPr>
    </w:p>
    <w:p>
      <w:pPr>
        <w:ind w:left="1020" w:right="7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84"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84"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40" w:firstLine="509"/>
        <w:spacing w:after="0" w:line="307"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58" w:name="page59"/>
    <w:bookmarkEnd w:id="58"/>
    <w:p>
      <w:pPr>
        <w:ind w:right="180" w:firstLine="509"/>
        <w:spacing w:after="0"/>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The continuing effects of the COVID-19 pandemic are highly unpredictable and could be significant, and the duration and extent to which this will impact our future results of operations and overall financial performance remains uncertain.</w:t>
      </w:r>
    </w:p>
    <w:p>
      <w:pPr>
        <w:spacing w:after="0" w:line="130" w:lineRule="exact"/>
        <w:rPr>
          <w:sz w:val="20"/>
          <w:szCs w:val="20"/>
          <w:color w:val="auto"/>
        </w:rPr>
      </w:pPr>
    </w:p>
    <w:p>
      <w:pPr>
        <w:ind w:right="40" w:firstLine="509"/>
        <w:spacing w:after="0" w:line="265" w:lineRule="auto"/>
        <w:rPr>
          <w:sz w:val="20"/>
          <w:szCs w:val="20"/>
          <w:color w:val="auto"/>
        </w:rPr>
      </w:pPr>
      <w:r>
        <w:rPr>
          <w:rFonts w:ascii="Arial" w:cs="Arial" w:eastAsia="Arial" w:hAnsi="Arial"/>
          <w:sz w:val="16"/>
          <w:szCs w:val="16"/>
          <w:color w:val="auto"/>
        </w:rPr>
        <w:t>The COVID-19 pandemic and virus containment measures taken by federal and state governments have resulted in, and may continue to result in, business slowdowns or shutdowns, weakened economic conditions, economic uncertainty, and volatility in the financial markets, both regionally and worldwide. During the height of the COVID-19 pandemic , we responded with substantial modifications to employee travel and where employees work, as well as virtualization, postponement, or cancellation of certain events, among other changes. We have re-opened our offices on a staggered, region-by-region basis in accordance with local authority guidelines. Although we have been able to navigate workplace restrictions and limitations with minimal disruptions to our business operations to date, we may further modify our business practices and real estate needs in response to the risks and negative impacts caused by the COVID-19 pandemic, but we cannot be certain that these measures will continue to be successful.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w:t>
      </w:r>
    </w:p>
    <w:p>
      <w:pPr>
        <w:spacing w:after="0" w:line="12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While we have not been materially adversely affected to date,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151" w:lineRule="exact"/>
        <w:rPr>
          <w:sz w:val="20"/>
          <w:szCs w:val="20"/>
          <w:color w:val="auto"/>
        </w:rPr>
      </w:pPr>
    </w:p>
    <w:p>
      <w:pPr>
        <w:ind w:right="140" w:firstLine="509"/>
        <w:spacing w:after="0" w:line="269" w:lineRule="auto"/>
        <w:rPr>
          <w:sz w:val="20"/>
          <w:szCs w:val="20"/>
          <w:color w:val="auto"/>
        </w:rPr>
      </w:pPr>
      <w:r>
        <w:rPr>
          <w:rFonts w:ascii="Arial" w:cs="Arial" w:eastAsia="Arial" w:hAnsi="Arial"/>
          <w:sz w:val="16"/>
          <w:szCs w:val="16"/>
          <w:color w:val="auto"/>
        </w:rPr>
        <w:t>The extent to which the pandemic impacts our business operations in future periods will depend on multiple factors that cannot be accurately predicted at this time, such as the duration and scope of the pandemic, future spikes of COVID-19 infections (including the spread of variants or mutant strains, and the degree of transmissibility and severity thereof),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 In addition, supply chain disruption and resulting inflationary pressures, a global labor shortage, the ebb and flow of COVID-19, including in specific geographies, and changes in economic policy could impact our outlook.</w:t>
      </w:r>
    </w:p>
    <w:p>
      <w:pPr>
        <w:spacing w:after="0" w:line="126" w:lineRule="exact"/>
        <w:rPr>
          <w:sz w:val="20"/>
          <w:szCs w:val="20"/>
          <w:color w:val="auto"/>
        </w:rPr>
      </w:pPr>
    </w:p>
    <w:p>
      <w:pPr>
        <w:ind w:right="140" w:firstLine="509"/>
        <w:spacing w:after="0" w:line="278"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7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7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markets.</w:t>
      </w:r>
    </w:p>
    <w:p>
      <w:pPr>
        <w:spacing w:after="0" w:line="200" w:lineRule="exact"/>
        <w:rPr>
          <w:sz w:val="20"/>
          <w:szCs w:val="20"/>
          <w:color w:val="auto"/>
        </w:rPr>
      </w:pPr>
    </w:p>
    <w:p>
      <w:pPr>
        <w:spacing w:after="0" w:line="363" w:lineRule="exact"/>
        <w:rPr>
          <w:sz w:val="20"/>
          <w:szCs w:val="20"/>
          <w:color w:val="auto"/>
        </w:rPr>
      </w:pPr>
    </w:p>
    <w:p>
      <w:pPr>
        <w:ind w:firstLine="554"/>
        <w:spacing w:after="0" w:line="268" w:lineRule="auto"/>
        <w:rPr>
          <w:sz w:val="20"/>
          <w:szCs w:val="20"/>
          <w:color w:val="auto"/>
        </w:rPr>
      </w:pPr>
      <w:r>
        <w:rPr>
          <w:rFonts w:ascii="Arial" w:cs="Arial" w:eastAsia="Arial" w:hAnsi="Arial"/>
          <w:sz w:val="16"/>
          <w:szCs w:val="16"/>
          <w:color w:val="auto"/>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3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3" w:right="439" w:bottom="1440" w:gutter="0" w:footer="0" w:header="0"/>
        </w:sectPr>
      </w:pPr>
    </w:p>
    <w:bookmarkStart w:id="60" w:name="page61"/>
    <w:bookmarkEnd w:id="60"/>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80" w:type="dxa"/>
            <w:vAlign w:val="bottom"/>
            <w:gridSpan w:val="7"/>
            <w:vMerge w:val="restart"/>
          </w:tcPr>
          <w:p>
            <w:pPr>
              <w:ind w:left="6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3.1(1)</w:t>
            </w:r>
          </w:p>
        </w:tc>
        <w:tc>
          <w:tcPr>
            <w:tcW w:w="5580" w:type="dxa"/>
            <w:vAlign w:val="bottom"/>
            <w:tcBorders>
              <w:bottom w:val="single" w:sz="8" w:color="0000FF"/>
            </w:tcBorders>
            <w:gridSpan w:val="7"/>
          </w:tcPr>
          <w:p>
            <w:pPr>
              <w:ind w:left="20"/>
              <w:spacing w:after="0"/>
              <w:rPr>
                <w:rFonts w:ascii="Arial" w:cs="Arial" w:eastAsia="Arial" w:hAnsi="Arial"/>
                <w:sz w:val="18"/>
                <w:szCs w:val="18"/>
                <w:color w:val="0000FF"/>
                <w:w w:val="90"/>
              </w:rPr>
            </w:pPr>
            <w:hyperlink r:id="rId315">
              <w:r>
                <w:rPr>
                  <w:rFonts w:ascii="Arial" w:cs="Arial" w:eastAsia="Arial" w:hAnsi="Arial"/>
                  <w:sz w:val="18"/>
                  <w:szCs w:val="18"/>
                  <w:color w:val="0000FF"/>
                  <w:w w:val="90"/>
                </w:rPr>
                <w:t>Seventh Amended and Restated Certificate of Incorporation of the Registrant</w:t>
              </w:r>
            </w:hyperlink>
          </w:p>
        </w:tc>
        <w:tc>
          <w:tcPr>
            <w:tcW w:w="4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3.2(2)</w:t>
            </w:r>
          </w:p>
        </w:tc>
        <w:tc>
          <w:tcPr>
            <w:tcW w:w="4000" w:type="dxa"/>
            <w:vAlign w:val="bottom"/>
            <w:tcBorders>
              <w:bottom w:val="single" w:sz="8" w:color="0000EE"/>
            </w:tcBorders>
            <w:gridSpan w:val="5"/>
          </w:tcPr>
          <w:p>
            <w:pPr>
              <w:ind w:left="20"/>
              <w:spacing w:after="0"/>
              <w:rPr>
                <w:rFonts w:ascii="Arial" w:cs="Arial" w:eastAsia="Arial" w:hAnsi="Arial"/>
                <w:sz w:val="18"/>
                <w:szCs w:val="18"/>
                <w:color w:val="0000FF"/>
                <w:w w:val="91"/>
              </w:rPr>
            </w:pPr>
            <w:hyperlink r:id="rId316">
              <w:r>
                <w:rPr>
                  <w:rFonts w:ascii="Arial" w:cs="Arial" w:eastAsia="Arial" w:hAnsi="Arial"/>
                  <w:sz w:val="18"/>
                  <w:szCs w:val="18"/>
                  <w:color w:val="0000FF"/>
                  <w:w w:val="91"/>
                </w:rPr>
                <w:t>Third Amended and Restated Bylaws of the Registrant</w:t>
              </w:r>
            </w:hyperlink>
          </w:p>
        </w:tc>
        <w:tc>
          <w:tcPr>
            <w:tcW w:w="5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3.3(3)</w:t>
            </w:r>
          </w:p>
        </w:tc>
        <w:tc>
          <w:tcPr>
            <w:tcW w:w="9980" w:type="dxa"/>
            <w:vAlign w:val="bottom"/>
            <w:gridSpan w:val="12"/>
          </w:tcPr>
          <w:p>
            <w:pPr>
              <w:ind w:left="20"/>
              <w:spacing w:after="0"/>
              <w:rPr>
                <w:rFonts w:ascii="Arial" w:cs="Arial" w:eastAsia="Arial" w:hAnsi="Arial"/>
                <w:sz w:val="18"/>
                <w:szCs w:val="18"/>
                <w:color w:val="0000FF"/>
              </w:rPr>
            </w:pPr>
            <w:hyperlink r:id="rId317">
              <w:r>
                <w:rPr>
                  <w:rFonts w:ascii="Arial" w:cs="Arial" w:eastAsia="Arial" w:hAnsi="Arial"/>
                  <w:sz w:val="18"/>
                  <w:szCs w:val="18"/>
                  <w:color w:val="0000FF"/>
                </w:rPr>
                <w:t>First Amendment to Third Amended and Restated Bylaws of the Registrant</w:t>
              </w:r>
            </w:hyperlink>
          </w:p>
        </w:tc>
        <w:tc>
          <w:tcPr>
            <w:tcW w:w="0" w:type="dxa"/>
            <w:vAlign w:val="bottom"/>
          </w:tcPr>
          <w:p>
            <w:pPr>
              <w:spacing w:after="0"/>
              <w:rPr>
                <w:sz w:val="1"/>
                <w:szCs w:val="1"/>
                <w:color w:val="auto"/>
              </w:rPr>
            </w:pPr>
          </w:p>
        </w:tc>
      </w:tr>
      <w:tr>
        <w:trPr>
          <w:trHeight w:val="344"/>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4.1(4)</w:t>
            </w:r>
          </w:p>
        </w:tc>
        <w:tc>
          <w:tcPr>
            <w:tcW w:w="378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1"/>
              </w:rPr>
            </w:pPr>
            <w:hyperlink r:id="rId318">
              <w:r>
                <w:rPr>
                  <w:rFonts w:ascii="Arial" w:cs="Arial" w:eastAsia="Arial" w:hAnsi="Arial"/>
                  <w:sz w:val="18"/>
                  <w:szCs w:val="18"/>
                  <w:color w:val="0000FF"/>
                  <w:w w:val="91"/>
                </w:rPr>
                <w:t>Form of Common Stock certificate of the Registrant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2"/>
          </w:tcPr>
          <w:p>
            <w:pPr>
              <w:spacing w:after="0"/>
              <w:rPr>
                <w:sz w:val="24"/>
                <w:szCs w:val="24"/>
                <w:color w:val="auto"/>
              </w:rPr>
            </w:pPr>
          </w:p>
        </w:tc>
        <w:tc>
          <w:tcPr>
            <w:tcW w:w="4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7"/>
              </w:rPr>
              <w:t>31.1**</w:t>
            </w:r>
          </w:p>
        </w:tc>
        <w:tc>
          <w:tcPr>
            <w:tcW w:w="9980" w:type="dxa"/>
            <w:vAlign w:val="bottom"/>
            <w:gridSpan w:val="12"/>
          </w:tcPr>
          <w:p>
            <w:pPr>
              <w:ind w:left="20"/>
              <w:spacing w:after="0"/>
              <w:rPr>
                <w:sz w:val="20"/>
                <w:szCs w:val="20"/>
                <w:color w:val="auto"/>
              </w:rPr>
            </w:pPr>
            <w:r>
              <w:rPr>
                <w:rFonts w:ascii="Arial" w:cs="Arial" w:eastAsia="Arial" w:hAnsi="Arial"/>
                <w:sz w:val="18"/>
                <w:szCs w:val="18"/>
                <w:color w:val="0000FF"/>
                <w:w w:val="95"/>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ind w:left="20"/>
              <w:spacing w:after="0" w:line="169" w:lineRule="exact"/>
              <w:rPr>
                <w:sz w:val="20"/>
                <w:szCs w:val="20"/>
                <w:color w:val="auto"/>
              </w:rPr>
            </w:pPr>
            <w:r>
              <w:rPr>
                <w:rFonts w:ascii="Arial" w:cs="Arial" w:eastAsia="Arial" w:hAnsi="Arial"/>
                <w:sz w:val="18"/>
                <w:szCs w:val="18"/>
                <w:color w:val="0000FF"/>
                <w:w w:val="82"/>
              </w:rPr>
              <w:t>amended</w:t>
            </w:r>
          </w:p>
        </w:tc>
        <w:tc>
          <w:tcPr>
            <w:tcW w:w="20" w:type="dxa"/>
            <w:vAlign w:val="bottom"/>
            <w:tcBorders>
              <w:top w:val="single" w:sz="8" w:color="0000FF"/>
              <w:bottom w:val="single" w:sz="8" w:color="0000EE"/>
            </w:tcBorders>
          </w:tcPr>
          <w:p>
            <w:pPr>
              <w:spacing w:after="0"/>
              <w:rPr>
                <w:sz w:val="14"/>
                <w:szCs w:val="14"/>
                <w:color w:val="auto"/>
              </w:rPr>
            </w:pPr>
          </w:p>
        </w:tc>
        <w:tc>
          <w:tcPr>
            <w:tcW w:w="8920" w:type="dxa"/>
            <w:vAlign w:val="bottom"/>
            <w:tcBorders>
              <w:top w:val="single" w:sz="8" w:color="0000FF"/>
            </w:tcBorders>
            <w:gridSpan w:val="9"/>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7"/>
              </w:rPr>
              <w:t>31.2**</w:t>
            </w:r>
          </w:p>
        </w:tc>
        <w:tc>
          <w:tcPr>
            <w:tcW w:w="9980" w:type="dxa"/>
            <w:vAlign w:val="bottom"/>
            <w:gridSpan w:val="12"/>
          </w:tcPr>
          <w:p>
            <w:pPr>
              <w:ind w:left="20"/>
              <w:spacing w:after="0"/>
              <w:rPr>
                <w:sz w:val="20"/>
                <w:szCs w:val="20"/>
                <w:color w:val="auto"/>
              </w:rPr>
            </w:pPr>
            <w:r>
              <w:rPr>
                <w:rFonts w:ascii="Arial" w:cs="Arial" w:eastAsia="Arial" w:hAnsi="Arial"/>
                <w:sz w:val="18"/>
                <w:szCs w:val="18"/>
                <w:color w:val="0000FF"/>
                <w:w w:val="96"/>
              </w:rPr>
              <w:t>Certification of Principal Financial Officer pursuant to Rule 13a-14(a) or Rule 15d-14(a) of the Securities Exchange Act of 1934, as</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ind w:left="20"/>
              <w:spacing w:after="0" w:line="169" w:lineRule="exact"/>
              <w:rPr>
                <w:sz w:val="20"/>
                <w:szCs w:val="20"/>
                <w:color w:val="auto"/>
              </w:rPr>
            </w:pPr>
            <w:r>
              <w:rPr>
                <w:rFonts w:ascii="Arial" w:cs="Arial" w:eastAsia="Arial" w:hAnsi="Arial"/>
                <w:sz w:val="18"/>
                <w:szCs w:val="18"/>
                <w:color w:val="0000FF"/>
                <w:w w:val="82"/>
              </w:rPr>
              <w:t>amended</w:t>
            </w:r>
          </w:p>
        </w:tc>
        <w:tc>
          <w:tcPr>
            <w:tcW w:w="20" w:type="dxa"/>
            <w:vAlign w:val="bottom"/>
            <w:tcBorders>
              <w:top w:val="single" w:sz="8" w:color="0000FF"/>
              <w:bottom w:val="single" w:sz="8" w:color="0000EE"/>
            </w:tcBorders>
          </w:tcPr>
          <w:p>
            <w:pPr>
              <w:spacing w:after="0"/>
              <w:rPr>
                <w:sz w:val="14"/>
                <w:szCs w:val="14"/>
                <w:color w:val="auto"/>
              </w:rPr>
            </w:pPr>
          </w:p>
        </w:tc>
        <w:tc>
          <w:tcPr>
            <w:tcW w:w="8880" w:type="dxa"/>
            <w:vAlign w:val="bottom"/>
            <w:tcBorders>
              <w:top w:val="single" w:sz="8" w:color="0000FF"/>
            </w:tcBorders>
            <w:gridSpan w:val="8"/>
          </w:tcPr>
          <w:p>
            <w:pPr>
              <w:spacing w:after="0"/>
              <w:rPr>
                <w:sz w:val="14"/>
                <w:szCs w:val="14"/>
                <w:color w:val="auto"/>
              </w:rPr>
            </w:pPr>
          </w:p>
        </w:tc>
        <w:tc>
          <w:tcPr>
            <w:tcW w:w="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5"/>
              </w:rPr>
              <w:t>32.1*</w:t>
            </w:r>
          </w:p>
        </w:tc>
        <w:tc>
          <w:tcPr>
            <w:tcW w:w="912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Section 906 of the Sarbanes-Oxley Act</w:t>
            </w:r>
          </w:p>
        </w:tc>
        <w:tc>
          <w:tcPr>
            <w:tcW w:w="20" w:type="dxa"/>
            <w:vAlign w:val="bottom"/>
            <w:tcBorders>
              <w:bottom w:val="single" w:sz="8" w:color="0000EE"/>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07"/>
        <w:spacing w:after="0"/>
        <w:tabs>
          <w:tab w:leader="none" w:pos="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23" w:lineRule="exact"/>
        <w:rPr>
          <w:rFonts w:ascii="Arial" w:cs="Arial" w:eastAsia="Arial" w:hAnsi="Arial"/>
          <w:sz w:val="18"/>
          <w:szCs w:val="18"/>
          <w:color w:val="auto"/>
        </w:rPr>
      </w:pPr>
    </w:p>
    <w:p>
      <w:pPr>
        <w:ind w:left="440" w:hanging="432"/>
        <w:spacing w:after="0" w:line="236"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5, 2020.</w:t>
      </w:r>
    </w:p>
    <w:p>
      <w:pPr>
        <w:ind w:left="440" w:hanging="432"/>
        <w:spacing w:after="0" w:line="23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Current Report on Form 8-K filed on April 14, 2022.</w:t>
      </w:r>
    </w:p>
    <w:p>
      <w:pPr>
        <w:ind w:left="520" w:right="160" w:hanging="512"/>
        <w:spacing w:after="0" w:line="243"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4.1 to Amendment No. 1 to Registrant’s Registration Statement on Form S-1 (SEC file No. 333-198333) filed on September 26, 2014.</w:t>
      </w:r>
    </w:p>
    <w:p>
      <w:pPr>
        <w:spacing w:after="0" w:line="186" w:lineRule="exact"/>
        <w:rPr>
          <w:sz w:val="20"/>
          <w:szCs w:val="20"/>
          <w:color w:val="auto"/>
        </w:rPr>
      </w:pPr>
    </w:p>
    <w:p>
      <w:pPr>
        <w:ind w:left="520" w:right="80" w:hanging="512"/>
        <w:spacing w:after="0" w:line="290" w:lineRule="auto"/>
        <w:tabs>
          <w:tab w:leader="none" w:pos="4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6320"/>
        <w:spacing w:after="0"/>
        <w:rPr>
          <w:sz w:val="20"/>
          <w:szCs w:val="20"/>
          <w:color w:val="auto"/>
        </w:rPr>
      </w:pPr>
      <w:r>
        <w:rPr>
          <w:rFonts w:ascii="Arial" w:cs="Arial" w:eastAsia="Arial" w:hAnsi="Arial"/>
          <w:sz w:val="18"/>
          <w:szCs w:val="18"/>
          <w:b w:val="1"/>
          <w:bCs w:val="1"/>
          <w:color w:val="auto"/>
        </w:rPr>
        <w:t>HUBSPOT, INC.</w:t>
      </w:r>
    </w:p>
    <w:p>
      <w:pPr>
        <w:spacing w:after="0" w:line="200" w:lineRule="exact"/>
        <w:rPr>
          <w:sz w:val="20"/>
          <w:szCs w:val="20"/>
          <w:color w:val="auto"/>
        </w:rPr>
      </w:pPr>
    </w:p>
    <w:p>
      <w:pPr>
        <w:spacing w:after="0" w:line="225"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20" w:type="dxa"/>
            <w:vAlign w:val="bottom"/>
          </w:tcPr>
          <w:p>
            <w:pPr>
              <w:spacing w:after="0" w:line="195" w:lineRule="exact"/>
              <w:rPr>
                <w:sz w:val="20"/>
                <w:szCs w:val="20"/>
                <w:color w:val="auto"/>
              </w:rPr>
            </w:pPr>
            <w:r>
              <w:rPr>
                <w:rFonts w:ascii="Arial" w:cs="Arial" w:eastAsia="Arial" w:hAnsi="Arial"/>
                <w:sz w:val="18"/>
                <w:szCs w:val="18"/>
                <w:color w:val="auto"/>
              </w:rPr>
              <w:t>Kate Bueker</w:t>
            </w: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72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189"/>
        </w:trPr>
        <w:tc>
          <w:tcPr>
            <w:tcW w:w="1200" w:type="dxa"/>
            <w:vAlign w:val="bottom"/>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8"/>
                <w:szCs w:val="18"/>
                <w:i w:val="1"/>
                <w:iCs w:val="1"/>
                <w:color w:val="auto"/>
              </w:rPr>
              <w:t>(Principal Financial and Accounting</w:t>
            </w:r>
          </w:p>
        </w:tc>
      </w:tr>
      <w:tr>
        <w:trPr>
          <w:trHeight w:val="230"/>
        </w:trPr>
        <w:tc>
          <w:tcPr>
            <w:tcW w:w="12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2" w:name="page63"/>
    <w:bookmarkEnd w:id="6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660" w:val="left"/>
          <w:tab w:leader="none" w:pos="73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Yamini Rangan</w:t>
      </w:r>
    </w:p>
    <w:p>
      <w:pPr>
        <w:ind w:left="7340"/>
        <w:spacing w:after="0" w:line="231" w:lineRule="auto"/>
        <w:rPr>
          <w:sz w:val="20"/>
          <w:szCs w:val="20"/>
          <w:color w:val="auto"/>
        </w:rPr>
      </w:pPr>
      <w:r>
        <w:rPr>
          <w:rFonts w:ascii="Arial" w:cs="Arial" w:eastAsia="Arial" w:hAnsi="Arial"/>
          <w:sz w:val="18"/>
          <w:szCs w:val="18"/>
          <w:color w:val="auto"/>
        </w:rPr>
        <w:t>Chief Executive Officer</w:t>
      </w:r>
    </w:p>
    <w:p>
      <w:pPr>
        <w:ind w:left="73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457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Kate Bueker</w:t>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ind w:left="72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 Yamini Rangan, certify, pursuant to 18 U.S.C. Section 1350, as adopted pursuant to Section 906 of the Sarbanes-Oxley Act of 2002, that, to my knowledge, the Quarterly Report on Form 10-Q of HubSpot, Inc. for the period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1"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457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Yamini Rangan</w:t>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ind w:left="7240"/>
        <w:spacing w:after="0"/>
        <w:rPr>
          <w:sz w:val="20"/>
          <w:szCs w:val="20"/>
          <w:color w:val="auto"/>
        </w:rPr>
      </w:pPr>
      <w:r>
        <w:rPr>
          <w:rFonts w:ascii="Arial" w:cs="Arial" w:eastAsia="Arial" w:hAnsi="Arial"/>
          <w:sz w:val="18"/>
          <w:szCs w:val="18"/>
          <w:color w:val="auto"/>
        </w:rPr>
        <w:t>(Principal Executive Officer)</w:t>
      </w:r>
    </w:p>
    <w:p>
      <w:pPr>
        <w:spacing w:after="0" w:line="25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67"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4571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Kate Bueker</w:t>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ind w:left="7240"/>
        <w:spacing w:after="0"/>
        <w:rPr>
          <w:sz w:val="20"/>
          <w:szCs w:val="20"/>
          <w:color w:val="auto"/>
        </w:rPr>
      </w:pPr>
      <w:r>
        <w:rPr>
          <w:rFonts w:ascii="Arial" w:cs="Arial" w:eastAsia="Arial" w:hAnsi="Arial"/>
          <w:sz w:val="18"/>
          <w:szCs w:val="18"/>
          <w:color w:val="auto"/>
        </w:rPr>
        <w:t>(Principal Financial Officer)</w:t>
      </w:r>
    </w:p>
    <w:p>
      <w:pPr>
        <w:spacing w:after="0" w:line="236" w:lineRule="exact"/>
        <w:rPr>
          <w:sz w:val="20"/>
          <w:szCs w:val="20"/>
          <w:color w:val="auto"/>
        </w:rPr>
      </w:pPr>
    </w:p>
    <w:p>
      <w:pPr>
        <w:ind w:right="80" w:firstLine="509"/>
        <w:spacing w:after="0" w:line="303"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lvl>
    <w:lvl w:ilvl="1">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15" Type="http://schemas.openxmlformats.org/officeDocument/2006/relationships/hyperlink" Target="https://www.sec.gov/Archives/edgar/data/1404655/000156459016013204/hubs-ex31_768.htm" TargetMode="External"/><Relationship Id="rId316" Type="http://schemas.openxmlformats.org/officeDocument/2006/relationships/hyperlink" Target="https://www.sec.gov/Archives/edgar/data/1404655/000156459020051449/hubs-ex32_103.htm" TargetMode="External"/><Relationship Id="rId317" Type="http://schemas.openxmlformats.org/officeDocument/2006/relationships/hyperlink" Target="https://www.sec.gov/Archives/edgar/data/1404655/000095017022005701/hubs-ex3_1.htm" TargetMode="External"/><Relationship Id="rId318"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2022-11-02T16:49:20Z</dcterms:created>
  <dcterms:modified xsi:type="dcterms:W3CDTF">2022-11-02T16:49:20Z</dcterms:modified>
</cp:coreProperties>
</file>