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3120"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4"/>
              </w:rPr>
              <w:t>TO</w:t>
            </w:r>
          </w:p>
        </w:tc>
      </w:tr>
      <w:tr>
        <w:trPr>
          <w:trHeight w:val="298"/>
        </w:trPr>
        <w:tc>
          <w:tcPr>
            <w:tcW w:w="416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132080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483"/>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5"/>
          </w:tcPr>
          <w:p>
            <w:pPr>
              <w:jc w:val="center"/>
              <w:ind w:right="520"/>
              <w:spacing w:after="0"/>
              <w:rPr>
                <w:sz w:val="20"/>
                <w:szCs w:val="20"/>
                <w:color w:val="auto"/>
              </w:rPr>
            </w:pPr>
            <w:r>
              <w:rPr>
                <w:rFonts w:ascii="Times New Roman" w:cs="Times New Roman" w:eastAsia="Times New Roman" w:hAnsi="Times New Roman"/>
                <w:sz w:val="40"/>
                <w:szCs w:val="40"/>
                <w:b w:val="1"/>
                <w:bCs w:val="1"/>
                <w:color w:val="auto"/>
                <w:w w:val="98"/>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80" w:type="dxa"/>
            <w:vAlign w:val="bottom"/>
            <w:gridSpan w:val="7"/>
          </w:tcPr>
          <w:p>
            <w:pPr>
              <w:jc w:val="center"/>
              <w:ind w:left="34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vMerge w:val="restart"/>
          </w:tcPr>
          <w:p>
            <w:pPr>
              <w:jc w:val="center"/>
              <w:ind w:left="13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vMerge w:val="restart"/>
          </w:tcPr>
          <w:p>
            <w:pPr>
              <w:jc w:val="center"/>
              <w:ind w:right="1859"/>
              <w:spacing w:after="0"/>
              <w:rPr>
                <w:sz w:val="20"/>
                <w:szCs w:val="20"/>
                <w:color w:val="auto"/>
              </w:rPr>
            </w:pPr>
            <w:r>
              <w:rPr>
                <w:rFonts w:ascii="Times New Roman" w:cs="Times New Roman" w:eastAsia="Times New Roman" w:hAnsi="Times New Roman"/>
                <w:sz w:val="16"/>
                <w:szCs w:val="16"/>
                <w:b w:val="1"/>
                <w:bCs w:val="1"/>
                <w:color w:val="auto"/>
              </w:rPr>
              <w:t>20-2632791</w:t>
            </w:r>
          </w:p>
        </w:tc>
        <w:tc>
          <w:tcPr>
            <w:tcW w:w="0" w:type="dxa"/>
            <w:vAlign w:val="bottom"/>
          </w:tcPr>
          <w:p>
            <w:pPr>
              <w:spacing w:after="0"/>
              <w:rPr>
                <w:sz w:val="1"/>
                <w:szCs w:val="1"/>
                <w:color w:val="auto"/>
              </w:rPr>
            </w:pPr>
          </w:p>
        </w:tc>
      </w:tr>
      <w:tr>
        <w:trPr>
          <w:trHeight w:val="396"/>
        </w:trPr>
        <w:tc>
          <w:tcPr>
            <w:tcW w:w="4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80" w:type="dxa"/>
            <w:vAlign w:val="bottom"/>
            <w:gridSpan w:val="2"/>
          </w:tcPr>
          <w:p>
            <w:pPr>
              <w:jc w:val="center"/>
              <w:ind w:left="1359"/>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jc w:val="center"/>
              <w:ind w:right="1859"/>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4080" w:type="dxa"/>
            <w:vAlign w:val="bottom"/>
            <w:gridSpan w:val="2"/>
          </w:tcPr>
          <w:p>
            <w:pPr>
              <w:jc w:val="center"/>
              <w:ind w:left="13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5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268"/>
        </w:trPr>
        <w:tc>
          <w:tcPr>
            <w:tcW w:w="4080" w:type="dxa"/>
            <w:vAlign w:val="bottom"/>
            <w:gridSpan w:val="2"/>
          </w:tcPr>
          <w:p>
            <w:pPr>
              <w:jc w:val="center"/>
              <w:ind w:left="1339"/>
              <w:spacing w:after="0"/>
              <w:rPr>
                <w:sz w:val="20"/>
                <w:szCs w:val="20"/>
                <w:color w:val="auto"/>
              </w:rPr>
            </w:pPr>
            <w:r>
              <w:rPr>
                <w:rFonts w:ascii="Times New Roman" w:cs="Times New Roman" w:eastAsia="Times New Roman" w:hAnsi="Times New Roman"/>
                <w:sz w:val="16"/>
                <w:szCs w:val="16"/>
                <w:b w:val="1"/>
                <w:bCs w:val="1"/>
                <w:color w:val="auto"/>
              </w:rPr>
              <w:t>25 First Street</w:t>
            </w:r>
          </w:p>
        </w:tc>
        <w:tc>
          <w:tcPr>
            <w:tcW w:w="4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4080" w:type="dxa"/>
            <w:vAlign w:val="bottom"/>
            <w:gridSpan w:val="2"/>
          </w:tcPr>
          <w:p>
            <w:pPr>
              <w:jc w:val="center"/>
              <w:ind w:left="1339"/>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266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02141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gridSpan w:val="2"/>
          </w:tcPr>
          <w:p>
            <w:pPr>
              <w:ind w:left="13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20" w:type="dxa"/>
            <w:vAlign w:val="bottom"/>
          </w:tcPr>
          <w:p>
            <w:pPr>
              <w:spacing w:after="0"/>
              <w:rPr>
                <w:sz w:val="18"/>
                <w:szCs w:val="18"/>
                <w:color w:val="auto"/>
              </w:rPr>
            </w:pPr>
          </w:p>
        </w:tc>
        <w:tc>
          <w:tcPr>
            <w:tcW w:w="3180" w:type="dxa"/>
            <w:vAlign w:val="bottom"/>
            <w:gridSpan w:val="4"/>
          </w:tcPr>
          <w:p>
            <w:pPr>
              <w:ind w:left="1280"/>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rPr>
              <w:t>(888) 482-7768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680" w:type="dxa"/>
            <w:vAlign w:val="bottom"/>
            <w:gridSpan w:val="7"/>
          </w:tcPr>
          <w:p>
            <w:pPr>
              <w:jc w:val="center"/>
              <w:ind w:left="34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80" w:type="dxa"/>
            <w:vAlign w:val="bottom"/>
            <w:gridSpan w:val="7"/>
          </w:tcPr>
          <w:p>
            <w:pPr>
              <w:jc w:val="center"/>
              <w:ind w:left="34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42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HUBS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jc w:val="both"/>
        <w:spacing w:after="0" w:line="162"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180" w:firstLine="509"/>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09"/>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50" w:lineRule="exact"/>
        <w:rPr>
          <w:sz w:val="24"/>
          <w:szCs w:val="24"/>
          <w:color w:val="auto"/>
        </w:rPr>
      </w:pPr>
    </w:p>
    <w:p>
      <w:pPr>
        <w:jc w:val="both"/>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204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There were 47,769,055 shares of the registrant’s Common Stock issued and outstanding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gridSpan w:val="10"/>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HUBSPOT, INC.</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0"/>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60" w:type="dxa"/>
            <w:vAlign w:val="bottom"/>
            <w:gridSpan w:val="12"/>
          </w:tcPr>
          <w:p>
            <w:pPr>
              <w:jc w:val="center"/>
              <w:ind w:right="255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4960" w:type="dxa"/>
            <w:vAlign w:val="bottom"/>
            <w:gridSpan w:val="11"/>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March 31, 2022 and December 31, 2021</w:t>
            </w:r>
          </w:p>
        </w:tc>
        <w:tc>
          <w:tcPr>
            <w:tcW w:w="1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Unaudited Consolidated Balance Sheets as of</w:t>
            </w:r>
          </w:p>
        </w:tc>
        <w:tc>
          <w:tcPr>
            <w:tcW w:w="4960" w:type="dxa"/>
            <w:vAlign w:val="bottom"/>
            <w:gridSpan w:val="11"/>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100" w:type="dxa"/>
            <w:vAlign w:val="bottom"/>
            <w:gridSpan w:val="4"/>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31, 2022 and 2021</w:t>
            </w: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2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w w:val="99"/>
              </w:rPr>
              <w:t>Unaudited Consolidated Statements of Operations for the Three Months Ended March</w:t>
            </w:r>
          </w:p>
        </w:tc>
        <w:tc>
          <w:tcPr>
            <w:tcW w:w="2100" w:type="dxa"/>
            <w:vAlign w:val="bottom"/>
            <w:gridSpan w:val="4"/>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0000FF"/>
                <w:w w:val="99"/>
              </w:rPr>
              <w:t>and 2021</w:t>
            </w: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58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Unaudited Consolidated Statements of Comprehensive Loss for the Three Months Ended March 31, 2022</w:t>
            </w:r>
          </w:p>
        </w:tc>
        <w:tc>
          <w:tcPr>
            <w:tcW w:w="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2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Unaudited Consolidated Statements of Cash Flows for the Three Months Ended March 31, 2022 and 2021</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4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68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360" w:type="dxa"/>
            <w:vAlign w:val="bottom"/>
            <w:gridSpan w:val="9"/>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396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4360" w:type="dxa"/>
            <w:vAlign w:val="bottom"/>
            <w:gridSpan w:val="9"/>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60" w:type="dxa"/>
            <w:vAlign w:val="bottom"/>
            <w:gridSpan w:val="3"/>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6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2740" w:type="dxa"/>
            <w:vAlign w:val="bottom"/>
            <w:gridSpan w:val="6"/>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430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740" w:type="dxa"/>
            <w:vAlign w:val="bottom"/>
            <w:gridSpan w:val="6"/>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0"/>
          </w:tcPr>
          <w:p>
            <w:pPr>
              <w:jc w:val="center"/>
              <w:ind w:right="2650"/>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3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00" w:type="dxa"/>
            <w:vAlign w:val="bottom"/>
            <w:tcBorders>
              <w:top w:val="single" w:sz="8" w:color="0000FF"/>
            </w:tcBorders>
            <w:gridSpan w:val="4"/>
          </w:tcPr>
          <w:p>
            <w:pPr>
              <w:spacing w:after="0"/>
              <w:rPr>
                <w:sz w:val="24"/>
                <w:szCs w:val="24"/>
                <w:color w:val="auto"/>
              </w:rPr>
            </w:pPr>
          </w:p>
        </w:tc>
        <w:tc>
          <w:tcPr>
            <w:tcW w:w="2740" w:type="dxa"/>
            <w:vAlign w:val="bottom"/>
            <w:gridSpan w:val="6"/>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2100" w:type="dxa"/>
            <w:vAlign w:val="bottom"/>
            <w:gridSpan w:val="6"/>
            <w:vMerge w:val="restart"/>
          </w:tcPr>
          <w:p>
            <w:pPr>
              <w:spacing w:after="0" w:line="20" w:lineRule="exact"/>
              <w:rPr>
                <w:sz w:val="1"/>
                <w:szCs w:val="1"/>
                <w:color w:val="auto"/>
              </w:rPr>
            </w:pPr>
          </w:p>
        </w:tc>
        <w:tc>
          <w:tcPr>
            <w:tcW w:w="3980" w:type="dxa"/>
            <w:vAlign w:val="bottom"/>
            <w:gridSpan w:val="7"/>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2"/>
            <w:vMerge w:val="continue"/>
          </w:tcPr>
          <w:p>
            <w:pPr>
              <w:spacing w:after="0"/>
              <w:rPr>
                <w:sz w:val="15"/>
                <w:szCs w:val="15"/>
                <w:color w:val="auto"/>
              </w:rPr>
            </w:pPr>
          </w:p>
        </w:tc>
        <w:tc>
          <w:tcPr>
            <w:tcW w:w="2100" w:type="dxa"/>
            <w:vAlign w:val="bottom"/>
            <w:gridSpan w:val="6"/>
            <w:vMerge w:val="continue"/>
          </w:tcPr>
          <w:p>
            <w:pPr>
              <w:spacing w:after="0"/>
              <w:rPr>
                <w:sz w:val="15"/>
                <w:szCs w:val="15"/>
                <w:color w:val="auto"/>
              </w:rPr>
            </w:pPr>
          </w:p>
        </w:tc>
        <w:tc>
          <w:tcPr>
            <w:tcW w:w="3980" w:type="dxa"/>
            <w:vAlign w:val="bottom"/>
            <w:gridSpan w:val="7"/>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gridSpan w:val="17"/>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7400" w:type="dxa"/>
            <w:vAlign w:val="bottom"/>
            <w:gridSpan w:val="17"/>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3980" w:type="dxa"/>
            <w:vAlign w:val="bottom"/>
            <w:gridSpan w:val="7"/>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43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Default Upon Senior Securities</w:t>
            </w:r>
          </w:p>
        </w:tc>
        <w:tc>
          <w:tcPr>
            <w:tcW w:w="3980" w:type="dxa"/>
            <w:vAlign w:val="bottom"/>
            <w:gridSpan w:val="7"/>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80" w:type="dxa"/>
            <w:vAlign w:val="bottom"/>
            <w:gridSpan w:val="13"/>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22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080" w:type="dxa"/>
            <w:vAlign w:val="bottom"/>
            <w:gridSpan w:val="1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560" w:type="dxa"/>
            <w:vAlign w:val="bottom"/>
            <w:gridSpan w:val="14"/>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6560" w:type="dxa"/>
            <w:vAlign w:val="bottom"/>
            <w:gridSpan w:val="14"/>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20" w:type="dxa"/>
            <w:vAlign w:val="bottom"/>
            <w:gridSpan w:val="16"/>
            <w:vMerge w:val="restart"/>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020" w:type="dxa"/>
            <w:vAlign w:val="bottom"/>
            <w:gridSpan w:val="16"/>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83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auto"/>
              </w:rPr>
              <w:t>CERTIFICATION OF THE CEO PURSUANT TO SECTION 302</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0" w:type="dxa"/>
            <w:vAlign w:val="bottom"/>
            <w:tcBorders>
              <w:top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auto"/>
              </w:rPr>
              <w:t>EX-31.1</w:t>
            </w:r>
          </w:p>
        </w:tc>
        <w:tc>
          <w:tcPr>
            <w:tcW w:w="380" w:type="dxa"/>
            <w:vAlign w:val="bottom"/>
          </w:tcPr>
          <w:p>
            <w:pPr>
              <w:spacing w:after="0"/>
              <w:rPr>
                <w:sz w:val="16"/>
                <w:szCs w:val="16"/>
                <w:color w:val="auto"/>
              </w:rPr>
            </w:pPr>
          </w:p>
        </w:tc>
        <w:tc>
          <w:tcPr>
            <w:tcW w:w="8320" w:type="dxa"/>
            <w:vAlign w:val="bottom"/>
            <w:gridSpan w:val="20"/>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EX-31.2</w:t>
            </w:r>
          </w:p>
        </w:tc>
        <w:tc>
          <w:tcPr>
            <w:tcW w:w="83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auto"/>
              </w:rPr>
              <w:t>CERTIFICATION OF THE CFO PURSUANT TO SECTION 302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EX-32.1</w:t>
            </w: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 OF THE CEO AND CFO PURSUANT TO SECTION 906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8"/>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4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margin and operating expenses;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customer base and increasing our average subscription revenue per customer;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expectations regarding our ability to manage our future growth;</w:t>
      </w:r>
    </w:p>
    <w:p>
      <w:pPr>
        <w:spacing w:after="0" w:line="1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the COVID-19 pandemic on our business, operations, and the markets in which we and our partners and customers operate;</w:t>
      </w:r>
    </w:p>
    <w:p>
      <w:pPr>
        <w:spacing w:after="0" w:line="10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predictions about industry and market trends;</w:t>
      </w:r>
    </w:p>
    <w:p>
      <w:pPr>
        <w:spacing w:after="0" w:line="184"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inbound marketing, selling and servicing thought leadership position;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corporate culture and our ability to attract, hire and retain necessary qualified employees to expand our operations;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 on our business of litigation to which we are or may become a party;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declaring or paying cash dividends in the foreseeable future; and</w:t>
      </w:r>
    </w:p>
    <w:p>
      <w:pPr>
        <w:spacing w:after="0" w:line="184"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 both in the United States and internationally.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185"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 w:name="page4"/>
    <w:bookmarkEnd w:id="3"/>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0" w:lineRule="exact"/>
        <w:rPr>
          <w:sz w:val="20"/>
          <w:szCs w:val="20"/>
          <w:color w:val="auto"/>
        </w:rPr>
      </w:pPr>
    </w:p>
    <w:p>
      <w:pPr>
        <w:ind w:right="480" w:firstLine="509"/>
        <w:spacing w:after="0" w:line="258"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the terms “HubSpot,” “we,” “us,” and “our” refer to HubSpot, Inc. and its subsidiaries, unless the context indicates otherwise.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49" w:lineRule="exact"/>
        <w:rPr>
          <w:sz w:val="20"/>
          <w:szCs w:val="20"/>
          <w:color w:val="auto"/>
        </w:rPr>
      </w:pPr>
    </w:p>
    <w:p>
      <w:pPr>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customer renewals, the addition of new customers, increased revenue from existing customers and the continued growth of the market for a CRM Platform.</w:t>
      </w:r>
    </w:p>
    <w:p>
      <w:pPr>
        <w:spacing w:after="0" w:line="135"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28"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0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requirements, our CRM Platform may become less competitive.</w:t>
      </w:r>
    </w:p>
    <w:p>
      <w:pPr>
        <w:spacing w:after="0" w:line="107" w:lineRule="exact"/>
        <w:rPr>
          <w:rFonts w:ascii="Times New Roman" w:cs="Times New Roman" w:eastAsia="Times New Roman" w:hAnsi="Times New Roman"/>
          <w:sz w:val="18"/>
          <w:szCs w:val="18"/>
          <w:color w:val="auto"/>
        </w:rPr>
      </w:pPr>
    </w:p>
    <w:p>
      <w:pPr>
        <w:ind w:left="1020" w:right="40" w:hanging="503"/>
        <w:spacing w:after="0" w:line="296"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1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35"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35"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2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achieve profitability in the future.</w:t>
      </w:r>
    </w:p>
    <w:p>
      <w:pPr>
        <w:spacing w:after="0" w:line="184"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5"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and our failure to raise capital when needed could prevent us from growing.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408,433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820,962</w:t>
            </w:r>
          </w:p>
        </w:tc>
        <w:tc>
          <w:tcPr>
            <w:tcW w:w="100" w:type="dxa"/>
            <w:vAlign w:val="bottom"/>
          </w:tcPr>
          <w:p>
            <w:pPr>
              <w:spacing w:after="0"/>
              <w:rPr>
                <w:sz w:val="18"/>
                <w:szCs w:val="18"/>
                <w:color w:val="auto"/>
              </w:rPr>
            </w:pPr>
          </w:p>
        </w:tc>
      </w:tr>
      <w:tr>
        <w:trPr>
          <w:trHeight w:val="171"/>
        </w:trPr>
        <w:tc>
          <w:tcPr>
            <w:tcW w:w="7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Accounts receivable — net of allowance for doubtful accounts of $1,836 and</w:t>
            </w: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$1,768 at March 31, 2022 and December 31, 2021,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152,729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157,362</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commission expense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1,453,574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280,828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 expense, net of current portion</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47,075</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2,253,302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2,174,854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457,916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278,056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283,873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of current portion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452,747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383,101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1,419,466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1,436,089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(1,339 )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(538,973 )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(560,998 )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833,836</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873,799</w:t>
            </w:r>
          </w:p>
        </w:tc>
        <w:tc>
          <w:tcPr>
            <w:tcW w:w="100" w:type="dxa"/>
            <w:vAlign w:val="bottom"/>
            <w:tcBorders>
              <w:top w:val="single" w:sz="8" w:color="CFF0FC"/>
            </w:tcBorders>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2,253,302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2,174,854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-4499610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-3110865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-3093720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-1988185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508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33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11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w:t>
            </w:r>
          </w:p>
        </w:tc>
        <w:tc>
          <w:tcPr>
            <w:tcW w:w="112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384,956</w:t>
            </w:r>
          </w:p>
        </w:tc>
        <w:tc>
          <w:tcPr>
            <w:tcW w:w="240" w:type="dxa"/>
            <w:vAlign w:val="bottom"/>
          </w:tcPr>
          <w:p>
            <w:pPr>
              <w:spacing w:after="0"/>
              <w:rPr>
                <w:sz w:val="18"/>
                <w:szCs w:val="18"/>
                <w:color w:val="auto"/>
              </w:rPr>
            </w:pP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270,263</w:t>
            </w:r>
          </w:p>
        </w:tc>
        <w:tc>
          <w:tcPr>
            <w:tcW w:w="8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395,599</w:t>
            </w:r>
          </w:p>
        </w:tc>
        <w:tc>
          <w:tcPr>
            <w:tcW w:w="2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281,365</w:t>
            </w:r>
          </w:p>
        </w:tc>
        <w:tc>
          <w:tcPr>
            <w:tcW w:w="80" w:type="dxa"/>
            <w:vAlign w:val="bottom"/>
          </w:tcPr>
          <w:p>
            <w:pPr>
              <w:spacing w:after="0"/>
              <w:rPr>
                <w:sz w:val="18"/>
                <w:szCs w:val="18"/>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8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cost of revenues</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2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80" w:type="dxa"/>
            <w:vAlign w:val="bottom"/>
          </w:tcPr>
          <w:p>
            <w:pPr>
              <w:spacing w:after="0"/>
              <w:rPr>
                <w:sz w:val="18"/>
                <w:szCs w:val="18"/>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322,663</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226,631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92,736</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68,396</w:t>
            </w:r>
          </w:p>
        </w:tc>
        <w:tc>
          <w:tcPr>
            <w:tcW w:w="8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141,017</w:t>
            </w:r>
          </w:p>
        </w:tc>
        <w:tc>
          <w:tcPr>
            <w:tcW w:w="8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333,817</w:t>
            </w:r>
          </w:p>
        </w:tc>
        <w:tc>
          <w:tcPr>
            <w:tcW w:w="2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241,663</w:t>
            </w:r>
          </w:p>
        </w:tc>
        <w:tc>
          <w:tcPr>
            <w:tcW w:w="80" w:type="dxa"/>
            <w:vAlign w:val="bottom"/>
          </w:tcPr>
          <w:p>
            <w:pPr>
              <w:spacing w:after="0"/>
              <w:rPr>
                <w:sz w:val="18"/>
                <w:szCs w:val="18"/>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(950 )</w:t>
            </w: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(9,399 )</w:t>
            </w: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(8,264 )</w:t>
            </w: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2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(1,444 )</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r>
      <w:tr>
        <w:trPr>
          <w:trHeight w:val="250"/>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top w:val="single" w:sz="8" w:color="auto"/>
              <w:bottom w:val="single" w:sz="8" w:color="auto"/>
            </w:tcBorders>
            <w:shd w:val="clear" w:color="auto" w:fill="CFF0FC"/>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120" w:type="dxa"/>
            <w:vAlign w:val="bottom"/>
          </w:tcPr>
          <w:p>
            <w:pPr>
              <w:jc w:val="right"/>
              <w:ind w:right="9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(0.20 )</w:t>
            </w:r>
          </w:p>
        </w:tc>
        <w:tc>
          <w:tcPr>
            <w:tcW w:w="1260" w:type="dxa"/>
            <w:vAlign w:val="bottom"/>
          </w:tcPr>
          <w:p>
            <w:pPr>
              <w:jc w:val="right"/>
              <w:ind w:right="10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(0.50 )</w:t>
            </w:r>
          </w:p>
        </w:tc>
      </w:tr>
      <w:tr>
        <w:trPr>
          <w:trHeight w:val="171"/>
        </w:trPr>
        <w:tc>
          <w:tcPr>
            <w:tcW w:w="71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common shares used in</w:t>
            </w:r>
          </w:p>
        </w:tc>
        <w:tc>
          <w:tcPr>
            <w:tcW w:w="1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computing basic and diluted net loss per share:</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47,577</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-3256915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-3256915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-2691130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-2691130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-2399665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-2399665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-1842135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-1842135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-1551305</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-1551305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-993775</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-993775</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-419735</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-402590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-419735</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-402590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508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(356 )</w:t>
            </w:r>
          </w:p>
        </w:tc>
        <w:tc>
          <w:tcPr>
            <w:tcW w:w="1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(2,489 )</w:t>
            </w:r>
          </w:p>
        </w:tc>
        <w:tc>
          <w:tcPr>
            <w:tcW w:w="0" w:type="dxa"/>
            <w:vAlign w:val="bottom"/>
          </w:tcPr>
          <w:p>
            <w:pPr>
              <w:spacing w:after="0"/>
              <w:rPr>
                <w:sz w:val="1"/>
                <w:szCs w:val="1"/>
                <w:color w:val="auto"/>
              </w:rPr>
            </w:pPr>
          </w:p>
        </w:tc>
      </w:tr>
      <w:tr>
        <w:trPr>
          <w:trHeight w:val="171"/>
        </w:trPr>
        <w:tc>
          <w:tcPr>
            <w:tcW w:w="74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Changes in unrealized loss on investments, net of income taxes</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4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of $0 for the three months ended March 31, 2022 and ($36) for</w:t>
            </w:r>
          </w:p>
        </w:tc>
        <w:tc>
          <w:tcPr>
            <w:tcW w:w="1100" w:type="dxa"/>
            <w:vAlign w:val="bottom"/>
          </w:tcPr>
          <w:p>
            <w:pPr>
              <w:spacing w:after="0"/>
              <w:rPr>
                <w:sz w:val="16"/>
                <w:szCs w:val="16"/>
                <w:color w:val="auto"/>
              </w:rPr>
            </w:pPr>
          </w:p>
        </w:tc>
        <w:tc>
          <w:tcPr>
            <w:tcW w:w="9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color w:val="auto"/>
              </w:rPr>
              <w:t>(4,001 )</w:t>
            </w:r>
          </w:p>
        </w:tc>
        <w:tc>
          <w:tcPr>
            <w:tcW w:w="110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1"/>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three months ended March 31, 2021</w:t>
            </w:r>
          </w:p>
        </w:tc>
        <w:tc>
          <w:tcPr>
            <w:tcW w:w="1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tcBorders>
              <w:top w:val="single" w:sz="8" w:color="auto"/>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508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ectPr>
          <w:pgSz w:w="11900" w:h="16838" w:orient="portrait"/>
          <w:cols w:equalWidth="0" w:num="1">
            <w:col w:w="11240"/>
          </w:cols>
          <w:pgMar w:left="320" w:top="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December 31, 2021</w:t>
      </w:r>
    </w:p>
    <w:p>
      <w:pPr>
        <w:spacing w:after="0" w:line="25" w:lineRule="exact"/>
        <w:rPr>
          <w:sz w:val="20"/>
          <w:szCs w:val="20"/>
          <w:color w:val="auto"/>
        </w:rPr>
      </w:pPr>
    </w:p>
    <w:p>
      <w:pPr>
        <w:ind w:left="100" w:right="140" w:hanging="85"/>
        <w:spacing w:after="0" w:line="233" w:lineRule="auto"/>
        <w:rPr>
          <w:sz w:val="20"/>
          <w:szCs w:val="20"/>
          <w:color w:val="auto"/>
        </w:rPr>
      </w:pPr>
      <w:r>
        <w:rPr>
          <w:rFonts w:ascii="Times New Roman" w:cs="Times New Roman" w:eastAsia="Times New Roman" w:hAnsi="Times New Roman"/>
          <w:sz w:val="17"/>
          <w:szCs w:val="17"/>
          <w:color w:val="auto"/>
        </w:rPr>
        <w:t>Issuance of common stock under stock plans</w:t>
      </w:r>
    </w:p>
    <w:p>
      <w:pPr>
        <w:ind w:left="20" w:right="80"/>
        <w:spacing w:after="0" w:line="253" w:lineRule="auto"/>
        <w:rPr>
          <w:sz w:val="20"/>
          <w:szCs w:val="20"/>
          <w:color w:val="auto"/>
        </w:rPr>
      </w:pPr>
      <w:r>
        <w:rPr>
          <w:rFonts w:ascii="Times New Roman" w:cs="Times New Roman" w:eastAsia="Times New Roman" w:hAnsi="Times New Roman"/>
          <w:sz w:val="17"/>
          <w:szCs w:val="17"/>
          <w:color w:val="auto"/>
        </w:rPr>
        <w:t>Restricted stock units taxes paid in cash Stock-based compensation Conversion of the 2025 Notes</w:t>
      </w:r>
    </w:p>
    <w:p>
      <w:pPr>
        <w:spacing w:after="0" w:line="1" w:lineRule="exact"/>
        <w:rPr>
          <w:sz w:val="20"/>
          <w:szCs w:val="20"/>
          <w:color w:val="auto"/>
        </w:rPr>
      </w:pPr>
    </w:p>
    <w:p>
      <w:pPr>
        <w:ind w:left="100" w:hanging="85"/>
        <w:spacing w:after="0" w:line="233" w:lineRule="auto"/>
        <w:rPr>
          <w:sz w:val="20"/>
          <w:szCs w:val="20"/>
          <w:color w:val="auto"/>
        </w:rPr>
      </w:pPr>
      <w:r>
        <w:rPr>
          <w:rFonts w:ascii="Times New Roman" w:cs="Times New Roman" w:eastAsia="Times New Roman" w:hAnsi="Times New Roman"/>
          <w:sz w:val="17"/>
          <w:szCs w:val="17"/>
          <w:color w:val="auto"/>
        </w:rPr>
        <w:t>Cumulative adjustment from adoption of convertible debt standard (Note 8)</w:t>
      </w:r>
    </w:p>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p>
      <w:pPr>
        <w:spacing w:after="0" w:line="19" w:lineRule="exact"/>
        <w:rPr>
          <w:sz w:val="20"/>
          <w:szCs w:val="20"/>
          <w:color w:val="auto"/>
        </w:rPr>
      </w:pPr>
    </w:p>
    <w:p>
      <w:pPr>
        <w:ind w:left="100" w:right="180" w:hanging="85"/>
        <w:spacing w:after="0" w:line="233" w:lineRule="auto"/>
        <w:rPr>
          <w:sz w:val="20"/>
          <w:szCs w:val="20"/>
          <w:color w:val="auto"/>
        </w:rPr>
      </w:pPr>
      <w:r>
        <w:rPr>
          <w:rFonts w:ascii="Times New Roman" w:cs="Times New Roman" w:eastAsia="Times New Roman" w:hAnsi="Times New Roman"/>
          <w:sz w:val="17"/>
          <w:szCs w:val="17"/>
          <w:color w:val="auto"/>
        </w:rPr>
        <w:t>Unrealized loss on investments, net of income taxes of $0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loss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December 31, 2020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06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7"/>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23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6"/>
          </w:tcPr>
          <w:p>
            <w:pPr>
              <w:ind w:left="660"/>
              <w:spacing w:after="0"/>
              <w:rPr>
                <w:sz w:val="20"/>
                <w:szCs w:val="20"/>
                <w:color w:val="auto"/>
              </w:rPr>
            </w:pPr>
            <w:r>
              <w:rPr>
                <w:rFonts w:ascii="Times New Roman" w:cs="Times New Roman" w:eastAsia="Times New Roman" w:hAnsi="Times New Roman"/>
                <w:sz w:val="13"/>
                <w:szCs w:val="13"/>
                <w:b w:val="1"/>
                <w:bCs w:val="1"/>
                <w:color w:val="auto"/>
                <w:w w:val="94"/>
              </w:rPr>
              <w:t>$0.001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5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vMerge w:val="restart"/>
          </w:tcPr>
          <w:p>
            <w:pPr>
              <w:jc w:val="center"/>
              <w:ind w:right="31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gridSpan w:val="5"/>
          </w:tcPr>
          <w:p>
            <w:pPr>
              <w:jc w:val="center"/>
              <w:ind w:left="261"/>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1200" w:type="dxa"/>
            <w:vAlign w:val="bottom"/>
            <w:gridSpan w:val="4"/>
          </w:tcPr>
          <w:p>
            <w:pPr>
              <w:jc w:val="center"/>
              <w:ind w:right="215"/>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vMerge w:val="continue"/>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55"/>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41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47,390</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1,436,089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(560,998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250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(4,354 )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(4,354 )</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46,436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(691 )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(691 )</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(101,167 )</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31,366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(69,801 )</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(356 )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(356 )</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(4,001 )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(4,001 )</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(9,341 )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(9,341 )</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47,640</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1,378,457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(538,973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833,836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80" w:type="dxa"/>
            <w:vAlign w:val="bottom"/>
          </w:tcPr>
          <w:p>
            <w:pPr>
              <w:spacing w:after="0"/>
              <w:rPr>
                <w:sz w:val="24"/>
                <w:szCs w:val="24"/>
                <w:color w:val="auto"/>
              </w:rPr>
            </w:pPr>
          </w:p>
        </w:tc>
        <w:tc>
          <w:tcPr>
            <w:tcW w:w="1060" w:type="dxa"/>
            <w:vAlign w:val="bottom"/>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8"/>
          </w:tcPr>
          <w:p>
            <w:pPr>
              <w:jc w:val="center"/>
              <w:ind w:left="4"/>
              <w:spacing w:after="0"/>
              <w:rPr>
                <w:sz w:val="20"/>
                <w:szCs w:val="20"/>
                <w:color w:val="auto"/>
              </w:rPr>
            </w:pPr>
            <w:r>
              <w:rPr>
                <w:rFonts w:ascii="Times New Roman" w:cs="Times New Roman" w:eastAsia="Times New Roman" w:hAnsi="Times New Roman"/>
                <w:sz w:val="13"/>
                <w:szCs w:val="13"/>
                <w:b w:val="1"/>
                <w:bCs w:val="1"/>
                <w:color w:val="auto"/>
              </w:rPr>
              <w:t>Treasury Stock, $0.001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jc w:val="center"/>
              <w:ind w:left="241"/>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2"/>
        </w:trPr>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46,115</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1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gridSpan w:val="3"/>
          </w:tcPr>
          <w:p>
            <w:pPr>
              <w:ind w:left="580"/>
              <w:spacing w:after="0" w:line="192" w:lineRule="exact"/>
              <w:rPr>
                <w:sz w:val="20"/>
                <w:szCs w:val="20"/>
                <w:color w:val="auto"/>
              </w:rPr>
            </w:pPr>
            <w:r>
              <w:rPr>
                <w:rFonts w:ascii="Times New Roman" w:cs="Times New Roman" w:eastAsia="Times New Roman" w:hAnsi="Times New Roman"/>
                <w:sz w:val="17"/>
                <w:szCs w:val="17"/>
                <w:color w:val="auto"/>
                <w:w w:val="93"/>
              </w:rPr>
              <w:t>12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gridSpan w:val="2"/>
          </w:tcPr>
          <w:p>
            <w:pPr>
              <w:jc w:val="right"/>
              <w:ind w:right="20"/>
              <w:spacing w:after="0" w:line="192" w:lineRule="exact"/>
              <w:rPr>
                <w:sz w:val="20"/>
                <w:szCs w:val="20"/>
                <w:color w:val="auto"/>
              </w:rPr>
            </w:pPr>
            <w:r>
              <w:rPr>
                <w:rFonts w:ascii="Times New Roman" w:cs="Times New Roman" w:eastAsia="Times New Roman" w:hAnsi="Times New Roman"/>
                <w:sz w:val="17"/>
                <w:szCs w:val="17"/>
                <w:color w:val="auto"/>
              </w:rPr>
              <w:t>1,241,167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auto"/>
              </w:rPr>
              <w:t>4,603</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2" w:lineRule="exact"/>
              <w:rPr>
                <w:sz w:val="20"/>
                <w:szCs w:val="20"/>
                <w:color w:val="auto"/>
              </w:rPr>
            </w:pPr>
            <w:r>
              <w:rPr>
                <w:rFonts w:ascii="Times New Roman" w:cs="Times New Roman" w:eastAsia="Times New Roman" w:hAnsi="Times New Roman"/>
                <w:sz w:val="17"/>
                <w:szCs w:val="17"/>
                <w:color w:val="auto"/>
              </w:rPr>
              <w:t>$  (483,161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762,655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-2482850</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-2105660</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-1848485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-1471295</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-1094105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-125730</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20" w:space="420"/>
            <w:col w:w="8000"/>
          </w:cols>
          <w:pgMar w:left="320" w:top="320" w:right="339" w:bottom="1440" w:gutter="0" w:footer="0" w:header="0"/>
          <w:type w:val="continuous"/>
        </w:sectPr>
      </w:pPr>
    </w:p>
    <w:p>
      <w:pPr>
        <w:ind w:left="20"/>
        <w:spacing w:after="0" w:line="215" w:lineRule="auto"/>
        <w:rPr>
          <w:sz w:val="20"/>
          <w:szCs w:val="20"/>
          <w:color w:val="auto"/>
        </w:rPr>
      </w:pPr>
      <w:r>
        <w:rPr>
          <w:rFonts w:ascii="Times New Roman" w:cs="Times New Roman" w:eastAsia="Times New Roman" w:hAnsi="Times New Roman"/>
          <w:sz w:val="17"/>
          <w:szCs w:val="17"/>
          <w:color w:val="auto"/>
        </w:rPr>
        <w:t>Issuance of common stock under stock</w:t>
      </w:r>
    </w:p>
    <w:tbl>
      <w:tblPr>
        <w:tblLayout w:type="fixed"/>
        <w:tblInd w:w="0" w:type="dxa"/>
        <w:tblCellMar>
          <w:top w:w="0" w:type="dxa"/>
          <w:left w:w="0" w:type="dxa"/>
          <w:bottom w:w="0" w:type="dxa"/>
          <w:right w:w="0" w:type="dxa"/>
        </w:tblCellMar>
      </w:tblPr>
      <w:tr>
        <w:trPr>
          <w:trHeight w:val="171"/>
        </w:trPr>
        <w:tc>
          <w:tcPr>
            <w:tcW w:w="3240" w:type="dxa"/>
            <w:vAlign w:val="bottom"/>
          </w:tcPr>
          <w:p>
            <w:pPr>
              <w:ind w:left="100"/>
              <w:spacing w:after="0" w:line="172" w:lineRule="exact"/>
              <w:rPr>
                <w:sz w:val="20"/>
                <w:szCs w:val="20"/>
                <w:color w:val="auto"/>
              </w:rPr>
            </w:pPr>
            <w:r>
              <w:rPr>
                <w:rFonts w:ascii="Times New Roman" w:cs="Times New Roman" w:eastAsia="Times New Roman" w:hAnsi="Times New Roman"/>
                <w:sz w:val="17"/>
                <w:szCs w:val="17"/>
                <w:color w:val="auto"/>
              </w:rPr>
              <w:t>plans, net of shares withheld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 employee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6,583</w:t>
            </w:r>
          </w:p>
        </w:tc>
        <w:tc>
          <w:tcPr>
            <w:tcW w:w="80" w:type="dxa"/>
            <w:vAlign w:val="bottom"/>
          </w:tcPr>
          <w:p>
            <w:pPr>
              <w:spacing w:after="0"/>
              <w:rPr>
                <w:sz w:val="19"/>
                <w:szCs w:val="19"/>
                <w:color w:val="auto"/>
              </w:rPr>
            </w:pPr>
          </w:p>
        </w:tc>
      </w:t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32,947</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32,947</w:t>
            </w:r>
          </w:p>
        </w:tc>
        <w:tc>
          <w:tcPr>
            <w:tcW w:w="80" w:type="dxa"/>
            <w:vAlign w:val="bottom"/>
            <w:shd w:val="clear" w:color="auto" w:fill="CFF0FC"/>
          </w:tcPr>
          <w:p>
            <w:pPr>
              <w:spacing w:after="0"/>
              <w:rPr>
                <w:sz w:val="17"/>
                <w:szCs w:val="17"/>
                <w:color w:val="auto"/>
              </w:rPr>
            </w:pPr>
          </w:p>
        </w:tc>
      </w:tr>
      <w:tr>
        <w:trPr>
          <w:trHeight w:val="154"/>
        </w:trPr>
        <w:tc>
          <w:tcPr>
            <w:tcW w:w="32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Equity component of the 2022</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7"/>
        </w:trPr>
        <w:tc>
          <w:tcPr>
            <w:tcW w:w="3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Notes conversions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(2,307 )</w:t>
            </w:r>
          </w:p>
        </w:tc>
        <w:tc>
          <w:tcPr>
            <w:tcW w:w="4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(2,307 )</w:t>
            </w:r>
          </w:p>
        </w:tc>
      </w:tr>
      <w:tr>
        <w:trPr>
          <w:trHeight w:val="204"/>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Settlement of Convertible Note Hedges</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(364 )</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shd w:val="clear" w:color="auto" w:fill="CFF0FC"/>
          </w:tcPr>
          <w:p>
            <w:pPr>
              <w:spacing w:after="0"/>
              <w:rPr>
                <w:sz w:val="17"/>
                <w:szCs w:val="17"/>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(2,489 )</w:t>
            </w:r>
          </w:p>
        </w:tc>
        <w:tc>
          <w:tcPr>
            <w:tcW w:w="1280" w:type="dxa"/>
            <w:vAlign w:val="bottom"/>
            <w:gridSpan w:val="3"/>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(2,489 )</w:t>
            </w:r>
          </w:p>
        </w:tc>
      </w:tr>
      <w:tr>
        <w:trPr>
          <w:trHeight w:val="154"/>
        </w:trPr>
        <w:tc>
          <w:tcPr>
            <w:tcW w:w="3240" w:type="dxa"/>
            <w:vAlign w:val="bottom"/>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Unrealized gain on investments, net of</w:t>
            </w: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38"/>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income taxes of ($36)</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(240 )</w:t>
            </w:r>
          </w:p>
        </w:tc>
        <w:tc>
          <w:tcPr>
            <w:tcW w:w="128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(240 )</w:t>
            </w: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(23,159 )</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(23,159 )</w:t>
            </w:r>
          </w:p>
        </w:tc>
      </w:tr>
      <w:tr>
        <w:trPr>
          <w:trHeight w:val="236"/>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Balances at March 31, 2021</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46,596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1,279,113</w:t>
            </w: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1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  (506,320</w:t>
            </w:r>
          </w:p>
        </w:tc>
        <w:tc>
          <w:tcPr>
            <w:tcW w:w="1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774,714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-25400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-8255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425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425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431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34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80" w:type="dxa"/>
            <w:vAlign w:val="bottom"/>
          </w:tcPr>
          <w:p>
            <w:pPr>
              <w:spacing w:after="0"/>
              <w:rPr>
                <w:sz w:val="14"/>
                <w:szCs w:val="14"/>
                <w:color w:val="auto"/>
              </w:rPr>
            </w:pPr>
          </w:p>
        </w:tc>
        <w:tc>
          <w:tcPr>
            <w:tcW w:w="3160" w:type="dxa"/>
            <w:vAlign w:val="bottom"/>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80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(9,341 )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(23,159 )</w:t>
            </w:r>
          </w:p>
        </w:tc>
      </w:tr>
      <w:tr>
        <w:trPr>
          <w:trHeight w:val="139"/>
        </w:trPr>
        <w:tc>
          <w:tcPr>
            <w:tcW w:w="80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to net cash and cash equivalents provided</w:t>
            </w:r>
          </w:p>
        </w:tc>
        <w:tc>
          <w:tcPr>
            <w:tcW w:w="9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5"/>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by operating activities, net of acquisitions</w:t>
            </w: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75"/>
        </w:trPr>
        <w:tc>
          <w:tcPr>
            <w:tcW w:w="8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11,208</w:t>
            </w:r>
          </w:p>
        </w:tc>
        <w:tc>
          <w:tcPr>
            <w:tcW w:w="60" w:type="dxa"/>
            <w:vAlign w:val="bottom"/>
          </w:tcPr>
          <w:p>
            <w:pPr>
              <w:spacing w:after="0"/>
              <w:rPr>
                <w:sz w:val="15"/>
                <w:szCs w:val="15"/>
                <w:color w:val="auto"/>
              </w:rPr>
            </w:pPr>
          </w:p>
        </w:tc>
      </w:tr>
      <w:tr>
        <w:trPr>
          <w:trHeight w:val="17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45,704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32,423</w:t>
            </w:r>
          </w:p>
        </w:tc>
        <w:tc>
          <w:tcPr>
            <w:tcW w:w="60" w:type="dxa"/>
            <w:vAlign w:val="bottom"/>
            <w:shd w:val="clear" w:color="auto" w:fill="CFF0FC"/>
          </w:tcPr>
          <w:p>
            <w:pPr>
              <w:spacing w:after="0"/>
              <w:rPr>
                <w:sz w:val="15"/>
                <w:szCs w:val="15"/>
                <w:color w:val="auto"/>
              </w:rPr>
            </w:pPr>
          </w:p>
        </w:tc>
      </w:tr>
      <w:tr>
        <w:trPr>
          <w:trHeight w:val="176"/>
        </w:trPr>
        <w:tc>
          <w:tcPr>
            <w:tcW w:w="8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early extinguishment of 2022 Convertible Notes</w:t>
            </w:r>
          </w:p>
        </w:tc>
        <w:tc>
          <w:tcPr>
            <w:tcW w:w="90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60" w:type="dxa"/>
            <w:vAlign w:val="bottom"/>
          </w:tcPr>
          <w:p>
            <w:pPr>
              <w:spacing w:after="0"/>
              <w:rPr>
                <w:sz w:val="15"/>
                <w:szCs w:val="15"/>
                <w:color w:val="auto"/>
              </w:rPr>
            </w:pPr>
          </w:p>
        </w:tc>
      </w:tr>
      <w:tr>
        <w:trPr>
          <w:trHeight w:val="175"/>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Repayment of 2022 Convertible Notes attributable to the debt discount</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(9,805 )</w:t>
            </w:r>
          </w:p>
        </w:tc>
      </w:tr>
      <w:tr>
        <w:trPr>
          <w:trHeight w:val="176"/>
        </w:trPr>
        <w:tc>
          <w:tcPr>
            <w:tcW w:w="8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strategic investments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(4,221 )</w:t>
            </w:r>
          </w:p>
        </w:tc>
        <w:tc>
          <w:tcPr>
            <w:tcW w:w="320" w:type="dxa"/>
            <w:vAlign w:val="bottom"/>
          </w:tcPr>
          <w:p>
            <w:pPr>
              <w:spacing w:after="0"/>
              <w:rPr>
                <w:sz w:val="15"/>
                <w:szCs w:val="15"/>
                <w:color w:val="auto"/>
              </w:rPr>
            </w:pP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Benefit from deferred income taxes</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(246 )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(1,006 )</w:t>
            </w:r>
          </w:p>
        </w:tc>
      </w:tr>
      <w:tr>
        <w:trPr>
          <w:trHeight w:val="176"/>
        </w:trPr>
        <w:tc>
          <w:tcPr>
            <w:tcW w:w="8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6,493</w:t>
            </w:r>
          </w:p>
        </w:tc>
        <w:tc>
          <w:tcPr>
            <w:tcW w:w="60" w:type="dxa"/>
            <w:vAlign w:val="bottom"/>
          </w:tcPr>
          <w:p>
            <w:pPr>
              <w:spacing w:after="0"/>
              <w:rPr>
                <w:sz w:val="15"/>
                <w:szCs w:val="15"/>
                <w:color w:val="auto"/>
              </w:rPr>
            </w:pPr>
          </w:p>
        </w:tc>
      </w:tr>
      <w:tr>
        <w:trPr>
          <w:trHeight w:val="175"/>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bond discount</w:t>
            </w: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60" w:type="dxa"/>
            <w:vAlign w:val="bottom"/>
            <w:shd w:val="clear" w:color="auto" w:fill="CFF0FC"/>
          </w:tcPr>
          <w:p>
            <w:pPr>
              <w:spacing w:after="0"/>
              <w:rPr>
                <w:sz w:val="15"/>
                <w:szCs w:val="15"/>
                <w:color w:val="auto"/>
              </w:rPr>
            </w:pPr>
          </w:p>
        </w:tc>
      </w:tr>
      <w:tr>
        <w:trPr>
          <w:trHeight w:val="176"/>
        </w:trPr>
        <w:tc>
          <w:tcPr>
            <w:tcW w:w="8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currency translation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7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8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16,475</w:t>
            </w:r>
          </w:p>
        </w:tc>
        <w:tc>
          <w:tcPr>
            <w:tcW w:w="60" w:type="dxa"/>
            <w:vAlign w:val="bottom"/>
          </w:tcPr>
          <w:p>
            <w:pPr>
              <w:spacing w:after="0"/>
              <w:rPr>
                <w:sz w:val="15"/>
                <w:szCs w:val="15"/>
                <w:color w:val="auto"/>
              </w:rPr>
            </w:pPr>
          </w:p>
        </w:tc>
      </w:tr>
      <w:tr>
        <w:trPr>
          <w:trHeight w:val="176"/>
        </w:trPr>
        <w:tc>
          <w:tcPr>
            <w:tcW w:w="8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(3,927 )</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60" w:type="dxa"/>
            <w:vAlign w:val="bottom"/>
            <w:shd w:val="clear" w:color="auto" w:fill="CFF0FC"/>
          </w:tcPr>
          <w:p>
            <w:pPr>
              <w:spacing w:after="0"/>
              <w:rPr>
                <w:sz w:val="15"/>
                <w:szCs w:val="15"/>
                <w:color w:val="auto"/>
              </w:rPr>
            </w:pPr>
          </w:p>
        </w:tc>
      </w:tr>
      <w:tr>
        <w:trPr>
          <w:trHeight w:val="175"/>
        </w:trPr>
        <w:tc>
          <w:tcPr>
            <w:tcW w:w="8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commission expense</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(8,354 )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(6,305 )</w:t>
            </w:r>
          </w:p>
        </w:tc>
      </w:tr>
      <w:tr>
        <w:trPr>
          <w:trHeight w:val="176"/>
        </w:trPr>
        <w:tc>
          <w:tcPr>
            <w:tcW w:w="8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Right-of-use assets</w:t>
            </w: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10,354</w:t>
            </w:r>
          </w:p>
        </w:tc>
        <w:tc>
          <w:tcPr>
            <w:tcW w:w="60" w:type="dxa"/>
            <w:vAlign w:val="bottom"/>
            <w:shd w:val="clear" w:color="auto" w:fill="CFF0FC"/>
          </w:tcPr>
          <w:p>
            <w:pPr>
              <w:spacing w:after="0"/>
              <w:rPr>
                <w:sz w:val="15"/>
                <w:szCs w:val="15"/>
                <w:color w:val="auto"/>
              </w:rPr>
            </w:pPr>
          </w:p>
        </w:tc>
      </w:tr>
      <w:tr>
        <w:trPr>
          <w:trHeight w:val="176"/>
        </w:trPr>
        <w:tc>
          <w:tcPr>
            <w:tcW w:w="8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60" w:type="dxa"/>
            <w:vAlign w:val="bottom"/>
          </w:tcPr>
          <w:p>
            <w:pPr>
              <w:spacing w:after="0"/>
              <w:rPr>
                <w:sz w:val="15"/>
                <w:szCs w:val="15"/>
                <w:color w:val="auto"/>
              </w:rPr>
            </w:pPr>
          </w:p>
        </w:tc>
      </w:tr>
      <w:tr>
        <w:trPr>
          <w:trHeight w:val="175"/>
        </w:trPr>
        <w:tc>
          <w:tcPr>
            <w:tcW w:w="8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(2,429 )</w:t>
            </w:r>
          </w:p>
        </w:tc>
      </w:tr>
      <w:tr>
        <w:trPr>
          <w:trHeight w:val="176"/>
        </w:trPr>
        <w:tc>
          <w:tcPr>
            <w:tcW w:w="8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(2,318 )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(9,272 )</w:t>
            </w:r>
          </w:p>
        </w:tc>
      </w:tr>
      <w:tr>
        <w:trPr>
          <w:trHeight w:val="175"/>
        </w:trPr>
        <w:tc>
          <w:tcPr>
            <w:tcW w:w="80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29,496</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27,538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80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and cash equivalents provided by operating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82,226</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62,700</w:t>
            </w:r>
          </w:p>
        </w:tc>
        <w:tc>
          <w:tcPr>
            <w:tcW w:w="60" w:type="dxa"/>
            <w:vAlign w:val="bottom"/>
          </w:tcPr>
          <w:p>
            <w:pPr>
              <w:spacing w:after="0"/>
              <w:rPr>
                <w:sz w:val="14"/>
                <w:szCs w:val="14"/>
                <w:color w:val="auto"/>
              </w:rPr>
            </w:pPr>
          </w:p>
        </w:tc>
      </w:tr>
      <w:tr>
        <w:trPr>
          <w:trHeight w:val="169"/>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99"/>
              </w:rPr>
              <w:t>(435,547 )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(362,288 )</w:t>
            </w:r>
          </w:p>
        </w:tc>
      </w:tr>
      <w:tr>
        <w:trPr>
          <w:trHeight w:val="176"/>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9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405,219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376,918</w:t>
            </w:r>
          </w:p>
        </w:tc>
        <w:tc>
          <w:tcPr>
            <w:tcW w:w="60" w:type="dxa"/>
            <w:vAlign w:val="bottom"/>
            <w:shd w:val="clear" w:color="auto" w:fill="CFF0FC"/>
          </w:tcPr>
          <w:p>
            <w:pPr>
              <w:spacing w:after="0"/>
              <w:rPr>
                <w:sz w:val="15"/>
                <w:szCs w:val="15"/>
                <w:color w:val="auto"/>
              </w:rPr>
            </w:pPr>
          </w:p>
        </w:tc>
      </w:tr>
      <w:tr>
        <w:trPr>
          <w:trHeight w:val="176"/>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(9,940 )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(3,967 )</w:t>
            </w:r>
          </w:p>
        </w:tc>
      </w:tr>
      <w:tr>
        <w:trPr>
          <w:trHeight w:val="175"/>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Acquisition of a business, net of cash acquired</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(16,810 )</w:t>
            </w:r>
          </w:p>
        </w:tc>
      </w:tr>
      <w:tr>
        <w:trPr>
          <w:trHeight w:val="176"/>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(5,046 )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(1,850 )</w:t>
            </w:r>
          </w:p>
        </w:tc>
      </w:tr>
      <w:tr>
        <w:trPr>
          <w:trHeight w:val="175"/>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Equity method investment</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(2,308 )</w:t>
            </w:r>
          </w:p>
        </w:tc>
      </w:tr>
      <w:tr>
        <w:trPr>
          <w:trHeight w:val="175"/>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Capitalization of software development costs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(9,722 )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(7,341 )</w:t>
            </w:r>
          </w:p>
        </w:tc>
      </w:tr>
      <w:tr>
        <w:trPr>
          <w:trHeight w:val="169"/>
        </w:trPr>
        <w:tc>
          <w:tcPr>
            <w:tcW w:w="80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Net cash and cash equivalents used in investing activities</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(55,036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settlement of Convertible Note Hedges related to the 2022 Convertible Notes</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60" w:type="dxa"/>
            <w:vAlign w:val="bottom"/>
            <w:shd w:val="clear" w:color="auto" w:fill="CFF0FC"/>
          </w:tcPr>
          <w:p>
            <w:pPr>
              <w:spacing w:after="0"/>
              <w:rPr>
                <w:sz w:val="15"/>
                <w:szCs w:val="15"/>
                <w:color w:val="auto"/>
              </w:rPr>
            </w:pPr>
          </w:p>
        </w:tc>
      </w:tr>
      <w:tr>
        <w:trPr>
          <w:trHeight w:val="175"/>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 of 2022 Convertible Notes attributable to the principal</w:t>
            </w:r>
          </w:p>
        </w:tc>
        <w:tc>
          <w:tcPr>
            <w:tcW w:w="90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(35,900 )</w:t>
            </w:r>
          </w:p>
        </w:tc>
      </w:tr>
      <w:tr>
        <w:trPr>
          <w:trHeight w:val="176"/>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Repayment of 2025 Convertible Notes attributable to the principal</w:t>
            </w:r>
          </w:p>
        </w:tc>
        <w:tc>
          <w:tcPr>
            <w:tcW w:w="9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(1,619 )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Employee taxes paid related to the net share settlement of stock-based awards</w:t>
            </w:r>
          </w:p>
        </w:tc>
        <w:tc>
          <w:tcPr>
            <w:tcW w:w="90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(4,354 )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(2,964 )</w:t>
            </w:r>
          </w:p>
        </w:tc>
      </w:tr>
      <w:tr>
        <w:trPr>
          <w:trHeight w:val="175"/>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related to the issuance of common stock under stock plans</w:t>
            </w:r>
          </w:p>
        </w:tc>
        <w:tc>
          <w:tcPr>
            <w:tcW w:w="9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11,852</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16,339</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80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and cash equivalents provided by (used in) financing activities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(21,802 )</w:t>
            </w:r>
          </w:p>
        </w:tc>
      </w:tr>
      <w:tr>
        <w:trPr>
          <w:trHeight w:val="169"/>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60" w:type="dxa"/>
            <w:vAlign w:val="bottom"/>
          </w:tcPr>
          <w:p>
            <w:pPr>
              <w:spacing w:after="0"/>
              <w:rPr>
                <w:sz w:val="14"/>
                <w:szCs w:val="14"/>
                <w:color w:val="auto"/>
              </w:rPr>
            </w:pPr>
          </w:p>
        </w:tc>
      </w:tr>
      <w:tr>
        <w:trPr>
          <w:trHeight w:val="175"/>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380,042</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381,152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8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00" w:type="dxa"/>
            <w:vAlign w:val="bottom"/>
            <w:tcBorders>
              <w:bottom w:val="single" w:sz="8" w:color="auto"/>
            </w:tcBorders>
          </w:tcPr>
          <w:p>
            <w:pPr>
              <w:jc w:val="right"/>
              <w:ind w:right="7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411,462</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400,527</w:t>
            </w:r>
          </w:p>
        </w:tc>
        <w:tc>
          <w:tcPr>
            <w:tcW w:w="60" w:type="dxa"/>
            <w:vAlign w:val="bottom"/>
          </w:tcPr>
          <w:p>
            <w:pPr>
              <w:spacing w:after="0"/>
              <w:rPr>
                <w:sz w:val="14"/>
                <w:szCs w:val="14"/>
                <w:color w:val="auto"/>
              </w:rPr>
            </w:pPr>
          </w:p>
        </w:tc>
      </w:tr>
      <w:tr>
        <w:trPr>
          <w:trHeight w:val="20"/>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80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9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60" w:type="dxa"/>
            <w:vAlign w:val="bottom"/>
          </w:tcPr>
          <w:p>
            <w:pPr>
              <w:spacing w:after="0"/>
              <w:rPr>
                <w:sz w:val="15"/>
                <w:szCs w:val="15"/>
                <w:color w:val="auto"/>
              </w:rPr>
            </w:pPr>
          </w:p>
        </w:tc>
      </w:tr>
      <w:tr>
        <w:trPr>
          <w:trHeight w:val="175"/>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900" w:type="dxa"/>
            <w:vAlign w:val="bottom"/>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60" w:type="dxa"/>
            <w:vAlign w:val="bottom"/>
            <w:shd w:val="clear" w:color="auto" w:fill="CFF0FC"/>
          </w:tcPr>
          <w:p>
            <w:pPr>
              <w:spacing w:after="0"/>
              <w:rPr>
                <w:sz w:val="15"/>
                <w:szCs w:val="15"/>
                <w:color w:val="auto"/>
              </w:rPr>
            </w:pPr>
          </w:p>
        </w:tc>
      </w:tr>
      <w:tr>
        <w:trPr>
          <w:trHeight w:val="17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repayment of 2022 Convertible Notes</w:t>
            </w:r>
          </w:p>
        </w:tc>
        <w:tc>
          <w:tcPr>
            <w:tcW w:w="900" w:type="dxa"/>
            <w:vAlign w:val="bottom"/>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155,250</w:t>
            </w:r>
          </w:p>
        </w:tc>
        <w:tc>
          <w:tcPr>
            <w:tcW w:w="60" w:type="dxa"/>
            <w:vAlign w:val="bottom"/>
            <w:shd w:val="clear" w:color="auto" w:fill="CFF0FC"/>
          </w:tcPr>
          <w:p>
            <w:pPr>
              <w:spacing w:after="0"/>
              <w:rPr>
                <w:sz w:val="15"/>
                <w:szCs w:val="15"/>
                <w:color w:val="auto"/>
              </w:rPr>
            </w:pPr>
          </w:p>
        </w:tc>
      </w:tr>
      <w:tr>
        <w:trPr>
          <w:trHeight w:val="17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 incurred but not yet paid</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60" w:type="dxa"/>
            <w:vAlign w:val="bottom"/>
          </w:tcPr>
          <w:p>
            <w:pPr>
              <w:spacing w:after="0"/>
              <w:rPr>
                <w:sz w:val="15"/>
                <w:szCs w:val="15"/>
                <w:color w:val="auto"/>
              </w:rPr>
            </w:pPr>
          </w:p>
        </w:tc>
      </w:tr>
      <w:tr>
        <w:trPr>
          <w:trHeight w:val="176"/>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900" w:type="dxa"/>
            <w:vAlign w:val="bottom"/>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-3214370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-3214370</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-2073910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-2073910</wp:posOffset>
            </wp:positionV>
            <wp:extent cx="43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-1396365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-1396365</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-1156970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-1156970</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-925195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-925195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7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features integrated applications, tools, and a native payment solution, that enable businesses to create a cohesive and adaptable customer experience.</w:t>
      </w:r>
    </w:p>
    <w:p>
      <w:pPr>
        <w:spacing w:after="0" w:line="1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 xml:space="preserve">The accompanying unaudited consolidated </w:t>
      </w:r>
      <w:r>
        <w:rPr>
          <w:rFonts w:ascii="Times New Roman" w:cs="Times New Roman" w:eastAsia="Times New Roman" w:hAnsi="Times New Roman"/>
          <w:sz w:val="18"/>
          <w:szCs w:val="18"/>
          <w:color w:val="212529"/>
        </w:rPr>
        <w:t>financial statements have been prepared in accordance with generally accepted accounting principles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cs="Times New Roman" w:eastAsia="Times New Roman" w:hAnsi="Times New Roman"/>
          <w:sz w:val="18"/>
          <w:szCs w:val="18"/>
          <w:color w:val="000000"/>
        </w:rPr>
        <w:t>December 31, 2021, and these consolidated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5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to be expected for any subsequent quarter or for the entire year ending December 31, 2022.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50"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audited consolidated financial statements and related notes contained in the Company’s Annual Report on Form 10-K filed with the SEC on February 14, 2022. There have been no changes in the Company’s significant accounting policies from those that were disclosed in the Company’s Annual Report on Form 10-K that have had a material impact on our consolidated financial statements and related notes, except the adoption of updated guidance related to accounting for convertible debt as described within Note 2 of these consolidated financial statements.</w:t>
      </w:r>
    </w:p>
    <w:p>
      <w:pPr>
        <w:spacing w:after="0" w:line="154"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In February 2022, Russian forces launched a military invasion of Ukraine. While the broader implications of the conflict on the Company's results of operations and overall financial performance remain uncertain, the Company assessed the potential impact on the March 31, 2022 financial statements and determined there were no material adjustments necessary with respect to these consolidated financial statements.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Recent accounting standards not included below are not expected to have a material impact on our consolidated financial position and results of operations.</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Company adopted the updated guidance as of January 1, 2022 using a modified retrospective method with a cumulative-effect adjustment as of the adoption date. Comparative periods are not adjusted. See Note 8 of these consolidated financial statements for further details.</w:t>
      </w:r>
    </w:p>
    <w:p>
      <w:pPr>
        <w:spacing w:after="0" w:line="153"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October 2021, the FASB issued guidance that requires companies to recognize and measure contract assets and contract liabilities acquired in a business combination, in accordance with the revenue recognition guidance, as if the acquirer had entered into the original contract at the same time and on the same terms as the acquiree. Generally, this will result in the acquirer recognizing contract assets and liabilities at the same amounts recorded by the acquiree as of the acquisition date. Under the previous standard, an acquirer generally recognizes such items at fair value on the acquisition date. The Company adopted the updated guidance as of January 1, 2022 and the ongoing impact of this guidance will depend on the contract assets and liabilities acquired in future business combinations.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1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Commission Expense</w:t>
      </w:r>
    </w:p>
    <w:p>
      <w:pPr>
        <w:spacing w:after="0" w:line="216"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2022 increased by $27.7 million resulting from $423.3 million of additional invoicing and was offset by revenue recognized of $395.6 million during the same period. $227.1 million of revenue was recognized during the three months ended March 31, 2022 that was included in deferred revenue at the beginning of the period. As of March 31, 2022, approximately $406.9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18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 contract liabilities of $2.9 million and $2.5 were included in accrued expenses and other current liabilities on the consolidated balance sheet as of March 31, 2022 and December 31, 2021.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8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Deferred commission expense during the three months ended March 31, 2022 increased by $7.9 million as a result of deferring incremental costs of obtaining a contract of $26.7 million and was offset by amortization of $18.8 million during the same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1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in Note 8), the Conversion Option of the 2022 Notes, and the Conversion Option of the 2025 Notes (the “Conversion Options”) (Note 8) are considered to be potential common stock equivalents.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denominator used in the calculation of basic and diluted net loss per share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47,577</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46,428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5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Dilutive effect of share equivalents resulting from stock</w:t>
            </w:r>
          </w:p>
        </w:tc>
        <w:tc>
          <w:tcPr>
            <w:tcW w:w="1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 RSUs, ESPP, Warrants and the Conversion Options</w:t>
            </w:r>
          </w:p>
        </w:tc>
        <w:tc>
          <w:tcPr>
            <w:tcW w:w="1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gridSpan w:val="2"/>
            <w:vMerge w:val="continue"/>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10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47,577</w:t>
            </w:r>
          </w:p>
        </w:tc>
        <w:tc>
          <w:tcPr>
            <w:tcW w:w="24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tcBorders>
              <w:top w:val="single" w:sz="8" w:color="CFF0FC"/>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8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6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-1208405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-1190625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-1208405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-1190625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-796925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-796925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-504825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-487680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-504825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-487680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uses the treasury stock method and the average market price per share during the period for calculating any potential dilutive effect of the Warrants. The average stock price for the three months ended March 31, 2022 was $484.47.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9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Because the last reported sale price of the Company’s common stock for at least 20 trading days during the period of 30 consecutive trading days ending on the last trading day of the calendar quarter ended March 31, 2022 was equal to or greater than 130% of the applicable conversion price of $282.52 on each applicable trading day, the 2025 Notes are convertible at the option of the holders thereof during the calendar quarter ending June 30, 2022. During the quarter ended March 31, 2022, upon the election of the holders to convert, the Company settled $0.9 million of principal balance of the 2025 Notes in cash. Between the end of the most recently completed fiscal quarter and April 29, 2022, the Company has not received additional conversion notices.</w:t>
      </w:r>
    </w:p>
    <w:p>
      <w:pPr>
        <w:spacing w:after="0" w:line="18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On or after February 1, 2022, until the close of business on the second scheduled trading day immediately preceding the maturity date, holders may convert the 2022 Notes at any time. In the quarter ended March 31, 2022 and through April 29, 2022, the Company did not receive any conversion notices. As of March 31, 2022, $19.4 million of principal remains outstanding on the 2022 Notes. For disclosure purposes, the potentially dilutive effect of the conversion spread is calculated and included in the table below.</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contains all potentially dilutive common stock equivalents.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128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527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1,145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Option of the 2022</w:t>
            </w:r>
          </w:p>
        </w:tc>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Warrants</w:t>
            </w:r>
          </w:p>
        </w:tc>
        <w:tc>
          <w:tcPr>
            <w:tcW w:w="128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1,232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Option of the 2025</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1,627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3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75"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2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2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the Company’s financial assets and liabilities at March 31, 2022 and December 31, 2021:</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714,754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100,250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1,024,523</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4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249,846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698,300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1,001,978</w:t>
            </w:r>
          </w:p>
        </w:tc>
        <w:tc>
          <w:tcPr>
            <w:tcW w:w="102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-1885315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-1885315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-1868170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-1885315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-1868170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-1885315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-1868170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31, 2022 and December 31, 2021,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41"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2022, the fair value of the 2022 Notes was $96.9 million and the fair value of the 2025 Notes was $821.4 million. The fair value was determined based on the quoted price of the 2022 and 2025 Notes in an inactive market on the last trading day of the reporting period and has been classified as Level 2 within the fair value hierarchy.</w:t>
      </w:r>
    </w:p>
    <w:p>
      <w:pPr>
        <w:spacing w:after="0" w:line="142"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3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3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$28.1 million of strategic investments without readily determinable fair values at March 31, 2022 and $17.8 million of strategic investments without readily determinable fair values at December 31, 2021. These investments are included in prepaid and other current assets and other assets on the consolidated balance sheets. During the three months ended March 31, 2022, an acquisition of an entity in which the Company held a strategic investment was completed, which resulted in an observable price change. The Company adjusted the fair value of its investment and recognized a gain of $4.2 million reported in the consolidated statements of operations as other income. There were no other adjustments to the carrying value of the strategic investments resulting from impairments or observable price changes in the three months ended March 31, 2022.</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composition of our short- and long-term investments at March 31, 2022 and December 31, 2021.</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5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10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1"/>
                <w:szCs w:val="11"/>
                <w:color w:val="auto"/>
              </w:rPr>
            </w:pPr>
          </w:p>
        </w:tc>
      </w:tr>
      <w:tr>
        <w:trPr>
          <w:trHeight w:val="187"/>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25,667</w:t>
            </w:r>
          </w:p>
        </w:tc>
        <w:tc>
          <w:tcPr>
            <w:tcW w:w="6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255,441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(2,897 )</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252,545</w:t>
            </w:r>
          </w:p>
        </w:tc>
        <w:tc>
          <w:tcPr>
            <w:tcW w:w="6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(453 )</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28,528</w:t>
            </w:r>
          </w:p>
        </w:tc>
        <w:tc>
          <w:tcPr>
            <w:tcW w:w="6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716,187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(1,438 )</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714,754</w:t>
            </w:r>
          </w:p>
        </w:tc>
        <w:tc>
          <w:tcPr>
            <w:tcW w:w="60" w:type="dxa"/>
            <w:vAlign w:val="bottom"/>
          </w:tcPr>
          <w:p>
            <w:pPr>
              <w:spacing w:after="0"/>
              <w:rPr>
                <w:sz w:val="18"/>
                <w:szCs w:val="18"/>
                <w:color w:val="auto"/>
              </w:rPr>
            </w:pPr>
          </w:p>
        </w:tc>
      </w:tr>
      <w:tr>
        <w:trPr>
          <w:trHeight w:val="250"/>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1,026,276</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1,021,494</w:t>
            </w:r>
          </w:p>
        </w:tc>
        <w:tc>
          <w:tcPr>
            <w:tcW w:w="60" w:type="dxa"/>
            <w:vAlign w:val="bottom"/>
            <w:tcBorders>
              <w:bottom w:val="single" w:sz="8" w:color="CFF0FC"/>
            </w:tcBorders>
            <w:shd w:val="clear" w:color="auto" w:fill="CFF0FC"/>
          </w:tcPr>
          <w:p>
            <w:pPr>
              <w:spacing w:after="0"/>
              <w:rPr>
                <w:sz w:val="21"/>
                <w:szCs w:val="21"/>
                <w:color w:val="auto"/>
              </w:rPr>
            </w:pPr>
          </w:p>
        </w:tc>
      </w:tr>
      <w:tr>
        <w:trPr>
          <w:trHeight w:val="548"/>
        </w:trPr>
        <w:tc>
          <w:tcPr>
            <w:tcW w:w="4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1000" w:type="dxa"/>
            <w:vAlign w:val="bottom"/>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4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w:t>
            </w:r>
          </w:p>
        </w:tc>
        <w:tc>
          <w:tcPr>
            <w:tcW w:w="6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(606 )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(38 )</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22,466</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(148 )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996,638</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995,857</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-1439545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-1422400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-1439545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-1422400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-1439545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-1422400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-1439545</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-1422400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For all of our securities for which the amortized cost basis was greater than the fair value at March 31, 2022,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short-term and long-term investments held at March 31, 2022 and December 31, 2021 are as follows:</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4"/>
                <w:szCs w:val="14"/>
                <w:color w:val="auto"/>
              </w:rPr>
            </w:pPr>
          </w:p>
        </w:tc>
      </w:tr>
      <w:tr>
        <w:trPr>
          <w:trHeight w:val="144"/>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217"/>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17"/>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r>
      <w:tr>
        <w:trPr>
          <w:trHeight w:val="173"/>
        </w:trPr>
        <w:tc>
          <w:tcPr>
            <w:tcW w:w="4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r>
      <w:tr>
        <w:trPr>
          <w:trHeight w:val="169"/>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3"/>
          </w:tcPr>
          <w:p>
            <w:pPr>
              <w:jc w:val="center"/>
              <w:ind w:right="797"/>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827,789</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821,101</w:t>
            </w:r>
          </w:p>
        </w:tc>
        <w:tc>
          <w:tcPr>
            <w:tcW w:w="4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820,962</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2 years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175,537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174,895</w:t>
            </w:r>
          </w:p>
        </w:tc>
        <w:tc>
          <w:tcPr>
            <w:tcW w:w="80" w:type="dxa"/>
            <w:vAlign w:val="bottom"/>
          </w:tcPr>
          <w:p>
            <w:pPr>
              <w:spacing w:after="0"/>
              <w:rPr>
                <w:sz w:val="18"/>
                <w:szCs w:val="18"/>
                <w:color w:val="auto"/>
              </w:rPr>
            </w:pPr>
          </w:p>
        </w:tc>
      </w:tr>
      <w:tr>
        <w:trPr>
          <w:trHeight w:val="249"/>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1,026,276</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1,021,494</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996,638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995,857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 of cash flows for the three months ended March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408,433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397,498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377,013</w:t>
            </w:r>
          </w:p>
        </w:tc>
        <w:tc>
          <w:tcPr>
            <w:tcW w:w="8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7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411,462</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400,527</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380,042</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615"/>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1"/>
        </w:trPr>
        <w:tc>
          <w:tcPr>
            <w:tcW w:w="30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-504825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-487680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-487680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-504825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-487680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960" w:type="dxa"/>
            <w:vAlign w:val="bottom"/>
            <w:gridSpan w:val="3"/>
          </w:tcPr>
          <w:p>
            <w:pPr>
              <w:jc w:val="center"/>
              <w:ind w:right="133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4"/>
                <w:szCs w:val="14"/>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computer equipment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8"/>
                <w:szCs w:val="18"/>
                <w:color w:val="auto"/>
              </w:rPr>
            </w:pPr>
          </w:p>
        </w:tc>
      </w:tr>
      <w:tr>
        <w:trPr>
          <w:trHeight w:val="210"/>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182,761</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8"/>
                <w:szCs w:val="18"/>
                <w:color w:val="auto"/>
              </w:rPr>
            </w:pPr>
          </w:p>
        </w:tc>
        <w:tc>
          <w:tcPr>
            <w:tcW w:w="17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(92,448 )</w:t>
            </w:r>
          </w:p>
        </w:tc>
        <w:tc>
          <w:tcPr>
            <w:tcW w:w="20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(86,627 )</w:t>
            </w:r>
          </w:p>
        </w:tc>
      </w:tr>
      <w:tr>
        <w:trPr>
          <w:trHeight w:val="249"/>
        </w:trPr>
        <w:tc>
          <w:tcPr>
            <w:tcW w:w="5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102,751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$6.3 million for the three months ended March 31, 2022 and $6.0 million for the three months ended March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Software Development Costs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Capitalized software development costs, exclusive of those recorded within property and equipment, consisted of the following:</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1860" w:type="dxa"/>
            <w:vAlign w:val="bottom"/>
            <w:gridSpan w:val="3"/>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capitalized software development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122,592</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(88,575 )</w:t>
            </w:r>
          </w:p>
        </w:tc>
        <w:tc>
          <w:tcPr>
            <w:tcW w:w="2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(82,734 )</w:t>
            </w:r>
          </w:p>
        </w:tc>
      </w:tr>
      <w:tr>
        <w:trPr>
          <w:trHeight w:val="249"/>
        </w:trPr>
        <w:tc>
          <w:tcPr>
            <w:tcW w:w="5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13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Amortization of capitalized software development costs, exclusive of costs recorded within property and equipment, was $7.1 million for the three months ended March 31, 2022 and $4.9 million for three months ended March 31, 2021.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Senior Notes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Adoption of Updated Debt Guidance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 2022, the Company adopted the new guidance for convertible instruments using a modified retrospective method. Results for</w:t>
      </w:r>
    </w:p>
    <w:p>
      <w:pPr>
        <w:spacing w:after="0" w:line="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reporting periods beginning after December 31, 2021 are presented under the new guidance, while prior period comparative amounts are not adjusted and continue to be reported in accordance with historical guidance.</w:t>
      </w:r>
    </w:p>
    <w:p>
      <w:pPr>
        <w:spacing w:after="0" w:line="12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new guidance eliminates the bifurcation and separate recognition of the embedded cash conversion feature from the host contract and allows for the entire amount attributable to the debt to be presented as a liability. The carrying amount of the debt liability will be reduced by the issuance costs associated with the debt issuance as a contra-liability. As there is no longer an equity component of the convertible debt, the discount created by accretion of a component of the convertible debt in equity is eliminated and interest expense is reduced. The deferred tax liability recognized as a result of a difference between the carrying amount and tax basis of the 2022 Notes that was recorded to additional paid-in capital as a component of equity was also reversed. There is no change in the accounting for the Capped Call Options, Warrants, or Convertible Note Hedges as they are classified as equity under both the historical and new guidance.</w:t>
      </w:r>
    </w:p>
    <w:p>
      <w:pPr>
        <w:spacing w:after="0" w:line="15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As a result of the impact of applying the new guidance, the Company recorded an increase to opening retained earnings of $31.4 million as of January 1, 2022, related to the difference in interest expense due to the amortization of the convertible debt discount and reversal of the deferred tax liability under the historical guidance. The resulting impact on the consolidated balance sheet to derecognize the debt issuance cost and conversion option that was allocated to the equity component and to derecognize the remaining convertible debt discount was an increase to debt liability of $69.8 million, of which $0.5 million was recorded to short term debt and $69.3 million was recorded to long-term debt, and a decrease in additional paid-in capital of $101.2 million.</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 and Capped Call Options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5" w:name="page16"/>
    <w:bookmarkEnd w:id="15"/>
    <w:p>
      <w:pPr>
        <w:ind w:firstLine="509"/>
        <w:spacing w:after="0" w:line="250" w:lineRule="auto"/>
        <w:rPr>
          <w:sz w:val="20"/>
          <w:szCs w:val="20"/>
          <w:color w:val="auto"/>
        </w:rPr>
      </w:pPr>
      <w:r>
        <w:rPr>
          <w:rFonts w:ascii="Times New Roman" w:cs="Times New Roman" w:eastAsia="Times New Roman" w:hAnsi="Times New Roman"/>
          <w:sz w:val="18"/>
          <w:szCs w:val="18"/>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3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March 31, 2022 was equal to or greater than 130% of the applicable conversion price on each applicable trading day, the 2025 Notes are convertible at the option of the holders thereof during the calendar quarter ending June 30, 2022. During the three months ended March 31, 2022, upon the election of the holders to convert, the Company settled $0.9 million of principal balance of the 2025 Notes in cash. Between the end of the most recently completed fiscal quarter and April 29, 2022, the Company has not received additional conversion notices.</w:t>
      </w:r>
    </w:p>
    <w:p>
      <w:pPr>
        <w:spacing w:after="0" w:line="13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accordance with GAAP relating to the embedded conversion feature, the Company bifurcated the conversion feature associated with the 2025 Notes and recorded $96.6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is as follows: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4"/>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459,083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center"/>
              <w:ind w:right="9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459,999</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(70,594 )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(6,336 )</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(5,544 )</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1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452,747</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center"/>
              <w:ind w:right="9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383,861</w:t>
            </w: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 related to the 2025 Notes is as follows:</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18"/>
                <w:szCs w:val="18"/>
                <w:color w:val="auto"/>
              </w:rPr>
            </w:pPr>
          </w:p>
        </w:tc>
        <w:tc>
          <w:tcPr>
            <w:tcW w:w="108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-1473835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-1473835</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is recorded in stockholders’ equity as a reduction in additional paid-in capital and are not accounted for as separate derivative financial instruments.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Senior Notes, Convertible Note Hedge and Warrant</w:t>
      </w:r>
    </w:p>
    <w:p>
      <w:pPr>
        <w:spacing w:after="0" w:line="189" w:lineRule="exact"/>
        <w:rPr>
          <w:sz w:val="20"/>
          <w:szCs w:val="20"/>
          <w:color w:val="auto"/>
        </w:rPr>
      </w:pPr>
    </w:p>
    <w:p>
      <w:pPr>
        <w:jc w:val="both"/>
        <w:ind w:right="560" w:firstLine="509"/>
        <w:spacing w:after="0" w:line="250" w:lineRule="auto"/>
        <w:rPr>
          <w:sz w:val="20"/>
          <w:szCs w:val="20"/>
          <w:color w:val="auto"/>
        </w:rPr>
      </w:pPr>
      <w:r>
        <w:rPr>
          <w:rFonts w:ascii="Times New Roman" w:cs="Times New Roman" w:eastAsia="Times New Roman" w:hAnsi="Times New Roman"/>
          <w:sz w:val="18"/>
          <w:szCs w:val="18"/>
          <w:color w:val="auto"/>
        </w:rPr>
        <w:t>In May 2017, the Company issued $350.0 million aggregate principal amount of 0.25% convertible senior notes due June 1, 2022 (the “2022 Notes”) in a private offering and an additional $50 million aggregate principal amount of the 2022 Notes pursuant to the exercise in full of the over-allotment options of the initial purchasers. of the 2022 Notes. The interest rate is fixed at 0.25% per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t>annum and is payable semi-annually in arrears on June 1 and December 1 of each year. The total net proceeds from the debt offering, after deducting initial purchase discounts and debt issuance costs, were approximately $389.2 million.</w:t>
      </w:r>
    </w:p>
    <w:p>
      <w:pPr>
        <w:spacing w:after="0" w:line="13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Each $1,000 principal amount of the 2022 Notes are currently convertible into 10.5519 shares of the Company’s common stock (the “Conversion Option of the 2022 Notes”), which is equivalent to an initial conversion price of approximately $94.77 per share, subject to adjustment upon the occurrence of specified events. On or after February 1, 2022 until the close of business on the second scheduled trading day immediately preceding the maturity date, holders may convert their notes at any time. Upon conversion, the Company will pay or deliver, as the case may be, cash, shares of the Company’s common stock or a combination of cash and shares of the Company’s common stock, at the Company’s election. The Company expects to settle the principal amount of the 2022 Notes in cash. In the quarter ended March 31, 2022 and through April 29, 2022, the Company did not receive any conversion notices. The 2022 Notes are classified as short-term debt. As of March 31, 2022, $19.4 million of principal remains outstanding on the 2022 Notes.</w:t>
      </w:r>
    </w:p>
    <w:p>
      <w:pPr>
        <w:spacing w:after="0" w:line="159"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As of March 31, 2022, Convertible Note Hedges giving the Company the option to purchase approximately 0.2 million shares of the Company’s common stock and Warrants giving certain counterparties the option to acquire up to 1.3 million shares of the Company’s common stock remain outstanding.</w:t>
      </w:r>
    </w:p>
    <w:p>
      <w:pPr>
        <w:spacing w:after="0" w:line="16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In accordance with GAAP relating to the embedded conversion feature, the Company bifurcated the conversion feature associated with the 2022 Notes and recorded $18.9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2022 Notes is as follows:</w:t>
      </w: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1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19,367</w:t>
            </w: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92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 related to the 2022 Notes is as follows:</w:t>
            </w: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1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-1559560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-1559560</wp:posOffset>
            </wp:positionV>
            <wp:extent cx="59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leases office facilities under non-cancelable operating leases that expire at various dates through February 2035.</w:t>
      </w:r>
    </w:p>
    <w:p>
      <w:pPr>
        <w:spacing w:after="0" w:line="17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lease term began, was amended, or extended for various leases of office spaces globally. The Company recorded a net $4.8 million of right-of-use assets and $4.8 million of lease liabilities for these leases during the period upon the lease commencement, amendment, or extension.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March 31, 2022 was 4.5%.</w:t>
      </w:r>
    </w:p>
    <w:p>
      <w:pPr>
        <w:spacing w:after="0" w:line="13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Operating lease expense costs were $10.9 million for the three months ended March 31, 2022 and $12.0 million for the three months ended March 31, 2021.</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subleases some of its unused spaces to third parties. Operating sublease income generated under all operating lease agreements for the three and nine months ended March 31, 2022 and 2021 are as follows:</w:t>
      </w:r>
    </w:p>
    <w:p>
      <w:pPr>
        <w:spacing w:after="0" w:line="21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16510</wp:posOffset>
            </wp:positionV>
            <wp:extent cx="23399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9" w:lineRule="exact"/>
        <w:rPr>
          <w:sz w:val="20"/>
          <w:szCs w:val="20"/>
          <w:color w:val="auto"/>
        </w:rPr>
      </w:pPr>
    </w:p>
    <w:p>
      <w:pPr>
        <w:ind w:left="702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16510</wp:posOffset>
            </wp:positionV>
            <wp:extent cx="23399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tabs>
          <w:tab w:leader="none" w:pos="6240" w:val="left"/>
          <w:tab w:leader="none" w:pos="7660" w:val="left"/>
          <w:tab w:leader="none" w:pos="8320" w:val="left"/>
          <w:tab w:leader="none" w:pos="9480" w:val="left"/>
        </w:tabs>
        <w:rPr>
          <w:sz w:val="20"/>
          <w:szCs w:val="20"/>
          <w:color w:val="auto"/>
        </w:rPr>
      </w:pPr>
      <w:r>
        <w:rPr>
          <w:rFonts w:ascii="Times New Roman" w:cs="Times New Roman" w:eastAsia="Times New Roman" w:hAnsi="Times New Roman"/>
          <w:sz w:val="18"/>
          <w:szCs w:val="18"/>
          <w:color w:val="auto"/>
        </w:rPr>
        <w:t>Operating sublease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1,188</w:t>
        <w:tab/>
        <w:t>$</w:t>
      </w:r>
      <w:r>
        <w:rPr>
          <w:sz w:val="20"/>
          <w:szCs w:val="20"/>
          <w:color w:val="auto"/>
        </w:rPr>
        <w:tab/>
      </w:r>
      <w:r>
        <w:rPr>
          <w:rFonts w:ascii="Times New Roman" w:cs="Times New Roman" w:eastAsia="Times New Roman" w:hAnsi="Times New Roman"/>
          <w:sz w:val="18"/>
          <w:szCs w:val="18"/>
          <w:color w:val="auto"/>
        </w:rPr>
        <w:t>1,259</w:t>
      </w:r>
    </w:p>
    <w:p>
      <w:pPr>
        <w:spacing w:after="0" w:line="16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Cash payments related to operating lease liabilities were $7.6 million for the three months ended March 31, 2022 and $17.9 million for the three months ended March 31, 2021.</w:t>
      </w:r>
    </w:p>
    <w:p>
      <w:pPr>
        <w:spacing w:after="0" w:line="104" w:lineRule="exact"/>
        <w:rPr>
          <w:sz w:val="20"/>
          <w:szCs w:val="20"/>
          <w:color w:val="auto"/>
        </w:rPr>
      </w:pPr>
    </w:p>
    <w:p>
      <w:pPr>
        <w:ind w:left="540" w:right="8420" w:hanging="532"/>
        <w:spacing w:after="0" w:line="483" w:lineRule="auto"/>
        <w:tabs>
          <w:tab w:leader="none" w:pos="27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Contractual Obligations</w:t>
      </w: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$81.6 million.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under all operating lease agreements as of March 31, 2022 are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44,477</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42,114</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42,141</w:t>
            </w:r>
          </w:p>
        </w:tc>
        <w:tc>
          <w:tcPr>
            <w:tcW w:w="8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8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172,126</w:t>
            </w:r>
          </w:p>
        </w:tc>
        <w:tc>
          <w:tcPr>
            <w:tcW w:w="80" w:type="dxa"/>
            <w:vAlign w:val="bottom"/>
          </w:tcPr>
          <w:p>
            <w:pPr>
              <w:spacing w:after="0"/>
              <w:rPr>
                <w:sz w:val="18"/>
                <w:szCs w:val="18"/>
                <w:color w:val="auto"/>
              </w:rPr>
            </w:pPr>
          </w:p>
        </w:tc>
      </w:tr>
      <w:tr>
        <w:trPr>
          <w:trHeight w:val="250"/>
        </w:trPr>
        <w:tc>
          <w:tcPr>
            <w:tcW w:w="5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May 2022, the Company entered into a new 2 year lease in the Netherlands. The new lease commences on or near July 1, 2022 and the Company will pay an aggregate of approximately $0.9 million in incremental rent over the lease term.</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under all non-cancelable arrangements as of March 31, 2022 and agreements entered into since then are as follows: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INBOUND</w:t>
            </w:r>
          </w:p>
        </w:tc>
        <w:tc>
          <w:tcPr>
            <w:tcW w:w="60" w:type="dxa"/>
            <w:vAlign w:val="bottom"/>
          </w:tcPr>
          <w:p>
            <w:pPr>
              <w:spacing w:after="0"/>
              <w:rPr>
                <w:sz w:val="14"/>
                <w:szCs w:val="14"/>
                <w:color w:val="auto"/>
              </w:rPr>
            </w:pPr>
          </w:p>
        </w:tc>
      </w:tr>
      <w:tr>
        <w:trPr>
          <w:trHeight w:val="149"/>
        </w:trPr>
        <w:tc>
          <w:tcPr>
            <w:tcW w:w="4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60" w:type="dxa"/>
            <w:vAlign w:val="bottom"/>
          </w:tcPr>
          <w:p>
            <w:pPr>
              <w:spacing w:after="0"/>
              <w:rPr>
                <w:sz w:val="12"/>
                <w:szCs w:val="12"/>
                <w:color w:val="auto"/>
              </w:rPr>
            </w:pPr>
          </w:p>
        </w:tc>
      </w:tr>
      <w:tr>
        <w:trPr>
          <w:trHeight w:val="187"/>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60" w:type="dxa"/>
            <w:vAlign w:val="bottom"/>
          </w:tcPr>
          <w:p>
            <w:pPr>
              <w:spacing w:after="0"/>
              <w:rPr>
                <w:sz w:val="16"/>
                <w:szCs w:val="16"/>
                <w:color w:val="auto"/>
              </w:rPr>
            </w:pPr>
          </w:p>
        </w:tc>
      </w:tr>
      <w:tr>
        <w:trPr>
          <w:trHeight w:val="184"/>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76"/>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106,916</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60" w:type="dxa"/>
            <w:vAlign w:val="bottom"/>
          </w:tcPr>
          <w:p>
            <w:pPr>
              <w:spacing w:after="0"/>
              <w:rPr>
                <w:sz w:val="24"/>
                <w:szCs w:val="24"/>
                <w:color w:val="auto"/>
              </w:rPr>
            </w:pPr>
          </w:p>
        </w:tc>
      </w:tr>
      <w:tr>
        <w:trPr>
          <w:trHeight w:val="39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shd w:val="clear" w:color="auto" w:fill="CFF0FC"/>
          </w:tcPr>
          <w:p>
            <w:pPr>
              <w:spacing w:after="0"/>
              <w:rPr>
                <w:sz w:val="24"/>
                <w:szCs w:val="2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155,154</w:t>
            </w:r>
          </w:p>
        </w:tc>
        <w:tc>
          <w:tcPr>
            <w:tcW w:w="1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60" w:type="dxa"/>
            <w:vAlign w:val="bottom"/>
            <w:shd w:val="clear" w:color="auto" w:fill="CFF0FC"/>
          </w:tcPr>
          <w:p>
            <w:pPr>
              <w:spacing w:after="0"/>
              <w:rPr>
                <w:sz w:val="24"/>
                <w:szCs w:val="24"/>
                <w:color w:val="auto"/>
              </w:rPr>
            </w:pPr>
          </w:p>
        </w:tc>
      </w:tr>
      <w:tr>
        <w:trPr>
          <w:trHeight w:val="391"/>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176,110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24"/>
                <w:szCs w:val="24"/>
                <w:color w:val="auto"/>
              </w:rPr>
            </w:pPr>
          </w:p>
        </w:tc>
      </w:tr>
      <w:tr>
        <w:trPr>
          <w:trHeight w:val="392"/>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shd w:val="clear" w:color="auto" w:fill="CFF0FC"/>
          </w:tcPr>
          <w:p>
            <w:pPr>
              <w:spacing w:after="0"/>
              <w:rPr>
                <w:sz w:val="24"/>
                <w:szCs w:val="2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195,972</w:t>
            </w:r>
          </w:p>
        </w:tc>
        <w:tc>
          <w:tcPr>
            <w:tcW w:w="1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shd w:val="clear" w:color="auto" w:fill="CFF0FC"/>
          </w:tcPr>
          <w:p>
            <w:pPr>
              <w:spacing w:after="0"/>
              <w:rPr>
                <w:sz w:val="24"/>
                <w:szCs w:val="24"/>
                <w:color w:val="auto"/>
              </w:rPr>
            </w:pPr>
          </w:p>
        </w:tc>
      </w:tr>
      <w:tr>
        <w:trPr>
          <w:trHeight w:val="391"/>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r>
      <w:tr>
        <w:trPr>
          <w:trHeight w:val="379"/>
        </w:trPr>
        <w:tc>
          <w:tcPr>
            <w:tcW w:w="4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187,500</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FF0FC"/>
            </w:tcBorders>
            <w:shd w:val="clear" w:color="auto" w:fill="CFF0FC"/>
          </w:tcPr>
          <w:p>
            <w:pPr>
              <w:spacing w:after="0"/>
              <w:rPr>
                <w:sz w:val="24"/>
                <w:szCs w:val="24"/>
                <w:color w:val="auto"/>
              </w:rPr>
            </w:pPr>
          </w:p>
        </w:tc>
      </w:tr>
      <w:tr>
        <w:trPr>
          <w:trHeight w:val="196"/>
        </w:trPr>
        <w:tc>
          <w:tcPr>
            <w:tcW w:w="43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1,041,652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3,295</w:t>
            </w:r>
          </w:p>
        </w:tc>
        <w:tc>
          <w:tcPr>
            <w:tcW w:w="6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-161925</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34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right="20" w:firstLine="509"/>
        <w:spacing w:after="0" w:line="250" w:lineRule="auto"/>
        <w:rPr>
          <w:sz w:val="20"/>
          <w:szCs w:val="20"/>
          <w:color w:val="auto"/>
        </w:rPr>
      </w:pPr>
      <w:r>
        <w:rPr>
          <w:rFonts w:ascii="Times New Roman" w:cs="Times New Roman" w:eastAsia="Times New Roman" w:hAnsi="Times New Roman"/>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Changes in Accumulated Other Comprehensive Loss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which is reported as a component of stockholders’ equity, for the three months ended March 31, 2022.</w:t>
      </w:r>
    </w:p>
    <w:p>
      <w:pPr>
        <w:spacing w:after="0" w:line="129" w:lineRule="exact"/>
        <w:rPr>
          <w:sz w:val="20"/>
          <w:szCs w:val="20"/>
          <w:color w:val="auto"/>
        </w:rPr>
      </w:pPr>
    </w:p>
    <w:tbl>
      <w:tblPr>
        <w:tblLayout w:type="fixed"/>
        <w:tblInd w:w="6060" w:type="dxa"/>
        <w:tblCellMar>
          <w:top w:w="0" w:type="dxa"/>
          <w:left w:w="0" w:type="dxa"/>
          <w:bottom w:w="0" w:type="dxa"/>
          <w:right w:w="0" w:type="dxa"/>
        </w:tblCellMar>
      </w:tblPr>
      <w:tr>
        <w:trPr>
          <w:trHeight w:val="161"/>
        </w:trPr>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12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1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1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513" w:right="339" w:bottom="1440"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Beginning balance at January 1, 2022</w:t>
      </w:r>
    </w:p>
    <w:p>
      <w:pPr>
        <w:spacing w:after="0" w:line="23"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23" w:lineRule="exact"/>
        <w:rPr>
          <w:sz w:val="20"/>
          <w:szCs w:val="20"/>
          <w:color w:val="auto"/>
        </w:rPr>
      </w:pPr>
    </w:p>
    <w:p>
      <w:pPr>
        <w:ind w:left="1420" w:right="720" w:hanging="89"/>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Ending balance at March 31,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1480" w:type="dxa"/>
            <w:vAlign w:val="bottom"/>
            <w:gridSpan w:val="2"/>
          </w:tcPr>
          <w:p>
            <w:pPr>
              <w:jc w:val="right"/>
              <w:ind w:right="50"/>
              <w:spacing w:after="0" w:line="185" w:lineRule="exact"/>
              <w:rPr>
                <w:sz w:val="20"/>
                <w:szCs w:val="20"/>
                <w:color w:val="auto"/>
              </w:rPr>
            </w:pPr>
            <w:r>
              <w:rPr>
                <w:rFonts w:ascii="Times New Roman" w:cs="Times New Roman" w:eastAsia="Times New Roman" w:hAnsi="Times New Roman"/>
                <w:sz w:val="18"/>
                <w:szCs w:val="18"/>
                <w:color w:val="auto"/>
              </w:rPr>
              <w:t>(532 )</w:t>
            </w:r>
          </w:p>
        </w:tc>
        <w:tc>
          <w:tcPr>
            <w:tcW w:w="1440" w:type="dxa"/>
            <w:vAlign w:val="bottom"/>
            <w:gridSpan w:val="2"/>
          </w:tcPr>
          <w:p>
            <w:pPr>
              <w:jc w:val="right"/>
              <w:ind w:right="10"/>
              <w:spacing w:after="0" w:line="185" w:lineRule="exact"/>
              <w:rPr>
                <w:sz w:val="20"/>
                <w:szCs w:val="20"/>
                <w:color w:val="auto"/>
              </w:rPr>
            </w:pPr>
            <w:r>
              <w:rPr>
                <w:rFonts w:ascii="Times New Roman" w:cs="Times New Roman" w:eastAsia="Times New Roman" w:hAnsi="Times New Roman"/>
                <w:sz w:val="18"/>
                <w:szCs w:val="18"/>
                <w:color w:val="auto"/>
              </w:rPr>
              <w:t>(807 )</w:t>
            </w:r>
          </w:p>
        </w:tc>
        <w:tc>
          <w:tcPr>
            <w:tcW w:w="11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rPr>
              <w:t>(1,339 )</w:t>
            </w:r>
          </w:p>
        </w:tc>
      </w:tr>
      <w:tr>
        <w:trPr>
          <w:trHeight w:val="234"/>
        </w:trPr>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(356 )</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(4,357 )</w:t>
            </w:r>
          </w:p>
        </w:tc>
      </w:tr>
      <w:tr>
        <w:trPr>
          <w:trHeight w:val="392"/>
        </w:trPr>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-702310</wp:posOffset>
            </wp:positionV>
            <wp:extent cx="570039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-419735</wp:posOffset>
            </wp:positionV>
            <wp:extent cx="5700395"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940" w:lineRule="exact"/>
        <w:rPr>
          <w:sz w:val="20"/>
          <w:szCs w:val="20"/>
          <w:color w:val="auto"/>
        </w:rPr>
      </w:pPr>
    </w:p>
    <w:p>
      <w:pPr>
        <w:sectPr>
          <w:pgSz w:w="11900" w:h="16838" w:orient="portrait"/>
          <w:cols w:equalWidth="0" w:num="2">
            <w:col w:w="5340" w:space="720"/>
            <w:col w:w="5180"/>
          </w:cols>
          <w:pgMar w:left="320" w:top="513" w:right="339" w:bottom="1440" w:gutter="0" w:footer="0" w:header="0"/>
          <w:type w:val="continuous"/>
        </w:sect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following two tables show stock-based compensation expense by award type and where the stock-based compensation expense is recorded in the Company’s consolidated statements of operations: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9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140" w:type="dxa"/>
            <w:vAlign w:val="bottom"/>
            <w:gridSpan w:val="2"/>
            <w:shd w:val="clear" w:color="auto" w:fill="CFF0FC"/>
          </w:tcPr>
          <w:p>
            <w:pPr>
              <w:jc w:val="center"/>
              <w:ind w:right="5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40,807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45,704</w:t>
            </w:r>
          </w:p>
        </w:tc>
        <w:tc>
          <w:tcPr>
            <w:tcW w:w="1140" w:type="dxa"/>
            <w:vAlign w:val="bottom"/>
            <w:gridSpan w:val="2"/>
          </w:tcPr>
          <w:p>
            <w:pPr>
              <w:jc w:val="center"/>
              <w:ind w:right="5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expense on income by line item:</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subscription</w:t>
            </w:r>
          </w:p>
        </w:tc>
        <w:tc>
          <w:tcPr>
            <w:tcW w:w="9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right="5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professional services and other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45,704</w:t>
            </w:r>
          </w:p>
        </w:tc>
        <w:tc>
          <w:tcPr>
            <w:tcW w:w="20" w:type="dxa"/>
            <w:vAlign w:val="bottom"/>
          </w:tcPr>
          <w:p>
            <w:pPr>
              <w:spacing w:after="0"/>
              <w:rPr>
                <w:sz w:val="18"/>
                <w:szCs w:val="18"/>
                <w:color w:val="auto"/>
              </w:rPr>
            </w:pPr>
          </w:p>
        </w:tc>
        <w:tc>
          <w:tcPr>
            <w:tcW w:w="1140" w:type="dxa"/>
            <w:vAlign w:val="bottom"/>
            <w:gridSpan w:val="2"/>
          </w:tcPr>
          <w:p>
            <w:pPr>
              <w:jc w:val="center"/>
              <w:ind w:right="5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-1756410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-1756410</wp:posOffset>
            </wp:positionV>
            <wp:extent cx="34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-170815</wp:posOffset>
            </wp:positionV>
            <wp:extent cx="34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excluded from stock-based compensation expense is $1.6 million for the three months ended March 31, 2022 and $1.1 million for the three months ended March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 and Geographic Data</w:t>
      </w:r>
    </w:p>
    <w:p>
      <w:pPr>
        <w:spacing w:after="0" w:line="18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ind w:right="420"/>
        <w:spacing w:after="0" w:line="266" w:lineRule="auto"/>
        <w:rPr>
          <w:sz w:val="20"/>
          <w:szCs w:val="20"/>
          <w:color w:val="auto"/>
        </w:rPr>
      </w:pPr>
      <w:r>
        <w:rPr>
          <w:rFonts w:ascii="Times New Roman" w:cs="Times New Roman" w:eastAsia="Times New Roman" w:hAnsi="Times New Roman"/>
          <w:sz w:val="18"/>
          <w:szCs w:val="18"/>
          <w:color w:val="auto"/>
        </w:rPr>
        <w:t>statements. Revenue and long-lived assets by geographic region, based on the physical location of the operations recording the sale or the asset, are as follows: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geographical region:</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2"/>
          </w:tcPr>
          <w:p>
            <w:pPr>
              <w:jc w:val="right"/>
              <w:ind w:right="836"/>
              <w:spacing w:after="0" w:line="151"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242,027</w:t>
            </w:r>
          </w:p>
        </w:tc>
        <w:tc>
          <w:tcPr>
            <w:tcW w:w="400" w:type="dxa"/>
            <w:vAlign w:val="bottom"/>
          </w:tcPr>
          <w:p>
            <w:pPr>
              <w:spacing w:after="0"/>
              <w:rPr>
                <w:sz w:val="20"/>
                <w:szCs w:val="20"/>
                <w:color w:val="auto"/>
              </w:rPr>
            </w:pP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119,189</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83,370</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4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395,599</w:t>
            </w:r>
          </w:p>
        </w:tc>
        <w:tc>
          <w:tcPr>
            <w:tcW w:w="4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281,365</w:t>
            </w:r>
          </w:p>
        </w:tc>
        <w:tc>
          <w:tcPr>
            <w:tcW w:w="2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5740" w:type="dxa"/>
            <w:vAlign w:val="bottom"/>
          </w:tcPr>
          <w:p>
            <w:pPr>
              <w:spacing w:after="0" w:line="151" w:lineRule="exact"/>
              <w:rPr>
                <w:sz w:val="20"/>
                <w:szCs w:val="20"/>
                <w:color w:val="auto"/>
              </w:rPr>
            </w:pPr>
            <w:r>
              <w:rPr>
                <w:rFonts w:ascii="Times New Roman" w:cs="Times New Roman" w:eastAsia="Times New Roman" w:hAnsi="Times New Roman"/>
                <w:sz w:val="17"/>
                <w:szCs w:val="17"/>
                <w:color w:val="auto"/>
              </w:rPr>
              <w:t>Percentage of revenues generated outside of</w:t>
            </w:r>
          </w:p>
        </w:tc>
        <w:tc>
          <w:tcPr>
            <w:tcW w:w="1060" w:type="dxa"/>
            <w:vAlign w:val="bottom"/>
          </w:tcPr>
          <w:p>
            <w:pPr>
              <w:spacing w:after="0"/>
              <w:rPr>
                <w:sz w:val="13"/>
                <w:szCs w:val="13"/>
                <w:color w:val="auto"/>
              </w:rPr>
            </w:pPr>
          </w:p>
        </w:tc>
        <w:tc>
          <w:tcPr>
            <w:tcW w:w="11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8"/>
                <w:szCs w:val="18"/>
                <w:color w:val="auto"/>
              </w:rPr>
              <w:t>39 %</w:t>
            </w:r>
          </w:p>
        </w:tc>
        <w:tc>
          <w:tcPr>
            <w:tcW w:w="1200" w:type="dxa"/>
            <w:vAlign w:val="bottom"/>
          </w:tcPr>
          <w:p>
            <w:pPr>
              <w:spacing w:after="0"/>
              <w:rPr>
                <w:sz w:val="13"/>
                <w:szCs w:val="13"/>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194"/>
        </w:trPr>
        <w:tc>
          <w:tcPr>
            <w:tcW w:w="57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the Americas</w:t>
            </w:r>
          </w:p>
        </w:tc>
        <w:tc>
          <w:tcPr>
            <w:tcW w:w="10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-282575</wp:posOffset>
            </wp:positionV>
            <wp:extent cx="1543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-264795</wp:posOffset>
            </wp:positionV>
            <wp:extent cx="154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-282575</wp:posOffset>
            </wp:positionV>
            <wp:extent cx="146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-264795</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Revenue derived from customers outside the United States (international) was approximately 46% of total revenue in the three months ended March 31, 2022 and 45% of total revenue in the three months ended March 31, 2021.</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long-lived assets by geographical region: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Pr>
          <w:p>
            <w:pPr>
              <w:spacing w:after="0"/>
              <w:rPr>
                <w:sz w:val="16"/>
                <w:szCs w:val="16"/>
                <w:color w:val="auto"/>
              </w:rPr>
            </w:pPr>
          </w:p>
        </w:tc>
        <w:tc>
          <w:tcPr>
            <w:tcW w:w="19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3"/>
              </w:rPr>
              <w:t>thousands)</w:t>
            </w: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229,433</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226,848</w:t>
            </w: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8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379,299</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Percentage of long-lived assets held outside of the Americas</w:t>
            </w:r>
          </w:p>
        </w:tc>
        <w:tc>
          <w:tcPr>
            <w:tcW w:w="8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Pr>
          <w:p>
            <w:pPr>
              <w:spacing w:after="0"/>
              <w:rPr>
                <w:sz w:val="20"/>
                <w:szCs w:val="20"/>
                <w:color w:val="auto"/>
              </w:rPr>
            </w:pPr>
          </w:p>
        </w:tc>
      </w:tr>
      <w:tr>
        <w:trPr>
          <w:trHeight w:val="804"/>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-934085</wp:posOffset>
            </wp:positionV>
            <wp:extent cx="1460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-934085</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-625475</wp:posOffset>
            </wp:positionV>
            <wp:extent cx="1460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-607695</wp:posOffset>
            </wp:positionV>
            <wp:extent cx="1460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-625475</wp:posOffset>
            </wp:positionV>
            <wp:extent cx="1460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-607695</wp:posOffset>
            </wp:positionV>
            <wp:extent cx="1460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2021 filed with the SEC on February 14, 2022.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60" w:firstLine="544"/>
        <w:spacing w:after="0" w:line="258" w:lineRule="auto"/>
        <w:rPr>
          <w:sz w:val="20"/>
          <w:szCs w:val="20"/>
          <w:color w:val="auto"/>
        </w:rPr>
      </w:pPr>
      <w:r>
        <w:rPr>
          <w:rFonts w:ascii="Times New Roman" w:cs="Times New Roman" w:eastAsia="Times New Roman" w:hAnsi="Times New Roman"/>
          <w:sz w:val="18"/>
          <w:szCs w:val="18"/>
          <w:color w:val="212529"/>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spacing w:after="0" w:line="142" w:lineRule="exact"/>
        <w:rPr>
          <w:sz w:val="20"/>
          <w:szCs w:val="20"/>
          <w:color w:val="auto"/>
        </w:rPr>
      </w:pPr>
    </w:p>
    <w:p>
      <w:pPr>
        <w:ind w:firstLine="544"/>
        <w:spacing w:after="0" w:line="243" w:lineRule="auto"/>
        <w:rPr>
          <w:sz w:val="20"/>
          <w:szCs w:val="20"/>
          <w:color w:val="auto"/>
        </w:rPr>
      </w:pPr>
      <w:r>
        <w:rPr>
          <w:rFonts w:ascii="Times New Roman" w:cs="Times New Roman" w:eastAsia="Times New Roman" w:hAnsi="Times New Roman"/>
          <w:sz w:val="18"/>
          <w:szCs w:val="18"/>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third-party applications to further customize to an individual company’s industry or needs. In addition, an end-to-end native payment solution, Payments, is built within our CRM Platform which enables customers to streamline their payment process.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59" w:lineRule="exact"/>
        <w:rPr>
          <w:sz w:val="20"/>
          <w:szCs w:val="20"/>
          <w:color w:val="auto"/>
        </w:rPr>
      </w:pPr>
    </w:p>
    <w:p>
      <w:pPr>
        <w:ind w:right="180" w:firstLine="544"/>
        <w:spacing w:after="0" w:line="243" w:lineRule="auto"/>
        <w:rPr>
          <w:sz w:val="20"/>
          <w:szCs w:val="20"/>
          <w:color w:val="auto"/>
        </w:rPr>
      </w:pPr>
      <w:r>
        <w:rPr>
          <w:rFonts w:ascii="Times New Roman" w:cs="Times New Roman" w:eastAsia="Times New Roman" w:hAnsi="Times New Roman"/>
          <w:sz w:val="18"/>
          <w:szCs w:val="18"/>
          <w:color w:val="212529"/>
        </w:rPr>
        <w:t xml:space="preserve">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w:t>
      </w:r>
      <w:r>
        <w:rPr>
          <w:rFonts w:ascii="Times New Roman" w:cs="Times New Roman" w:eastAsia="Times New Roman" w:hAnsi="Times New Roman"/>
          <w:sz w:val="18"/>
          <w:szCs w:val="18"/>
          <w:color w:val="000000"/>
        </w:rPr>
        <w:t>As of March 31, 2022, we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had 6,404 full-time employees and 143,689 Customers of varying sizes in more than 120 countries, representing almost every industry.</w:t>
      </w:r>
    </w:p>
    <w:p>
      <w:pPr>
        <w:spacing w:after="0" w:line="146" w:lineRule="exact"/>
        <w:rPr>
          <w:sz w:val="20"/>
          <w:szCs w:val="20"/>
          <w:color w:val="auto"/>
        </w:rPr>
      </w:pPr>
    </w:p>
    <w:p>
      <w:pPr>
        <w:ind w:right="120" w:firstLine="544"/>
        <w:spacing w:after="0" w:line="245" w:lineRule="auto"/>
        <w:rPr>
          <w:sz w:val="20"/>
          <w:szCs w:val="20"/>
          <w:color w:val="auto"/>
        </w:rPr>
      </w:pPr>
      <w:r>
        <w:rPr>
          <w:rFonts w:ascii="Times New Roman" w:cs="Times New Roman" w:eastAsia="Times New Roman" w:hAnsi="Times New Roman"/>
          <w:sz w:val="18"/>
          <w:szCs w:val="18"/>
          <w:color w:val="auto"/>
        </w:rPr>
        <w:t>We derive most of our revenue from subscriptions to our cloud-based CRM Platform and related professional services, which consist of customer on-boarding, training and consulting services. Subscription revenue accounted for 97% of our total revenue for the three months ended March 31, 2022 and 96% of our total revenue for the three months ended March 31, 2021.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54" w:lineRule="exact"/>
        <w:rPr>
          <w:sz w:val="20"/>
          <w:szCs w:val="20"/>
          <w:color w:val="auto"/>
        </w:rPr>
      </w:pPr>
    </w:p>
    <w:p>
      <w:pPr>
        <w:jc w:val="both"/>
        <w:ind w:firstLine="589"/>
        <w:spacing w:after="0" w:line="258" w:lineRule="auto"/>
        <w:rPr>
          <w:sz w:val="20"/>
          <w:szCs w:val="20"/>
          <w:color w:val="auto"/>
        </w:rPr>
      </w:pPr>
      <w:r>
        <w:rPr>
          <w:rFonts w:ascii="Times New Roman" w:cs="Times New Roman" w:eastAsia="Times New Roman" w:hAnsi="Times New Roman"/>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29" w:lineRule="exact"/>
        <w:rPr>
          <w:sz w:val="20"/>
          <w:szCs w:val="20"/>
          <w:color w:val="auto"/>
        </w:rPr>
      </w:pPr>
    </w:p>
    <w:p>
      <w:pPr>
        <w:ind w:right="160" w:firstLine="544"/>
        <w:spacing w:after="0" w:line="258" w:lineRule="auto"/>
        <w:rPr>
          <w:sz w:val="20"/>
          <w:szCs w:val="20"/>
          <w:color w:val="auto"/>
        </w:rPr>
      </w:pPr>
      <w:r>
        <w:rPr>
          <w:rFonts w:ascii="Times New Roman" w:cs="Times New Roman" w:eastAsia="Times New Roman" w:hAnsi="Times New Roman"/>
          <w:sz w:val="18"/>
          <w:szCs w:val="18"/>
          <w:color w:val="auto"/>
        </w:rPr>
        <w:t>Many of our customers purchase on-boarding, training, and consulting services, and utilize other tools and Payments, which are designed to help customers enhance their ability to attract, engage and delight their customers using our CRM Platform. Professional services and other revenue accounted for 3% of total revenue for three months ended March 31, 2022 and 4% of our total revenue for the three months ended March 31, 2021.</w:t>
      </w:r>
    </w:p>
    <w:p>
      <w:pPr>
        <w:spacing w:after="0" w:line="129" w:lineRule="exact"/>
        <w:rPr>
          <w:sz w:val="20"/>
          <w:szCs w:val="20"/>
          <w:color w:val="auto"/>
        </w:rPr>
      </w:pPr>
    </w:p>
    <w:p>
      <w:pPr>
        <w:ind w:right="160" w:firstLine="544"/>
        <w:spacing w:after="0" w:line="258" w:lineRule="auto"/>
        <w:rPr>
          <w:sz w:val="20"/>
          <w:szCs w:val="20"/>
          <w:color w:val="auto"/>
        </w:rPr>
      </w:pPr>
      <w:r>
        <w:rPr>
          <w:rFonts w:ascii="Times New Roman" w:cs="Times New Roman" w:eastAsia="Times New Roman" w:hAnsi="Times New Roman"/>
          <w:sz w:val="18"/>
          <w:szCs w:val="18"/>
          <w:color w:val="auto"/>
        </w:rPr>
        <w:t>We have focused on rapidly growing our business and plan to continue to make investments to help us address some of the challenges facing us to support this growth, such as demand for our CRM Platform by existing and new customers, significant competition from other providers of marketing, sales, customer service, operations, and content management software and related applications and rapid technological change in our industry.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ind w:right="80" w:firstLine="544"/>
        <w:spacing w:after="0" w:line="242" w:lineRule="auto"/>
        <w:rPr>
          <w:sz w:val="20"/>
          <w:szCs w:val="20"/>
          <w:color w:val="auto"/>
        </w:rPr>
      </w:pPr>
      <w:r>
        <w:rPr>
          <w:rFonts w:ascii="Times New Roman" w:cs="Times New Roman" w:eastAsia="Times New Roman" w:hAnsi="Times New Roman"/>
          <w:sz w:val="18"/>
          <w:szCs w:val="18"/>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CRM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support our business and do not expect to be profitable in the near term.</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89" w:lineRule="exact"/>
        <w:rPr>
          <w:sz w:val="20"/>
          <w:szCs w:val="20"/>
          <w:color w:val="auto"/>
        </w:rPr>
      </w:pPr>
    </w:p>
    <w:p>
      <w:pPr>
        <w:jc w:val="both"/>
        <w:ind w:right="60" w:firstLine="544"/>
        <w:spacing w:after="0" w:line="250" w:lineRule="auto"/>
        <w:rPr>
          <w:sz w:val="20"/>
          <w:szCs w:val="20"/>
          <w:color w:val="auto"/>
        </w:rPr>
      </w:pPr>
      <w:r>
        <w:rPr>
          <w:rFonts w:ascii="Times New Roman" w:cs="Times New Roman" w:eastAsia="Times New Roman" w:hAnsi="Times New Roman"/>
          <w:sz w:val="18"/>
          <w:szCs w:val="18"/>
          <w:color w:val="auto"/>
        </w:rPr>
        <w:t>In March 2020, the World Health Organization, or WHO, declared the outbreak of a disease caused by a novel strain of the coronavirus (“COVID-19”) to be a pandemic (the “pandemic”). This pandemic has had widespread, rapidly-evolving, and unpredictable impacts on global societies, economies, financial markets, and business practices. Federal and state governments have implemented various measures in an effort to contain the virus, which have caused, and are continuing to cause, business slowdowns or shutdowns in affected areas, both regionally and worldwide.</w:t>
      </w:r>
    </w:p>
    <w:p>
      <w:pPr>
        <w:spacing w:after="0" w:line="150" w:lineRule="exact"/>
        <w:rPr>
          <w:sz w:val="20"/>
          <w:szCs w:val="20"/>
          <w:color w:val="auto"/>
        </w:rPr>
      </w:pPr>
    </w:p>
    <w:p>
      <w:pPr>
        <w:ind w:firstLine="544"/>
        <w:spacing w:after="0" w:line="250" w:lineRule="auto"/>
        <w:rPr>
          <w:sz w:val="20"/>
          <w:szCs w:val="20"/>
          <w:color w:val="auto"/>
        </w:rPr>
      </w:pPr>
      <w:r>
        <w:rPr>
          <w:rFonts w:ascii="Times New Roman" w:cs="Times New Roman" w:eastAsia="Times New Roman" w:hAnsi="Times New Roman"/>
          <w:sz w:val="18"/>
          <w:szCs w:val="18"/>
          <w:color w:val="auto"/>
        </w:rPr>
        <w:t>Our focus remains on promoting employee health and safety, serving our customers, complying with regulations, and ensuring business continuity. As we continue to monitor local regulations and restrictions across the globe, the administration of vaccines and the number of new cases, we have reopened all of our offices globally in accordance with local authority guidelines while ensuring that our return to work is thoughtful, prudent, and handled with an abundance of caution with the health of our employees being the top priority.</w:t>
      </w:r>
    </w:p>
    <w:p>
      <w:pPr>
        <w:spacing w:after="0" w:line="137" w:lineRule="exact"/>
        <w:rPr>
          <w:sz w:val="20"/>
          <w:szCs w:val="20"/>
          <w:color w:val="auto"/>
        </w:rPr>
      </w:pPr>
    </w:p>
    <w:p>
      <w:pPr>
        <w:ind w:right="40" w:firstLine="544"/>
        <w:spacing w:after="0" w:line="258" w:lineRule="auto"/>
        <w:rPr>
          <w:sz w:val="20"/>
          <w:szCs w:val="20"/>
          <w:color w:val="auto"/>
        </w:rPr>
      </w:pPr>
      <w:r>
        <w:rPr>
          <w:rFonts w:ascii="Times New Roman" w:cs="Times New Roman" w:eastAsia="Times New Roman" w:hAnsi="Times New Roman"/>
          <w:sz w:val="18"/>
          <w:szCs w:val="18"/>
          <w:color w:val="auto"/>
        </w:rPr>
        <w:t>The pandemic has not had a material adverse financial impact on our business to date, the broader implications of the pandemic on our results of operations and overall financial performance will depend on future developments and conditions. See the section titled “Risk Factors” included under Part II, Item 1A below for further discussion of the possible impact of the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2022 and 2021</w:t>
      </w:r>
    </w:p>
    <w:p>
      <w:pPr>
        <w:spacing w:after="0" w:line="17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140" w:type="dxa"/>
        <w:tblCellMar>
          <w:top w:w="0" w:type="dxa"/>
          <w:left w:w="0" w:type="dxa"/>
          <w:bottom w:w="0" w:type="dxa"/>
          <w:right w:w="0" w:type="dxa"/>
        </w:tblCellMar>
      </w:tblPr>
      <w:tr>
        <w:trPr>
          <w:trHeight w:val="134"/>
        </w:trPr>
        <w:tc>
          <w:tcPr>
            <w:tcW w:w="5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gridSpan w:val="3"/>
          </w:tcPr>
          <w:p>
            <w:pPr>
              <w:jc w:val="right"/>
              <w:ind w:right="110"/>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384,956</w:t>
            </w:r>
          </w:p>
        </w:tc>
        <w:tc>
          <w:tcPr>
            <w:tcW w:w="22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395,599</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322,663</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333,817</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(950 )</w:t>
            </w: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(9,399 )</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(8,264 )</w:t>
            </w: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(1,444 )</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-2862580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-2862580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-2296795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-2296795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-2005330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-2005330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-1448435</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-1448435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-1156970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-1156970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-599440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-599440</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tbl>
      <w:tblPr>
        <w:tblLayout w:type="fixed"/>
        <w:tblInd w:w="750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6"/>
        </w:trPr>
        <w:tc>
          <w:tcPr>
            <w:tcW w:w="34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90"/>
        </w:trPr>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-121920</wp:posOffset>
            </wp:positionV>
            <wp:extent cx="1731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-1270</wp:posOffset>
            </wp:positionV>
            <wp:extent cx="1731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ectPr>
          <w:pgSz w:w="11900" w:h="16838" w:orient="portrait"/>
          <w:cols w:equalWidth="0" w:num="1">
            <w:col w:w="11140"/>
          </w:cols>
          <w:pgMar w:left="320" w:top="509" w:right="439" w:bottom="1440"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-124460</wp:posOffset>
            </wp:positionV>
            <wp:extent cx="570039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Professional services and other</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Professional services and other</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Gross profit</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other income (expense)</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570039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Percentages are based on actual values. Totals may not sum due to rounding.</w:t>
      </w: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500" w:type="dxa"/>
            <w:vAlign w:val="bottom"/>
            <w:vMerge w:val="continue"/>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91"/>
        </w:trPr>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(0 )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340" w:space="720"/>
            <w:col w:w="4080"/>
          </w:cols>
          <w:pgMar w:left="320" w:top="509"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the Three Months Ended March 31, 2021</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Revenues:</w:t>
            </w:r>
          </w:p>
        </w:tc>
        <w:tc>
          <w:tcPr>
            <w:tcW w:w="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384,956</w:t>
            </w:r>
          </w:p>
        </w:tc>
        <w:tc>
          <w:tcPr>
            <w:tcW w:w="6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270,263</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114,693</w:t>
            </w:r>
          </w:p>
        </w:tc>
        <w:tc>
          <w:tcPr>
            <w:tcW w:w="16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Professional services and other</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10,643</w:t>
            </w: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11,102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(459 )</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196"/>
        </w:trPr>
        <w:tc>
          <w:tcPr>
            <w:tcW w:w="3820" w:type="dxa"/>
            <w:vAlign w:val="bottom"/>
            <w:tcBorders>
              <w:top w:val="single" w:sz="8" w:color="CFF0FC"/>
            </w:tcBorders>
            <w:gridSpan w:val="2"/>
          </w:tcPr>
          <w:p>
            <w:pPr>
              <w:ind w:left="36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395,599</w:t>
            </w:r>
          </w:p>
        </w:tc>
        <w:tc>
          <w:tcPr>
            <w:tcW w:w="14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281,365</w:t>
            </w: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114,234</w:t>
            </w:r>
          </w:p>
        </w:tc>
        <w:tc>
          <w:tcPr>
            <w:tcW w:w="160" w:type="dxa"/>
            <w:vAlign w:val="bottom"/>
            <w:tcBorders>
              <w:top w:val="single" w:sz="8" w:color="CFF0FC"/>
            </w:tcBorders>
          </w:tcPr>
          <w:p>
            <w:pPr>
              <w:spacing w:after="0"/>
              <w:rPr>
                <w:sz w:val="17"/>
                <w:szCs w:val="17"/>
                <w:color w:val="auto"/>
              </w:rPr>
            </w:pPr>
          </w:p>
        </w:tc>
        <w:tc>
          <w:tcPr>
            <w:tcW w:w="1780" w:type="dxa"/>
            <w:vAlign w:val="bottom"/>
            <w:tcBorders>
              <w:top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-162560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-162560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Subscription revenue increased during the three months ended March 31, 2022 compared to the same period in 2021 primarily due to the increase in Customers, which grew from 113,925 as of March 31, 2021 to 143,689 as of March 31, 2022. Average Subscription Revenue per Customer increased from $9,886 for the three months ended March 31, 2021 to $11,030 for the three months ended March 31, 2022. The growth in Customers was primarily driven by our increased sales representative capacity to meet market demand as well as an increase in demand for our lower priced starter products and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13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Professional services and other revenue decreased during the three months ended March 31, 2022 compared to the same period in 2021 primarily due to non-recurring advertising revenue generated from our acquisition of the Hustle in the first quarter of 2021 and lower overall services revenue from onboardings and trainings, partially offset by fees earned from Payments, revenue share arrangements with third parties, and other revenue streams.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 Percentage</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1620" w:type="dxa"/>
            <w:vAlign w:val="bottom"/>
            <w:gridSpan w:val="2"/>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72,936</w:t>
            </w:r>
          </w:p>
        </w:tc>
        <w:tc>
          <w:tcPr>
            <w:tcW w:w="3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54,734</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12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322,663</w:t>
            </w:r>
          </w:p>
        </w:tc>
        <w:tc>
          <w:tcPr>
            <w:tcW w:w="320" w:type="dxa"/>
            <w:vAlign w:val="bottom"/>
          </w:tcPr>
          <w:p>
            <w:pPr>
              <w:spacing w:after="0"/>
              <w:rPr>
                <w:sz w:val="17"/>
                <w:szCs w:val="17"/>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226,631</w:t>
            </w:r>
          </w:p>
        </w:tc>
        <w:tc>
          <w:tcPr>
            <w:tcW w:w="2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96,032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percentage</w:t>
            </w:r>
          </w:p>
        </w:tc>
        <w:tc>
          <w:tcPr>
            <w:tcW w:w="4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82 %</w:t>
            </w:r>
          </w:p>
        </w:tc>
        <w:tc>
          <w:tcPr>
            <w:tcW w:w="4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81 %</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Total cost of revenue for the three months ended March 31, 2022 increased compared to the same period in 2021 primarily due to an increase in subscription and hosting costs, employee-related costs, amortization of capitalized software development costs, allocated overhead expenses, and amortization of acquired technology. Gross margins remained consistent year-over-year.</w:t>
      </w:r>
    </w:p>
    <w:p>
      <w:pPr>
        <w:spacing w:after="0" w:line="1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Subscription cost of revenue</w:t>
            </w: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59,384</w:t>
            </w:r>
          </w:p>
        </w:tc>
        <w:tc>
          <w:tcPr>
            <w:tcW w:w="3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43,853</w:t>
            </w:r>
          </w:p>
        </w:tc>
        <w:tc>
          <w:tcPr>
            <w:tcW w:w="3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15,531</w:t>
            </w:r>
          </w:p>
        </w:tc>
        <w:tc>
          <w:tcPr>
            <w:tcW w:w="16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subscription revenue</w:t>
            </w:r>
          </w:p>
        </w:tc>
        <w:tc>
          <w:tcPr>
            <w:tcW w:w="2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15 %</w:t>
            </w:r>
          </w:p>
        </w:tc>
        <w:tc>
          <w:tcPr>
            <w:tcW w:w="4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16 %</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increase in subscription cost of revenue for the three months ended March 31, 2022 compared to the same period in 2021 was primarily due to the following:</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and hosting costs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6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6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6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6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ind w:firstLine="578"/>
        <w:spacing w:after="0" w:line="246" w:lineRule="auto"/>
        <w:rPr>
          <w:sz w:val="20"/>
          <w:szCs w:val="20"/>
          <w:color w:val="auto"/>
        </w:rPr>
      </w:pPr>
      <w:r>
        <w:rPr>
          <w:rFonts w:ascii="Times New Roman" w:cs="Times New Roman" w:eastAsia="Times New Roman" w:hAnsi="Times New Roman"/>
          <w:sz w:val="18"/>
          <w:szCs w:val="18"/>
          <w:color w:val="auto"/>
        </w:rPr>
        <w:t>Subscription and hosting costs increased primarily due to growth in our Total Customer base from 113,925 as of March 31, 2021 to 143,689 as of March 31, 2022. We also saw higher subscription and hosting costs as we launched an additional data center in the third quarter of 2021 and continued to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4" w:name="page25"/>
    <w:bookmarkEnd w:id="24"/>
    <w:p>
      <w:pPr>
        <w:spacing w:after="0" w:line="250" w:lineRule="auto"/>
        <w:rPr>
          <w:sz w:val="20"/>
          <w:szCs w:val="20"/>
          <w:color w:val="auto"/>
        </w:rPr>
      </w:pPr>
      <w:r>
        <w:rPr>
          <w:rFonts w:ascii="Times New Roman" w:cs="Times New Roman" w:eastAsia="Times New Roman" w:hAnsi="Times New Roman"/>
          <w:sz w:val="18"/>
          <w:szCs w:val="18"/>
          <w:color w:val="auto"/>
        </w:rPr>
        <w:t>increased number of developers working on our software platform as we continue to develop new products and increased functionality. Allocated overhead expenses increased due to an increase in shared company expenses associated with our systems and infrastructure as we continued to grow our business and expand headcount. Amortization of acquired technology increased due to certain acquired technology being amortized using a method reflective of the expected economic benefit consumption over the expected useful life of the asset.</w:t>
      </w: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5"/>
                <w:szCs w:val="15"/>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20" w:type="dxa"/>
            <w:vAlign w:val="bottom"/>
            <w:tcBorders>
              <w:top w:val="single" w:sz="8" w:color="auto"/>
            </w:tcBorders>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Professional services and other cost</w:t>
            </w: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1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of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Percentage of professional services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other revenue</w:t>
            </w:r>
          </w:p>
        </w:tc>
        <w:tc>
          <w:tcPr>
            <w:tcW w:w="2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127 %</w:t>
            </w:r>
          </w:p>
        </w:tc>
        <w:tc>
          <w:tcPr>
            <w:tcW w:w="4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professional services and other cost of revenue for three months ended March 31, 2022 compared to the same period in 2021 was primarily due to the following: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42"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12687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4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2,505</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2687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2,671</w:t>
      </w:r>
    </w:p>
    <w:p>
      <w:pPr>
        <w:spacing w:after="0" w:line="200" w:lineRule="exact"/>
        <w:rPr>
          <w:sz w:val="20"/>
          <w:szCs w:val="20"/>
          <w:color w:val="auto"/>
        </w:rPr>
      </w:pPr>
    </w:p>
    <w:p>
      <w:pPr>
        <w:sectPr>
          <w:pgSz w:w="11900" w:h="16838" w:orient="portrait"/>
          <w:cols w:equalWidth="0" w:num="2">
            <w:col w:w="6780" w:space="720"/>
            <w:col w:w="3740"/>
          </w:cols>
          <w:pgMar w:left="320" w:top="513" w:right="339" w:bottom="1440" w:gutter="0" w:footer="0" w:header="0"/>
          <w:type w:val="continuous"/>
        </w:sectPr>
      </w:pPr>
    </w:p>
    <w:p>
      <w:pPr>
        <w:spacing w:after="0" w:line="2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 to grow our professional services organization to support our customer growth. Allocated overhead expenses increased due to an increase in shared company expenses associated with our systems and infrastructure as we continued to grow our business and expand headcount.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1660" w:type="dxa"/>
            <w:vAlign w:val="bottom"/>
            <w:gridSpan w:val="2"/>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92,736</w:t>
            </w:r>
          </w:p>
        </w:tc>
        <w:tc>
          <w:tcPr>
            <w:tcW w:w="30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68,396</w:t>
            </w: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24,340</w:t>
            </w:r>
          </w:p>
        </w:tc>
        <w:tc>
          <w:tcPr>
            <w:tcW w:w="10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23 %</w:t>
            </w:r>
          </w:p>
        </w:tc>
        <w:tc>
          <w:tcPr>
            <w:tcW w:w="4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24 %</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 for the three months ended March 31, 2022 compared to the same period in 2021 was primarily due to the following:</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Hosting expenses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9"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1457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15875</wp:posOffset>
            </wp:positionV>
            <wp:extent cx="498919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25,997</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5715</wp:posOffset>
            </wp:positionV>
            <wp:extent cx="498919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2000"/>
        <w:spacing w:after="0"/>
        <w:rPr>
          <w:sz w:val="20"/>
          <w:szCs w:val="20"/>
          <w:color w:val="auto"/>
        </w:rPr>
      </w:pPr>
      <w:r>
        <w:rPr>
          <w:rFonts w:ascii="Times New Roman" w:cs="Times New Roman" w:eastAsia="Times New Roman" w:hAnsi="Times New Roman"/>
          <w:sz w:val="18"/>
          <w:szCs w:val="18"/>
          <w:color w:val="auto"/>
        </w:rPr>
        <w:t>431</w:t>
      </w:r>
    </w:p>
    <w:p>
      <w:pPr>
        <w:spacing w:after="0" w:line="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(2,512 )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1457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-121920</wp:posOffset>
            </wp:positionV>
            <wp:extent cx="4989195"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60"/>
          </w:cols>
          <w:pgMar w:left="320" w:top="513" w:right="339" w:bottom="1440" w:gutter="0" w:footer="0" w:header="0"/>
          <w:type w:val="continuous"/>
        </w:sectPr>
      </w:pPr>
    </w:p>
    <w:p>
      <w:pPr>
        <w:spacing w:after="0" w:line="20"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 to grow our engineering organization to develop new products, increase functionality and to maintain our existing CRM Platform. Professional services increased due to an increase in the use of third-party services and contractors as we continued to grow our engineering organization. Allocated overhead expenses increased due to an increase in shared company expenses associated with our systems and infrastructure as we continued to grow our business and expand headcount. Hosting expense decreased due to incremental spend in the first quarter of 2021 associated with product development infrastructure that is unrelated to the hosting of our CRM Platform for paying Customers. In July of 2021, we launched a new data center and the ongoing expenses related to the hosting of our CRM Platform on that data center are classified as subscription cost of revenue.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4"/>
                <w:szCs w:val="14"/>
                <w:color w:val="auto"/>
              </w:rPr>
            </w:pPr>
          </w:p>
        </w:tc>
        <w:tc>
          <w:tcPr>
            <w:tcW w:w="1580" w:type="dxa"/>
            <w:vAlign w:val="bottom"/>
            <w:gridSpan w:val="2"/>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4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197,134</w:t>
            </w:r>
          </w:p>
        </w:tc>
        <w:tc>
          <w:tcPr>
            <w:tcW w:w="3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141,017</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56,117</w:t>
            </w:r>
          </w:p>
        </w:tc>
        <w:tc>
          <w:tcPr>
            <w:tcW w:w="1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50 %</w:t>
            </w:r>
          </w:p>
        </w:tc>
        <w:tc>
          <w:tcPr>
            <w:tcW w:w="4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50 %</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 for the three months ended March 31, 2022 compared to the same period in 2021 was primarily due to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2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r>
      <w:tr>
        <w:trPr>
          <w:trHeight w:val="187"/>
        </w:trPr>
        <w:tc>
          <w:tcPr>
            <w:tcW w:w="5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39,267</w:t>
            </w:r>
          </w:p>
        </w:tc>
        <w:tc>
          <w:tcPr>
            <w:tcW w:w="6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Solutions Partner commissions</w:t>
            </w: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6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programs</w:t>
            </w:r>
          </w:p>
        </w:tc>
        <w:tc>
          <w:tcPr>
            <w:tcW w:w="4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6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6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3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56,117</w:t>
            </w:r>
          </w:p>
        </w:tc>
        <w:tc>
          <w:tcPr>
            <w:tcW w:w="6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 to expand our selling and marketing organizations to grow our customer base. Solutions Partner commissions increased as a result of increased revenue generated through our Solutions Partners. Marketing programs increased due to the timing and size of certain marketing efforts as we continue to make investments in attracting new customers. Allocated overhead expenses increased due to an increase in shared company expenses associated with our systems and infrastructure as we continued to grow our business and expand headcount. Professional fees increased due to an increase in the use of third-party services and contractors for our marketing efforts.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1580" w:type="dxa"/>
            <w:vAlign w:val="bottom"/>
            <w:gridSpan w:val="2"/>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6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43,947</w:t>
            </w:r>
          </w:p>
        </w:tc>
        <w:tc>
          <w:tcPr>
            <w:tcW w:w="30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32,250</w:t>
            </w: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11,697</w:t>
            </w:r>
          </w:p>
        </w:tc>
        <w:tc>
          <w:tcPr>
            <w:tcW w:w="1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3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11 %</w:t>
            </w: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11 %</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three months ended March 31, 2022 compared to the same period in 2021 was primarily due to the following:</w:t>
      </w:r>
    </w:p>
    <w:p>
      <w:pPr>
        <w:sectPr>
          <w:pgSz w:w="11900" w:h="16838" w:orient="portrait"/>
          <w:cols w:equalWidth="0" w:num="1">
            <w:col w:w="11240"/>
          </w:cols>
          <w:pgMar w:left="320" w:top="5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Customer credit card fees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1457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15875</wp:posOffset>
            </wp:positionV>
            <wp:extent cx="498919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6"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8,580</w:t>
      </w:r>
    </w:p>
    <w:p>
      <w:pPr>
        <w:spacing w:after="0" w:line="7"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1,227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5715</wp:posOffset>
            </wp:positionV>
            <wp:extent cx="4989195"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jc w:val="right"/>
        <w:ind w:right="1760"/>
        <w:spacing w:after="0"/>
        <w:rPr>
          <w:sz w:val="20"/>
          <w:szCs w:val="20"/>
          <w:color w:val="auto"/>
        </w:rPr>
      </w:pPr>
      <w:r>
        <w:rPr>
          <w:rFonts w:ascii="Times New Roman" w:cs="Times New Roman" w:eastAsia="Times New Roman" w:hAnsi="Times New Roman"/>
          <w:sz w:val="18"/>
          <w:szCs w:val="18"/>
          <w:color w:val="auto"/>
        </w:rPr>
        <w:t>1,890</w:t>
      </w:r>
    </w:p>
    <w:p>
      <w:pPr>
        <w:spacing w:after="0" w:line="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57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1457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509" w:right="339" w:bottom="1440" w:gutter="0" w:footer="0" w:header="0"/>
          <w:type w:val="continuous"/>
        </w:sectPr>
      </w:pPr>
    </w:p>
    <w:p>
      <w:pPr>
        <w:spacing w:after="0" w:line="2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 to grow our business and require additional personnel to support our expanded operations. Allocated overhead expenses increased due to an increase in shared company expenses associated with our systems and infrastructure as we continued to grow our business and expand headcount. Customer credit card fees increased due to increased customer transactions as we continue to grow our business.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26" w:name="page27"/>
    <w:bookmarkEnd w:id="26"/>
    <w:p>
      <w:pPr>
        <w:ind w:right="80" w:firstLine="544"/>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invested cash and cash equivalents balances and investments. The increase during the three months ended March 31, 2022 is due to an increase in yields on our investment balances.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(9,399</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(8,449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3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(3 )%</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interest expense for the three months ended March 31, 2022 compared to the same period in 2021 is due to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6"/>
                <w:szCs w:val="16"/>
                <w:color w:val="auto"/>
              </w:rPr>
            </w:pPr>
          </w:p>
        </w:tc>
      </w:tr>
      <w:tr>
        <w:trPr>
          <w:trHeight w:val="209"/>
        </w:trPr>
        <w:tc>
          <w:tcPr>
            <w:tcW w:w="6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71"/>
        </w:trPr>
        <w:tc>
          <w:tcPr>
            <w:tcW w:w="60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Amortization of the debt discount and issuance costs and</w:t>
            </w:r>
          </w:p>
        </w:tc>
        <w:tc>
          <w:tcPr>
            <w:tcW w:w="280" w:type="dxa"/>
            <w:vAlign w:val="bottom"/>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(6,044 )</w:t>
            </w:r>
          </w:p>
        </w:tc>
      </w:tr>
      <w:tr>
        <w:trPr>
          <w:trHeight w:val="234"/>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interest expense related to our Notes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early extinguishment of 2022 Convertible Notes</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(2,405 )</w:t>
            </w:r>
          </w:p>
        </w:tc>
      </w:tr>
      <w:tr>
        <w:trPr>
          <w:trHeight w:val="20"/>
        </w:trPr>
        <w:tc>
          <w:tcPr>
            <w:tcW w:w="60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(8,449 )</w:t>
            </w:r>
          </w:p>
        </w:tc>
      </w:tr>
      <w:tr>
        <w:trPr>
          <w:trHeight w:val="20"/>
        </w:trPr>
        <w:tc>
          <w:tcPr>
            <w:tcW w:w="6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ind w:firstLine="544"/>
        <w:spacing w:after="0" w:line="258" w:lineRule="auto"/>
        <w:rPr>
          <w:sz w:val="20"/>
          <w:szCs w:val="20"/>
          <w:color w:val="auto"/>
        </w:rPr>
      </w:pPr>
      <w:r>
        <w:rPr>
          <w:rFonts w:ascii="Times New Roman" w:cs="Times New Roman" w:eastAsia="Times New Roman" w:hAnsi="Times New Roman"/>
          <w:sz w:val="18"/>
          <w:szCs w:val="18"/>
          <w:color w:val="auto"/>
        </w:rPr>
        <w:t>Interest expense primarily consists of amortization of the debt discount and issuance costs and contractual interest expense related to our Notes, and the loss on early extinguishment of our 2022 Notes. The decrease in interest expense related to the Notes is primarily due to the adoption of the new convertible debt guidance.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28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8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other income during the three months ended March 31, 2022 is primarily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603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6"/>
                <w:szCs w:val="16"/>
                <w:color w:val="auto"/>
              </w:rPr>
            </w:pPr>
          </w:p>
        </w:tc>
      </w:tr>
      <w:tr>
        <w:trPr>
          <w:trHeight w:val="210"/>
        </w:trPr>
        <w:tc>
          <w:tcPr>
            <w:tcW w:w="6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 and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(1,189 )</w:t>
            </w:r>
          </w:p>
        </w:tc>
      </w:tr>
      <w:tr>
        <w:trPr>
          <w:trHeight w:val="216"/>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strategic investments</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right="200" w:firstLine="544"/>
        <w:spacing w:after="0" w:line="258" w:lineRule="auto"/>
        <w:rPr>
          <w:sz w:val="20"/>
          <w:szCs w:val="20"/>
          <w:color w:val="auto"/>
        </w:rPr>
      </w:pPr>
      <w:r>
        <w:rPr>
          <w:rFonts w:ascii="Times New Roman" w:cs="Times New Roman" w:eastAsia="Times New Roman" w:hAnsi="Times New Roman"/>
          <w:sz w:val="18"/>
          <w:szCs w:val="18"/>
          <w:color w:val="auto"/>
        </w:rPr>
        <w:t>Other income primarily consists of the impact of foreign currency transaction gains and losses associated with monetary assets and liabilities and any gains or losses on our strategic investments. The gain on investments is due to an adjustment to the fair value of an investment as a result of an observable price change.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0" w:lineRule="exact"/>
        <w:rPr>
          <w:sz w:val="20"/>
          <w:szCs w:val="20"/>
          <w:color w:val="auto"/>
        </w:rPr>
      </w:pP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451"/>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4"/>
                <w:szCs w:val="24"/>
                <w:color w:val="auto"/>
              </w:rPr>
            </w:pPr>
          </w:p>
        </w:tc>
        <w:tc>
          <w:tcPr>
            <w:tcW w:w="176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18 %</w:t>
            </w:r>
          </w:p>
        </w:tc>
        <w:tc>
          <w:tcPr>
            <w:tcW w:w="6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3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benefit consists of current and deferred taxes for U.S. and foreign income taxes. The increase in the income tax expense was primarily driven by increased income in jurisdictions outside of the United States that are profitable from a</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7" w:name="page28"/>
    <w:bookmarkEnd w:id="27"/>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tax perspective in the three months ended March 31, 2022, whereas in the three months ended March 31, 2021, the Company recognized a non-recurring income tax benefit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to date have been cash and cash equivalents, net accounts receivable, our common stock offerings, and our convertible notes offerings.</w:t>
      </w:r>
    </w:p>
    <w:p>
      <w:pPr>
        <w:spacing w:after="0" w:line="135" w:lineRule="exact"/>
        <w:rPr>
          <w:sz w:val="20"/>
          <w:szCs w:val="20"/>
          <w:color w:val="auto"/>
        </w:rPr>
      </w:pPr>
    </w:p>
    <w:p>
      <w:pPr>
        <w:jc w:val="both"/>
        <w:ind w:right="80" w:firstLine="554"/>
        <w:spacing w:after="0" w:line="250" w:lineRule="auto"/>
        <w:rPr>
          <w:sz w:val="20"/>
          <w:szCs w:val="20"/>
          <w:color w:val="auto"/>
        </w:rPr>
      </w:pPr>
      <w:r>
        <w:rPr>
          <w:rFonts w:ascii="Times New Roman" w:cs="Times New Roman" w:eastAsia="Times New Roman" w:hAnsi="Times New Roman"/>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three months ended March 31, 2022 and 2021.</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408,433</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397,498</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829,110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885,986</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operating activities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82,226</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62,700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10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(55,036 )</w:t>
            </w:r>
          </w:p>
        </w:tc>
        <w:tc>
          <w:tcPr>
            <w:tcW w:w="10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(17,646 )</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financing activities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(21,802 )</w:t>
            </w:r>
          </w:p>
        </w:tc>
      </w:tr>
    </w:tbl>
    <w:p>
      <w:pPr>
        <w:spacing w:after="0" w:line="15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Our cash and cash equivalents at March 31, 2022 were held for working capital purposes. At March 31, 2022, $125.8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5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Cash from operations could be affected by various risks and uncertainties, including, but not limited to, the effects of the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Provided by Operating Activities</w:t>
      </w:r>
    </w:p>
    <w:p>
      <w:pPr>
        <w:spacing w:after="0" w:line="18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35" w:lineRule="exact"/>
        <w:rPr>
          <w:sz w:val="20"/>
          <w:szCs w:val="20"/>
          <w:color w:val="auto"/>
        </w:rPr>
      </w:pPr>
    </w:p>
    <w:p>
      <w:pPr>
        <w:ind w:right="20" w:firstLine="544"/>
        <w:spacing w:after="0" w:line="260" w:lineRule="auto"/>
        <w:rPr>
          <w:sz w:val="20"/>
          <w:szCs w:val="20"/>
          <w:color w:val="auto"/>
        </w:rPr>
      </w:pPr>
      <w:r>
        <w:rPr>
          <w:rFonts w:ascii="Times New Roman" w:cs="Times New Roman" w:eastAsia="Times New Roman" w:hAnsi="Times New Roman"/>
          <w:sz w:val="17"/>
          <w:szCs w:val="17"/>
          <w:color w:val="auto"/>
        </w:rPr>
        <w:t>Net cash and cash equivalents provided by operating activities during the three months ended March 31, 2022 primarily reflected our net loss of $9.3 million, benefit from deferred income taxes of $0.2 million, and gains on strategic investments of $4.2 million, offset by non-cash expenses that included $12.8 million of depreciation and amortization, $45.7 million in stock-based compensation, $0.6 million amortization of bond discounts, and $0.5 million of amortization of debt discount and issuance costs. Working capital sources of cash and cash equivalents primarily included a $29.5 million increase in deferred revenue primarily resulting from the growth in the number of customers invoiced during the period, a $3.6 million decrease in accounts receivable related to increased collection, a $6.5 million increase in right-of-use asset, a $3.6 million increase in accounts payable related to timing of bill payments, and $7.1 million increase in accrued expenses and other liabilities. These sources of cash and cash equivalents were offset by a $3.9 million increase in prepaid expenses and other assets, a $2.3 million decrease in operating lease liabilities, and a $8.4 million increase in deferred commissions.</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three months ended March 31, 2021 primarily reflected our net loss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 million and the portion of the repayment of the 2022 Notes attributable to the debt discount of $9.8 million, offset by non-cash expenses that included</w:t>
      </w:r>
    </w:p>
    <w:p>
      <w:pPr>
        <w:spacing w:after="0"/>
        <w:rPr>
          <w:sz w:val="20"/>
          <w:szCs w:val="20"/>
          <w:color w:val="auto"/>
        </w:rPr>
      </w:pPr>
      <w:r>
        <w:rPr>
          <w:rFonts w:ascii="Times New Roman" w:cs="Times New Roman" w:eastAsia="Times New Roman" w:hAnsi="Times New Roman"/>
          <w:sz w:val="18"/>
          <w:szCs w:val="18"/>
          <w:color w:val="auto"/>
        </w:rPr>
        <w:t>$11.2 million of depreciation and amortization, $32.4 million in stock-based compensation, $0.5 million amortization of bond discounts, $6.5 million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discount and issuance costs, and $2.4 million of loss on early extinguishment of 2022 Notes. Working capital sources of cash and cash</w:t>
      </w:r>
    </w:p>
    <w:p>
      <w:pPr>
        <w:spacing w:after="0" w:line="234" w:lineRule="auto"/>
        <w:rPr>
          <w:sz w:val="20"/>
          <w:szCs w:val="20"/>
          <w:color w:val="auto"/>
        </w:rPr>
      </w:pPr>
      <w:r>
        <w:rPr>
          <w:rFonts w:ascii="Times New Roman" w:cs="Times New Roman" w:eastAsia="Times New Roman" w:hAnsi="Times New Roman"/>
          <w:sz w:val="18"/>
          <w:szCs w:val="18"/>
          <w:color w:val="auto"/>
        </w:rPr>
        <w:t>equivalents primarily included a $27.5 million increase in deferred revenue primarily resulting from the growth in the number of customers invoiced during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a $4.6 million increase in accounts payable related to timing of bill payments, a $10.4 million increase in right-of-use asset, a $16.5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accounts receivable related to increased collection, and $2.7 million decrease in prepaid and other assets. These sources of cash and cash</w:t>
      </w:r>
    </w:p>
    <w:p>
      <w:pPr>
        <w:spacing w:after="0" w:line="234" w:lineRule="auto"/>
        <w:rPr>
          <w:sz w:val="20"/>
          <w:szCs w:val="20"/>
          <w:color w:val="auto"/>
        </w:rPr>
      </w:pPr>
      <w:r>
        <w:rPr>
          <w:rFonts w:ascii="Times New Roman" w:cs="Times New Roman" w:eastAsia="Times New Roman" w:hAnsi="Times New Roman"/>
          <w:sz w:val="18"/>
          <w:szCs w:val="18"/>
          <w:color w:val="auto"/>
        </w:rPr>
        <w:t>equivalents were offset by a $6.3 million increase in deferred commissions, a $9.3 million decrease in operating lease liabilities, and a $2.4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accrued expenses and other liabilities.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Used in Investing Activities</w:t>
      </w:r>
    </w:p>
    <w:p>
      <w:pPr>
        <w:spacing w:after="0" w:line="173" w:lineRule="exact"/>
        <w:rPr>
          <w:sz w:val="20"/>
          <w:szCs w:val="20"/>
          <w:color w:val="auto"/>
        </w:rPr>
      </w:pPr>
    </w:p>
    <w:p>
      <w:pPr>
        <w:ind w:right="100" w:firstLine="544"/>
        <w:spacing w:after="0" w:line="258" w:lineRule="auto"/>
        <w:rPr>
          <w:sz w:val="20"/>
          <w:szCs w:val="20"/>
          <w:color w:val="auto"/>
        </w:rPr>
      </w:pPr>
      <w:r>
        <w:rPr>
          <w:rFonts w:ascii="Times New Roman" w:cs="Times New Roman" w:eastAsia="Times New Roman" w:hAnsi="Times New Roman"/>
          <w:sz w:val="18"/>
          <w:szCs w:val="18"/>
          <w:color w:val="auto"/>
        </w:rPr>
        <w:t>Our investing activities have consisted primarily of purchases and maturities of investments, property and equipment purchases, an acquisition of a business,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42" w:lineRule="exact"/>
        <w:rPr>
          <w:sz w:val="20"/>
          <w:szCs w:val="20"/>
          <w:color w:val="auto"/>
        </w:rPr>
      </w:pPr>
    </w:p>
    <w:p>
      <w:pPr>
        <w:ind w:right="320" w:firstLine="544"/>
        <w:spacing w:after="0" w:line="250"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three months ended March 31, 2022 consisted primarily of $435.5 million purchases of investments and $9.9 million of purchased property and equipment, $5.0 million of purchases of strategic investments, and $9.7 million of capitalized software development costs. These uses of cash were offset by $405.2 million received related to the maturity of investments.</w:t>
      </w:r>
    </w:p>
    <w:p>
      <w:pPr>
        <w:spacing w:after="0" w:line="150" w:lineRule="exact"/>
        <w:rPr>
          <w:sz w:val="20"/>
          <w:szCs w:val="20"/>
          <w:color w:val="auto"/>
        </w:rPr>
      </w:pPr>
    </w:p>
    <w:p>
      <w:pPr>
        <w:ind w:right="280" w:firstLine="544"/>
        <w:spacing w:after="0" w:line="250"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three months ended March 31, 2021 consisted primarily of $362.3 million purchases of investments, $4.0 million of purchased property and equipment, a $16.8 million business acquisition, $1.9 million of purchases of strategic investments, $2.3 million in an equity method investment and $7.3 million of capitalized software development costs. These uses of cash were offset by $376.9 million received related to the maturity of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and Cash Equivalents Provided by Financing Activities</w:t>
      </w:r>
    </w:p>
    <w:p>
      <w:pPr>
        <w:spacing w:after="0" w:line="187"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Our financing activities have consisted primarily of the various components of our 2022 Notes repayment, repayment of our 2025 Notes, the issuance of common stock under our stock plans, and payments of employee taxes related to the net share settlement of stock-based awards,.</w:t>
      </w:r>
    </w:p>
    <w:p>
      <w:pPr>
        <w:spacing w:after="0" w:line="135" w:lineRule="exact"/>
        <w:rPr>
          <w:sz w:val="20"/>
          <w:szCs w:val="20"/>
          <w:color w:val="auto"/>
        </w:rPr>
      </w:pPr>
    </w:p>
    <w:p>
      <w:pPr>
        <w:ind w:right="140" w:firstLine="54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cash used in financing activities consisted of $1.6 million used for the repayment of the 2025 Notes attributable to the principal and $4.4 million used for payment of employee taxes related to the net share settlement of stock-based awards, offset by $11.9 million of proceeds related to issuance of common stock under stock plans.</w:t>
      </w:r>
    </w:p>
    <w:p>
      <w:pPr>
        <w:spacing w:after="0" w:line="129" w:lineRule="exact"/>
        <w:rPr>
          <w:sz w:val="20"/>
          <w:szCs w:val="20"/>
          <w:color w:val="auto"/>
        </w:rPr>
      </w:pPr>
    </w:p>
    <w:p>
      <w:pPr>
        <w:ind w:right="220" w:firstLine="54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2021 cash used in financing activities consisted of $35.9 million used for repayment of the 2022 Notes attributable to the principal and $3.0 million used for payment of employee taxes related to the net share settlement of stock-based awards, offset by $0.7 million of proceeds from the settlement of the Convertible Note Hedges related to the 2022 Notes and $16.3 million of proceeds related to issuance of common stock under stock plans.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54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2022 as compared to the critical accounting policies and estimates disclosed in our Annual Report on Form 10-K for the year ended December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recent accounting pronouncements, see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the notes to the consolidated financial statements appearing elsewhere 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2022, we are committed to contribute additional capital of $9.4 million to the Black Economic Development Fund.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16" w:lineRule="exact"/>
        <w:rPr>
          <w:sz w:val="20"/>
          <w:szCs w:val="20"/>
          <w:color w:val="auto"/>
        </w:rPr>
      </w:pPr>
    </w:p>
    <w:p>
      <w:pPr>
        <w:jc w:val="both"/>
        <w:ind w:right="240" w:firstLine="544"/>
        <w:spacing w:after="0" w:line="258"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69" w:lineRule="exact"/>
        <w:rPr>
          <w:sz w:val="20"/>
          <w:szCs w:val="20"/>
          <w:color w:val="auto"/>
        </w:rPr>
      </w:pPr>
    </w:p>
    <w:p>
      <w:pPr>
        <w:ind w:firstLine="544"/>
        <w:spacing w:after="0" w:line="24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ind w:right="80" w:firstLine="544"/>
        <w:spacing w:after="0" w:line="246" w:lineRule="auto"/>
        <w:rPr>
          <w:sz w:val="20"/>
          <w:szCs w:val="20"/>
          <w:color w:val="auto"/>
        </w:rPr>
      </w:pPr>
      <w:r>
        <w:rPr>
          <w:rFonts w:ascii="Times New Roman" w:cs="Times New Roman" w:eastAsia="Times New Roman" w:hAnsi="Times New Roman"/>
          <w:sz w:val="18"/>
          <w:szCs w:val="18"/>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20" w:firstLine="544"/>
        <w:spacing w:after="0" w:line="250"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However, if our costs, in particular labor,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 Risk and Market Interest Risk</w:t>
      </w:r>
    </w:p>
    <w:p>
      <w:pPr>
        <w:spacing w:after="0" w:line="21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May 2017, we issued $400.0 million aggregate principal amount of 0.25% convertible senior due June 1, 2022, of which $19.4 million remains outstanding as of March 31, 2022. Also in June 2020, we issued $460 million aggregate principal amount of convertible senior notes due June 1, 2025, of which $459.1 million remains outstanding as of March 31,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our senior convertible notes will increase as interest rates fall and decrease as interest rates rise. Additionally, we carry the convertible senior notes at face value less unamortized discount on our balance sheet, and we present the fair value for required disclosure purposes only. Effective March 17, 2022, the Federal Reserve raised interest rates in response to concerns over inflation risk. There continues to be uncertainty in the changing market and economic conditions, including the possibility or additional measures that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could be taken by the Federal Reserve and other government agencies, related to the COVID-19 pandemic and concerns over inflation risk.</w:t>
      </w:r>
    </w:p>
    <w:p>
      <w:pPr>
        <w:spacing w:after="0" w:line="225" w:lineRule="exact"/>
        <w:rPr>
          <w:sz w:val="20"/>
          <w:szCs w:val="20"/>
          <w:color w:val="auto"/>
        </w:rPr>
      </w:pPr>
    </w:p>
    <w:p>
      <w:pPr>
        <w:ind w:right="20" w:firstLine="544"/>
        <w:spacing w:after="0" w:line="250" w:lineRule="auto"/>
        <w:rPr>
          <w:sz w:val="20"/>
          <w:szCs w:val="20"/>
          <w:color w:val="auto"/>
        </w:rPr>
      </w:pPr>
      <w:r>
        <w:rPr>
          <w:rFonts w:ascii="Times New Roman" w:cs="Times New Roman" w:eastAsia="Times New Roman" w:hAnsi="Times New Roman"/>
          <w:sz w:val="18"/>
          <w:szCs w:val="18"/>
          <w:color w:val="auto"/>
        </w:rPr>
        <w:t>The table below provides a sensitivity analysis of hypothetical 10% changes of our stock price as of March 31, 2022 and the estimated impact on the fair value of the Notes. The selected scenarios are not predictions of future events, but rather are intended to illustrate the effect such an event may have on the fair value of the Notes.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2022 Notes</w:t>
      </w:r>
    </w:p>
    <w:tbl>
      <w:tblPr>
        <w:tblLayout w:type="fixed"/>
        <w:tblInd w:w="580" w:type="dxa"/>
        <w:tblCellMar>
          <w:top w:w="0" w:type="dxa"/>
          <w:left w:w="0" w:type="dxa"/>
          <w:bottom w:w="0" w:type="dxa"/>
          <w:right w:w="0" w:type="dxa"/>
        </w:tblCellMar>
      </w:tblPr>
      <w:tr>
        <w:trPr>
          <w:trHeight w:val="166"/>
        </w:trPr>
        <w:tc>
          <w:tcPr>
            <w:tcW w:w="3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jc w:val="center"/>
              <w:ind w:left="39"/>
              <w:spacing w:after="0" w:line="167" w:lineRule="exact"/>
              <w:rPr>
                <w:sz w:val="20"/>
                <w:szCs w:val="20"/>
                <w:color w:val="auto"/>
              </w:rPr>
            </w:pPr>
            <w:r>
              <w:rPr>
                <w:rFonts w:ascii="Times New Roman" w:cs="Times New Roman" w:eastAsia="Times New Roman" w:hAnsi="Times New Roman"/>
                <w:sz w:val="16"/>
                <w:szCs w:val="16"/>
                <w:b w:val="1"/>
                <w:bCs w:val="1"/>
                <w:color w:val="auto"/>
              </w:rPr>
              <w:t>Hypothetical</w:t>
            </w:r>
          </w:p>
        </w:tc>
        <w:tc>
          <w:tcPr>
            <w:tcW w:w="0" w:type="dxa"/>
            <w:vAlign w:val="bottom"/>
          </w:tcPr>
          <w:p>
            <w:pPr>
              <w:spacing w:after="0"/>
              <w:rPr>
                <w:sz w:val="1"/>
                <w:szCs w:val="1"/>
                <w:color w:val="auto"/>
              </w:rPr>
            </w:pPr>
          </w:p>
        </w:tc>
      </w:tr>
      <w:tr>
        <w:trPr>
          <w:trHeight w:val="176"/>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Hypothetical change in HubSpot stock price</w:t>
            </w:r>
          </w:p>
        </w:tc>
        <w:tc>
          <w:tcPr>
            <w:tcW w:w="190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180" w:type="dxa"/>
            <w:vAlign w:val="bottom"/>
          </w:tcPr>
          <w:p>
            <w:pPr>
              <w:jc w:val="center"/>
              <w:ind w:left="99"/>
              <w:spacing w:after="0" w:line="175" w:lineRule="exact"/>
              <w:rPr>
                <w:sz w:val="20"/>
                <w:szCs w:val="20"/>
                <w:color w:val="auto"/>
              </w:rPr>
            </w:pPr>
            <w:r>
              <w:rPr>
                <w:rFonts w:ascii="Times New Roman" w:cs="Times New Roman" w:eastAsia="Times New Roman" w:hAnsi="Times New Roman"/>
                <w:sz w:val="16"/>
                <w:szCs w:val="16"/>
                <w:b w:val="1"/>
                <w:bCs w:val="1"/>
                <w:color w:val="auto"/>
              </w:rPr>
              <w:t>Estimated change in fair</w:t>
            </w:r>
          </w:p>
        </w:tc>
        <w:tc>
          <w:tcPr>
            <w:tcW w:w="1740" w:type="dxa"/>
            <w:vAlign w:val="bottom"/>
          </w:tcPr>
          <w:p>
            <w:pPr>
              <w:jc w:val="center"/>
              <w:ind w:left="19"/>
              <w:spacing w:after="0" w:line="175" w:lineRule="exact"/>
              <w:rPr>
                <w:sz w:val="20"/>
                <w:szCs w:val="20"/>
                <w:color w:val="auto"/>
              </w:rPr>
            </w:pPr>
            <w:r>
              <w:rPr>
                <w:rFonts w:ascii="Times New Roman" w:cs="Times New Roman" w:eastAsia="Times New Roman" w:hAnsi="Times New Roman"/>
                <w:sz w:val="16"/>
                <w:szCs w:val="16"/>
                <w:b w:val="1"/>
                <w:bCs w:val="1"/>
                <w:color w:val="auto"/>
              </w:rPr>
              <w:t>percentage increase</w:t>
            </w:r>
          </w:p>
        </w:tc>
        <w:tc>
          <w:tcPr>
            <w:tcW w:w="0" w:type="dxa"/>
            <w:vAlign w:val="bottom"/>
          </w:tcPr>
          <w:p>
            <w:pPr>
              <w:spacing w:after="0"/>
              <w:rPr>
                <w:sz w:val="1"/>
                <w:szCs w:val="1"/>
                <w:color w:val="auto"/>
              </w:rPr>
            </w:pPr>
          </w:p>
        </w:tc>
      </w:tr>
      <w:tr>
        <w:trPr>
          <w:trHeight w:val="212"/>
        </w:trPr>
        <w:tc>
          <w:tcPr>
            <w:tcW w:w="392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21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7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(decrease) in fair value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 increase</w:t>
            </w:r>
          </w:p>
        </w:tc>
        <w:tc>
          <w:tcPr>
            <w:tcW w:w="360" w:type="dxa"/>
            <w:vAlign w:val="bottom"/>
            <w:gridSpan w:val="2"/>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106,229</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9,354</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70"/>
              <w:spacing w:after="0" w:line="193" w:lineRule="exact"/>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No change</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 decrease</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(9,691 )</w:t>
            </w:r>
          </w:p>
        </w:tc>
        <w:tc>
          <w:tcPr>
            <w:tcW w:w="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432"/>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w w:val="99"/>
              </w:rPr>
              <w:t>Hypothetical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center"/>
              <w:ind w:right="340"/>
              <w:spacing w:after="0" w:line="165" w:lineRule="exact"/>
              <w:rPr>
                <w:sz w:val="20"/>
                <w:szCs w:val="20"/>
                <w:color w:val="auto"/>
              </w:rPr>
            </w:pPr>
            <w:r>
              <w:rPr>
                <w:rFonts w:ascii="Times New Roman" w:cs="Times New Roman" w:eastAsia="Times New Roman" w:hAnsi="Times New Roman"/>
                <w:sz w:val="16"/>
                <w:szCs w:val="16"/>
                <w:b w:val="1"/>
                <w:bCs w:val="1"/>
                <w:color w:val="auto"/>
              </w:rPr>
              <w:t>Estimated change in</w:t>
            </w:r>
          </w:p>
        </w:tc>
        <w:tc>
          <w:tcPr>
            <w:tcW w:w="1980" w:type="dxa"/>
            <w:vAlign w:val="bottom"/>
            <w:gridSpan w:val="2"/>
          </w:tcPr>
          <w:p>
            <w:pPr>
              <w:jc w:val="center"/>
              <w:ind w:right="290"/>
              <w:spacing w:after="0" w:line="165" w:lineRule="exact"/>
              <w:rPr>
                <w:sz w:val="20"/>
                <w:szCs w:val="20"/>
                <w:color w:val="auto"/>
              </w:rPr>
            </w:pPr>
            <w:r>
              <w:rPr>
                <w:rFonts w:ascii="Times New Roman" w:cs="Times New Roman" w:eastAsia="Times New Roman" w:hAnsi="Times New Roman"/>
                <w:sz w:val="16"/>
                <w:szCs w:val="16"/>
                <w:b w:val="1"/>
                <w:bCs w:val="1"/>
                <w:color w:val="auto"/>
              </w:rPr>
              <w:t>percentage 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Hypothetical change in HubSpot stock price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8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980" w:type="dxa"/>
            <w:vAlign w:val="bottom"/>
            <w:gridSpan w:val="2"/>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(decrease) in 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10% increase</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890,300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1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No change</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821,437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 decrease</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750,004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(71,433 )</w:t>
            </w:r>
          </w:p>
        </w:tc>
        <w:tc>
          <w:tcPr>
            <w:tcW w:w="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69"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u w:val="single" w:color="auto"/>
          <w:color w:val="auto"/>
        </w:rPr>
        <w:t>Inherent Limitations of Internal Controls</w:t>
      </w:r>
      <w:r>
        <w:rPr>
          <w:rFonts w:ascii="Times New Roman" w:cs="Times New Roman" w:eastAsia="Times New Roman" w:hAnsi="Times New Roman"/>
          <w:sz w:val="18"/>
          <w:szCs w:val="18"/>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13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subscription renewal rates may decrease, and any decrease could harm our future revenue and operating results.</w:t>
      </w:r>
    </w:p>
    <w:p>
      <w:pPr>
        <w:spacing w:after="0" w:line="18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2" w:name="page33"/>
    <w:bookmarkEnd w:id="32"/>
    <w:p>
      <w:pPr>
        <w:ind w:right="80"/>
        <w:spacing w:after="0" w:line="266" w:lineRule="auto"/>
        <w:rPr>
          <w:sz w:val="20"/>
          <w:szCs w:val="20"/>
          <w:color w:val="auto"/>
        </w:rPr>
      </w:pPr>
      <w:r>
        <w:rPr>
          <w:rFonts w:ascii="Times New Roman" w:cs="Times New Roman" w:eastAsia="Times New Roman" w:hAnsi="Times New Roman"/>
          <w:sz w:val="18"/>
          <w:szCs w:val="18"/>
          <w:color w:val="auto"/>
        </w:rPr>
        <w:t>in a decline in our revenue in future quarters. If we were to experience significant downturns in subscription sales and renewal rates, our reported financial results might not reflect such downturns until future periods.</w:t>
      </w:r>
    </w:p>
    <w:p>
      <w:pPr>
        <w:spacing w:after="0" w:line="118"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5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29"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17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automation and CRM software vendors;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software providers;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systems.</w:t>
      </w:r>
    </w:p>
    <w:p>
      <w:pPr>
        <w:spacing w:after="0" w:line="17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2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39"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3" w:name="page34"/>
    <w:bookmarkEnd w:id="33"/>
    <w:p>
      <w:pPr>
        <w:ind w:right="2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15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headcount and operations have grown substantially. For example, we had 6,404 full-time employees as of March 31, 2022, compared with 5,895 as of December 31, 2021. We have opened several international offices and plan to open additional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 long-term continuation of these restrictions could, among other things, negatively impact employee morale and productivity. Any failure to preserve our culture could harm our future success, including our ability to retain and recruit personnel, innovate and operate effectively and execute on our business strategy. Additionally, as our employees work remotely from geographic areas across the globe and more of our employees work remotely on a permanent basis due to the pandemic, and pursuant to our newly implemented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5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addition, to manage the expected continued growth of our headcount, operations and geographic expansion, we will need to continue to expand our information technology infrastructure, operational, financial and management systems and procedures. Our anticipated additional headcount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15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3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The rate of growth of our business depends on the continued participation and level of service of our Solutions Partners.</w:t>
      </w:r>
    </w:p>
    <w:p>
      <w:pPr>
        <w:spacing w:after="0" w:line="175" w:lineRule="exact"/>
        <w:rPr>
          <w:sz w:val="20"/>
          <w:szCs w:val="20"/>
          <w:color w:val="auto"/>
        </w:rPr>
      </w:pPr>
    </w:p>
    <w:p>
      <w:pPr>
        <w:ind w:right="220" w:firstLine="509"/>
        <w:spacing w:after="0"/>
        <w:rPr>
          <w:sz w:val="20"/>
          <w:szCs w:val="20"/>
          <w:color w:val="auto"/>
        </w:rPr>
      </w:pPr>
      <w:r>
        <w:rPr>
          <w:rFonts w:ascii="Times New Roman" w:cs="Times New Roman" w:eastAsia="Times New Roman" w:hAnsi="Times New Roman"/>
          <w:sz w:val="18"/>
          <w:szCs w:val="18"/>
          <w:color w:val="212529"/>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inbound thought leadership position, our business may suffer.</w:t>
      </w:r>
    </w:p>
    <w:p>
      <w:pPr>
        <w:spacing w:after="0" w:line="175" w:lineRule="exact"/>
        <w:rPr>
          <w:sz w:val="20"/>
          <w:szCs w:val="20"/>
          <w:color w:val="auto"/>
        </w:rPr>
      </w:pPr>
    </w:p>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4" w:name="page35"/>
    <w:bookmarkEnd w:id="34"/>
    <w:p>
      <w:pPr>
        <w:jc w:val="both"/>
        <w:ind w:right="280"/>
        <w:spacing w:after="0" w:line="242" w:lineRule="auto"/>
        <w:rPr>
          <w:sz w:val="20"/>
          <w:szCs w:val="20"/>
          <w:color w:val="auto"/>
        </w:rPr>
      </w:pPr>
      <w:r>
        <w:rPr>
          <w:rFonts w:ascii="Times New Roman" w:cs="Times New Roman" w:eastAsia="Times New Roman" w:hAnsi="Times New Roman"/>
          <w:sz w:val="18"/>
          <w:szCs w:val="18"/>
          <w:color w:val="auto"/>
        </w:rPr>
        <w:t>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53" w:lineRule="exact"/>
        <w:rPr>
          <w:sz w:val="20"/>
          <w:szCs w:val="20"/>
          <w:color w:val="auto"/>
        </w:rPr>
      </w:pPr>
    </w:p>
    <w:p>
      <w:pPr>
        <w:jc w:val="both"/>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17"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5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91" w:lineRule="exact"/>
        <w:rPr>
          <w:sz w:val="20"/>
          <w:szCs w:val="20"/>
          <w:color w:val="auto"/>
        </w:rPr>
      </w:pPr>
    </w:p>
    <w:p>
      <w:pPr>
        <w:ind w:right="160" w:firstLine="509"/>
        <w:spacing w:after="0" w:line="235" w:lineRule="auto"/>
        <w:rPr>
          <w:sz w:val="20"/>
          <w:szCs w:val="20"/>
          <w:color w:val="auto"/>
        </w:rPr>
      </w:pPr>
      <w:r>
        <w:rPr>
          <w:rFonts w:ascii="Times New Roman" w:cs="Times New Roman" w:eastAsia="Times New Roman" w:hAnsi="Times New Roman"/>
          <w:sz w:val="18"/>
          <w:szCs w:val="18"/>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may suffer.</w:t>
      </w:r>
    </w:p>
    <w:p>
      <w:pPr>
        <w:spacing w:after="0" w:line="175"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57" w:lineRule="exact"/>
        <w:rPr>
          <w:sz w:val="20"/>
          <w:szCs w:val="20"/>
          <w:color w:val="auto"/>
        </w:rPr>
      </w:pPr>
    </w:p>
    <w:p>
      <w:pPr>
        <w:ind w:right="72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1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16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CRM Platform. Maintaining adequate research and development personnel and resources to meet the demands of the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5" w:name="page36"/>
    <w:bookmarkEnd w:id="35"/>
    <w:p>
      <w:pPr>
        <w:ind w:right="120"/>
        <w:spacing w:after="0" w:line="235" w:lineRule="auto"/>
        <w:rPr>
          <w:sz w:val="20"/>
          <w:szCs w:val="20"/>
          <w:color w:val="auto"/>
        </w:rPr>
      </w:pPr>
      <w:r>
        <w:rPr>
          <w:rFonts w:ascii="Times New Roman" w:cs="Times New Roman" w:eastAsia="Times New Roman" w:hAnsi="Times New Roman"/>
          <w:sz w:val="18"/>
          <w:szCs w:val="18"/>
          <w:color w:val="auto"/>
        </w:rPr>
        <w:t>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5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91"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8"/>
          <w:szCs w:val="18"/>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55"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35"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44"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4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5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9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have opened several international offices and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150" w:lineRule="exact"/>
        <w:rPr>
          <w:sz w:val="20"/>
          <w:szCs w:val="20"/>
          <w:color w:val="auto"/>
        </w:rPr>
      </w:pPr>
    </w:p>
    <w:p>
      <w:pPr>
        <w:ind w:left="5540" w:right="3940" w:hanging="5023"/>
        <w:spacing w:after="0" w:line="516" w:lineRule="auto"/>
        <w:tabs>
          <w:tab w:leader="none" w:pos="10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our company culture with a dispersed and distant workforce;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6" w:name="page37"/>
    <w:bookmarkEnd w:id="36"/>
    <w:p>
      <w:pPr>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data, particularly in the European Union;</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1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0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0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135"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caused by global political events, including the United Kingdom's exit from the European Union, on January 31, 2020 ("Brexit"), and similar geopolitical developments;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w:t>
      </w:r>
    </w:p>
    <w:p>
      <w:pPr>
        <w:spacing w:after="0" w:line="171"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disputes, wars (such as the conflict between Russia and Ukraine), political instability or terrorist activities and resulting economic instability;</w:t>
      </w:r>
    </w:p>
    <w:p>
      <w:pPr>
        <w:spacing w:after="0" w:line="107"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1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58" w:lineRule="exact"/>
        <w:rPr>
          <w:sz w:val="20"/>
          <w:szCs w:val="20"/>
          <w:color w:val="auto"/>
        </w:rPr>
      </w:pPr>
    </w:p>
    <w:p>
      <w:pPr>
        <w:ind w:right="20" w:firstLine="509"/>
        <w:spacing w:after="0" w:line="238"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18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17"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since January 1, 2021, our employees had the option to be fully remote, work full-time from one of our offices, or work both in the office and remotely.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Any failure to preserve our culture could negatively affect our ability to retain and recruit personnel and to effectively focus on and pursue our corporate objectives. As we grow and continue to develop our company infrastructure, we may find it difficult to maintain these important aspects of our company culture and our business may be adversely impacted.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7" w:name="page38"/>
    <w:bookmarkEnd w:id="37"/>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175" w:lineRule="exact"/>
        <w:rPr>
          <w:sz w:val="20"/>
          <w:szCs w:val="20"/>
          <w:color w:val="auto"/>
        </w:rPr>
      </w:pPr>
    </w:p>
    <w:p>
      <w:pPr>
        <w:ind w:right="120" w:firstLine="509"/>
        <w:spacing w:after="0" w:line="232"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the ongoing COVID-19 pandemic,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spacing w:after="0" w:line="153" w:lineRule="exact"/>
        <w:rPr>
          <w:sz w:val="20"/>
          <w:szCs w:val="20"/>
          <w:color w:val="auto"/>
        </w:rPr>
      </w:pPr>
    </w:p>
    <w:p>
      <w:pPr>
        <w:ind w:right="160" w:firstLine="509"/>
        <w:spacing w:after="0"/>
        <w:rPr>
          <w:sz w:val="20"/>
          <w:szCs w:val="20"/>
          <w:color w:val="auto"/>
        </w:rPr>
      </w:pPr>
      <w:r>
        <w:rPr>
          <w:rFonts w:ascii="Times New Roman" w:cs="Times New Roman" w:eastAsia="Times New Roman" w:hAnsi="Times New Roman"/>
          <w:sz w:val="18"/>
          <w:szCs w:val="18"/>
          <w:color w:val="auto"/>
        </w:rPr>
        <w:t>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Technical Operations Infrastructure and Dependence on Third Parties</w:t>
      </w:r>
    </w:p>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1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Amazon Web Services located in northern Virginia and Frankfurt, Germany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emergencies (e.g., COVID-19),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 Additionally, we may be at risk due to the increased frequency of sophisticated cyber-attacks coordinated by foreign nation states. For example, the ongoing conflict between Russia and Ukraine may result in a heightened threat environment and create unknown cyber risks, including increased risk of retaliatory cyber-attacks from Russian actors against U.S.-based companies.</w:t>
      </w:r>
    </w:p>
    <w:p>
      <w:pPr>
        <w:spacing w:after="0" w:line="151"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17"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50"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8"/>
          <w:szCs w:val="18"/>
          <w:color w:val="auto"/>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5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28"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color w:val="auto"/>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24" w:lineRule="exact"/>
        <w:rPr>
          <w:sz w:val="20"/>
          <w:szCs w:val="20"/>
          <w:color w:val="auto"/>
        </w:rPr>
      </w:pPr>
    </w:p>
    <w:p>
      <w:pPr>
        <w:ind w:right="120" w:firstLine="509"/>
        <w:spacing w:after="0" w:line="235" w:lineRule="auto"/>
        <w:rPr>
          <w:sz w:val="20"/>
          <w:szCs w:val="20"/>
          <w:color w:val="auto"/>
        </w:rPr>
      </w:pPr>
      <w:r>
        <w:rPr>
          <w:rFonts w:ascii="Times New Roman" w:cs="Times New Roman" w:eastAsia="Times New Roman" w:hAnsi="Times New Roman"/>
          <w:sz w:val="18"/>
          <w:szCs w:val="18"/>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data hosting and transmission services.</w:t>
      </w:r>
    </w:p>
    <w:p>
      <w:pPr>
        <w:spacing w:after="0" w:line="17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p>
    <w:p>
      <w:pPr>
        <w:spacing w:after="0" w:line="144"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5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9" w:name="page40"/>
    <w:bookmarkEnd w:id="39"/>
    <w:p>
      <w:pPr>
        <w:ind w:firstLine="509"/>
        <w:spacing w:after="0" w:line="233" w:lineRule="auto"/>
        <w:rPr>
          <w:sz w:val="20"/>
          <w:szCs w:val="20"/>
          <w:color w:val="auto"/>
        </w:rPr>
      </w:pPr>
      <w:r>
        <w:rPr>
          <w:rFonts w:ascii="Times New Roman" w:cs="Times New Roman" w:eastAsia="Times New Roman" w:hAnsi="Times New Roman"/>
          <w:sz w:val="18"/>
          <w:szCs w:val="18"/>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the loss of which could limit the functionality of our platform and disrupt our business.</w:t>
      </w:r>
    </w:p>
    <w:p>
      <w:pPr>
        <w:spacing w:after="0" w:line="162" w:lineRule="exact"/>
        <w:rPr>
          <w:sz w:val="20"/>
          <w:szCs w:val="20"/>
          <w:color w:val="auto"/>
        </w:rPr>
      </w:pPr>
    </w:p>
    <w:p>
      <w:pPr>
        <w:ind w:right="60" w:firstLine="554"/>
        <w:spacing w:after="0" w:line="235" w:lineRule="auto"/>
        <w:rPr>
          <w:sz w:val="20"/>
          <w:szCs w:val="20"/>
          <w:color w:val="auto"/>
        </w:rPr>
      </w:pPr>
      <w:r>
        <w:rPr>
          <w:rFonts w:ascii="Times New Roman" w:cs="Times New Roman" w:eastAsia="Times New Roman" w:hAnsi="Times New Roman"/>
          <w:sz w:val="18"/>
          <w:szCs w:val="18"/>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end users’ acceptance of Internet behavior tracking may limit the applicability, use and adoption of our CRM Platform.</w:t>
      </w:r>
    </w:p>
    <w:p>
      <w:pPr>
        <w:spacing w:after="0" w:line="175"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data.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15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35"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ind w:right="360"/>
        <w:spacing w:after="0" w:line="250" w:lineRule="auto"/>
        <w:rPr>
          <w:sz w:val="20"/>
          <w:szCs w:val="20"/>
          <w:color w:val="auto"/>
        </w:rPr>
      </w:pPr>
      <w:r>
        <w:rPr>
          <w:rFonts w:ascii="Times New Roman" w:cs="Times New Roman" w:eastAsia="Times New Roman" w:hAnsi="Times New Roman"/>
          <w:sz w:val="18"/>
          <w:szCs w:val="18"/>
          <w:color w:val="auto"/>
        </w:rPr>
        <w:t>permanently harmed. As a result, our customers may bring claims against us for lost profits and other damages, or such concerns may cause us to limit access by our development team.</w:t>
      </w:r>
    </w:p>
    <w:p>
      <w:pPr>
        <w:spacing w:after="0" w:line="13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We have previously been, and may in the future become, the target of cyber-attacks by third parties seeking unauthorized access to our or our customers' data or to disrupt our operations or ability to provide our services.</w:t>
      </w:r>
    </w:p>
    <w:p>
      <w:pPr>
        <w:spacing w:after="0" w:line="151"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 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4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Recent high-profile security breaches and related disclosures of sensitive data by large institutions suggest that the risk of such events is significant, even if privacy protection and security measures are implemented and enforced. 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52"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Many governments have enacted laws requiring companies to notify individuals of data security incidents or unauthorized transfers involving certain types of personal data. In addition, the data processing agreements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4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1" w:name="page42"/>
    <w:bookmarkEnd w:id="41"/>
    <w:p>
      <w:pPr>
        <w:ind w:right="240"/>
        <w:spacing w:after="0" w:line="242" w:lineRule="auto"/>
        <w:rPr>
          <w:sz w:val="20"/>
          <w:szCs w:val="20"/>
          <w:color w:val="auto"/>
        </w:rPr>
      </w:pPr>
      <w:r>
        <w:rPr>
          <w:rFonts w:ascii="Times New Roman" w:cs="Times New Roman" w:eastAsia="Times New Roman" w:hAnsi="Times New Roman"/>
          <w:sz w:val="18"/>
          <w:szCs w:val="18"/>
          <w:color w:val="auto"/>
        </w:rPr>
        <w:t>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technology infringes the intellectual property rights of others.</w:t>
      </w:r>
    </w:p>
    <w:p>
      <w:pPr>
        <w:spacing w:after="0" w:line="175"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55"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57"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17"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51" w:lineRule="exact"/>
        <w:rPr>
          <w:sz w:val="20"/>
          <w:szCs w:val="20"/>
          <w:color w:val="auto"/>
        </w:rPr>
      </w:pPr>
    </w:p>
    <w:p>
      <w:pPr>
        <w:ind w:right="300" w:firstLine="509"/>
        <w:spacing w:after="0"/>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44"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immpairment or loss of portions of our intellectual property.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ind w:right="80"/>
        <w:spacing w:after="0" w:line="235" w:lineRule="auto"/>
        <w:rPr>
          <w:sz w:val="20"/>
          <w:szCs w:val="20"/>
          <w:color w:val="auto"/>
        </w:rPr>
      </w:pPr>
      <w:r>
        <w:rPr>
          <w:rFonts w:ascii="Times New Roman" w:cs="Times New Roman" w:eastAsia="Times New Roman" w:hAnsi="Times New Roman"/>
          <w:sz w:val="18"/>
          <w:szCs w:val="18"/>
          <w:color w:val="auto"/>
        </w:rPr>
        <w:t>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offer our platform and subject us to possible litigation.</w:t>
      </w:r>
    </w:p>
    <w:p>
      <w:pPr>
        <w:spacing w:after="0" w:line="175"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114"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8"/>
          <w:szCs w:val="18"/>
          <w:color w:val="auto"/>
        </w:rPr>
        <w:t>Our handling of data is subject to a variety of laws and regulations, including regulation by various government agencies, including the U.S. Federal Trade Commission ("FTC"), and various state, local and foreign agencies. We collect personal data and other data from our customers, prospects, and partners.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4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limitations on the collection, distribution, use and storage of personal data of individuals. In the United States, the FTC and many state attorneys general are applying federal and state consumer protection laws to impose standards for the online collection, use and dissemination of personal data and other.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7"/>
          <w:szCs w:val="17"/>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international data privacy laws and regulations could harm our ability to successfully operate our business and pursue our business goals. For example, the California Consumer Privacy Act (the “CCPA”), among other things, require covered companies to provide disclosures to California consumers and afford such consumers the ability to opt-out of sales of personal data.</w:t>
      </w:r>
    </w:p>
    <w:p>
      <w:pPr>
        <w:spacing w:after="0" w:line="132"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Additionally, a new California ballot initiative, the California Privacy Rights Act ("CPRA"), was passed in November 2020. Effective on January 1, 2023, the CPRA imposes additional obligations on companies covered by the legislation and will significantly modify the CCPA, including by expanding consumers’ rights with respect to certain sensitive personal data. The CPRA also creates a new state agency that will be vested with authority to implement regulations and enforce the CCPA and the CPRA. It is not yet fully clear how the CCPA and CPRA will be enforced and how certain of its requirements will be interpreted.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Certain other state laws impose similar privacy obligations and we also expect that more states may enact legislation similar to the CCPA, which provides consumers with new privacy rights and increases the privacy and security obligations of entities handling certain personal data of such consumers. The CCPA has prompted a number of proposals for new federal and state-level privacy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jc w:val="both"/>
        <w:ind w:right="300"/>
        <w:spacing w:after="0" w:line="242" w:lineRule="auto"/>
        <w:rPr>
          <w:sz w:val="20"/>
          <w:szCs w:val="20"/>
          <w:color w:val="auto"/>
        </w:rPr>
      </w:pPr>
      <w:r>
        <w:rPr>
          <w:rFonts w:ascii="Times New Roman" w:cs="Times New Roman" w:eastAsia="Times New Roman" w:hAnsi="Times New Roman"/>
          <w:sz w:val="18"/>
          <w:szCs w:val="18"/>
          <w:color w:val="auto"/>
        </w:rPr>
        <w:t>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3"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For example, on March 2, 2021, Virginia enacted the Consumer Data Protection Act (the “CDPA”). The CDPA will become effective January 1, 2023. The CDPA will regulate how businesses (which the CDPA refers to as “controllers”) collect and share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44"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Also, on July 8, 2021, Colorado’s governor signed the Colorado Privacy Act (“CPA”) into law. The CPA will become effective July 1, 2023. The CPA is rather similar to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 In addition, on March 24, 2022, Utah enacted the Utah Consumer Privacy Act (“UCPA”), which will become effective on December 31, 2023, and will apply requirements similar to the CPA and CDPA to controllers that control or process personal data of Utah residents and meet certain statutory thresholds.</w:t>
      </w:r>
    </w:p>
    <w:p>
      <w:pPr>
        <w:spacing w:after="0" w:line="14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With the UCPA, Utah became the fourth state to enact a comprehensive privacy law but it is quite possible that other states will follow suit.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43" w:lineRule="exact"/>
        <w:rPr>
          <w:sz w:val="20"/>
          <w:szCs w:val="20"/>
          <w:color w:val="auto"/>
        </w:rPr>
      </w:pPr>
    </w:p>
    <w:p>
      <w:pPr>
        <w:ind w:right="140" w:firstLine="509"/>
        <w:spacing w:after="0" w:line="238" w:lineRule="auto"/>
        <w:rPr>
          <w:sz w:val="20"/>
          <w:szCs w:val="20"/>
          <w:color w:val="auto"/>
        </w:rPr>
      </w:pPr>
      <w:r>
        <w:rPr>
          <w:rFonts w:ascii="Times New Roman" w:cs="Times New Roman" w:eastAsia="Times New Roman" w:hAnsi="Times New Roman"/>
          <w:sz w:val="18"/>
          <w:szCs w:val="18"/>
          <w:color w:val="auto"/>
        </w:rPr>
        <w:t>In addition, many foreign jurisdictions, including the European Union, United Kingdom, Canada, Australia, and others have regulations dealing with the collection and use of personal data obtained from their residents, which are often more restrictive than those in the U.S. Laws and regulations in these jurisdictions apply broadly to the collection, use, storage, disclosure and security of personal data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that aid our marketing and business intelligence.</w:t>
      </w:r>
    </w:p>
    <w:p>
      <w:pPr>
        <w:spacing w:after="0" w:line="145"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Within the European Union, legislators adopted the GDPR, which became effective in May 2018, and which imposes heightened obligations and risk upon our business and which may increase substantially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51"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On July 16, 2020, the European Court of Justice invalidated the EU–US Privacy Shield ruling that facilitated transfers of personal data from the European Economic Area to the U.S. because it failed to offer adequate protections for personal data. The European Court of Justice, in the same decision, deemed that the Standard Contractual Clauses ("SCCs"), approved by the European Commission for transfers of personal data between European Economic Area controllers and non-European Economic Area processors are valid, however the European Court of Justice deemed that transfers made pursuant to the SCCs need to be analyzed on a case-by-case basis to ensure the European Economic Area's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Economic Area may require their vendors to host all personal data within the European Economic Area and may decide to do business with one of our competitors who hosts personal data within the European Economic Area instead of doing business with us. In addition, some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4" w:name="page45"/>
    <w:bookmarkEnd w:id="44"/>
    <w:p>
      <w:pPr>
        <w:spacing w:after="0" w:line="233" w:lineRule="auto"/>
        <w:rPr>
          <w:sz w:val="20"/>
          <w:szCs w:val="20"/>
          <w:color w:val="auto"/>
        </w:rPr>
      </w:pPr>
      <w:r>
        <w:rPr>
          <w:rFonts w:ascii="Times New Roman" w:cs="Times New Roman" w:eastAsia="Times New Roman" w:hAnsi="Times New Roman"/>
          <w:sz w:val="18"/>
          <w:szCs w:val="18"/>
          <w:color w:val="auto"/>
        </w:rPr>
        <w:t>companies based in Europe may be reluctant to transfer personal data to us for processing outside the European Economic Area because of the burden on some requirements to conduct transfer impact assessments in order to rely on the SCCs as well as the substantial obligations that the recently updated SCCs impose upon data exporters. On March 21, 2022, the United Kingdom adopted new international data transfer agreement templates ("IGTAs") to facilitate transfers of personal data from the United Kingdom. The IGTAs allow for a transition period in which controllers and processors may move to the new forms. We are in the process of transitioning to the IGTAs and doing so will require significant effort and cost. The European Commission and the U.S. White House announced that they had reached an agreement in principle on a data transfer framework to replace the Privacy Shield 2.0. However, it is too soon to tell how this future framework will evolve and what impact it will have on our cross-border activities. We continue to monitor developments with respect to cross-border transfers and any prospective impacts on our activities.</w:t>
      </w:r>
    </w:p>
    <w:p>
      <w:pPr>
        <w:spacing w:after="0" w:line="147" w:lineRule="exact"/>
        <w:rPr>
          <w:sz w:val="20"/>
          <w:szCs w:val="20"/>
          <w:color w:val="auto"/>
        </w:rPr>
      </w:pPr>
    </w:p>
    <w:p>
      <w:pPr>
        <w:ind w:right="20" w:firstLine="509"/>
        <w:spacing w:after="0" w:line="234" w:lineRule="auto"/>
        <w:rPr>
          <w:sz w:val="20"/>
          <w:szCs w:val="20"/>
          <w:color w:val="auto"/>
        </w:rPr>
      </w:pPr>
      <w:r>
        <w:rPr>
          <w:rFonts w:ascii="Times New Roman" w:cs="Times New Roman" w:eastAsia="Times New Roman" w:hAnsi="Times New Roman"/>
          <w:sz w:val="18"/>
          <w:szCs w:val="18"/>
          <w:color w:val="auto"/>
        </w:rPr>
        <w:t>The regulatory framework governing the collection, processing, storage, use and sharing of certain information, particularly financial and other personal data, is rapidly evolving and is likely to continue to be subject to uncertainty and varying interpretations. . In addition to new and strengthened laws and regulations in the U.S., European Union, and United Kingdom, many foreign jurisdictions have passed new laws, strengthened existing laws, or are contemplating new laws regulating personal data. For example, South Africa’s Protection of Personal Information Act came into force on July 1, 2021, and imposes significant new requirements, with potentially significant penalties for non-compliance, on businesses that operate in South Africa. India is contemplating a new Personal Data Protection Bill that would, among other things, make it challenging to transfer personal data from India to countries outside of India. It is possible that these laws may impose, or may be interpreted and applied to impose, requirements that are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44"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47"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5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91"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Several U.S. federal statutes may apply to us with respect to various customer activities:</w:t>
      </w:r>
    </w:p>
    <w:p>
      <w:pPr>
        <w:spacing w:after="0" w:line="185" w:lineRule="exact"/>
        <w:rPr>
          <w:sz w:val="20"/>
          <w:szCs w:val="20"/>
          <w:color w:val="auto"/>
        </w:rPr>
      </w:pPr>
    </w:p>
    <w:p>
      <w:pPr>
        <w:ind w:left="1020" w:right="4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5" w:name="page46"/>
    <w:bookmarkEnd w:id="45"/>
    <w:p>
      <w:pPr>
        <w:ind w:left="1020" w:right="20"/>
        <w:spacing w:after="0" w:line="250" w:lineRule="auto"/>
        <w:rPr>
          <w:sz w:val="20"/>
          <w:szCs w:val="20"/>
          <w:color w:val="auto"/>
        </w:rPr>
      </w:pPr>
      <w:r>
        <w:rPr>
          <w:rFonts w:ascii="Times New Roman" w:cs="Times New Roman" w:eastAsia="Times New Roman" w:hAnsi="Times New Roman"/>
          <w:sz w:val="18"/>
          <w:szCs w:val="18"/>
          <w:color w:val="auto"/>
        </w:rPr>
        <w:t>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137" w:lineRule="exact"/>
        <w:rPr>
          <w:sz w:val="20"/>
          <w:szCs w:val="20"/>
          <w:color w:val="auto"/>
        </w:rPr>
      </w:pPr>
    </w:p>
    <w:p>
      <w:pPr>
        <w:ind w:left="1020" w:right="80" w:hanging="503"/>
        <w:spacing w:after="0" w:line="24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54" w:lineRule="exact"/>
        <w:rPr>
          <w:rFonts w:ascii="Times New Roman" w:cs="Times New Roman" w:eastAsia="Times New Roman" w:hAnsi="Times New Roman"/>
          <w:sz w:val="18"/>
          <w:szCs w:val="18"/>
          <w:color w:val="auto"/>
        </w:rPr>
      </w:pPr>
    </w:p>
    <w:p>
      <w:pPr>
        <w:ind w:left="1020" w:right="60" w:hanging="503"/>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47"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4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5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46" w:lineRule="exact"/>
        <w:rPr>
          <w:sz w:val="20"/>
          <w:szCs w:val="20"/>
          <w:color w:val="auto"/>
        </w:rPr>
      </w:pPr>
    </w:p>
    <w:p>
      <w:pPr>
        <w:ind w:right="88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117" w:lineRule="exact"/>
        <w:rPr>
          <w:sz w:val="20"/>
          <w:szCs w:val="20"/>
          <w:color w:val="auto"/>
        </w:rPr>
      </w:pPr>
    </w:p>
    <w:p>
      <w:pPr>
        <w:ind w:right="240" w:firstLine="509"/>
        <w:spacing w:after="0" w:line="235" w:lineRule="auto"/>
        <w:rPr>
          <w:sz w:val="20"/>
          <w:szCs w:val="20"/>
          <w:color w:val="auto"/>
        </w:rPr>
      </w:pPr>
      <w:r>
        <w:rPr>
          <w:rFonts w:ascii="Times New Roman" w:cs="Times New Roman" w:eastAsia="Times New Roman" w:hAnsi="Times New Roman"/>
          <w:sz w:val="18"/>
          <w:szCs w:val="18"/>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6" w:name="page47"/>
    <w:bookmarkEnd w:id="46"/>
    <w:p>
      <w:pPr>
        <w:ind w:right="160"/>
        <w:spacing w:after="0" w:line="242" w:lineRule="auto"/>
        <w:rPr>
          <w:sz w:val="20"/>
          <w:szCs w:val="20"/>
          <w:color w:val="auto"/>
        </w:rPr>
      </w:pPr>
      <w:r>
        <w:rPr>
          <w:rFonts w:ascii="Times New Roman" w:cs="Times New Roman" w:eastAsia="Times New Roman" w:hAnsi="Times New Roman"/>
          <w:sz w:val="18"/>
          <w:szCs w:val="18"/>
          <w:color w:val="auto"/>
        </w:rPr>
        <w:t>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43" w:lineRule="exact"/>
        <w:rPr>
          <w:sz w:val="20"/>
          <w:szCs w:val="20"/>
          <w:color w:val="auto"/>
        </w:rPr>
      </w:pPr>
    </w:p>
    <w:p>
      <w:pPr>
        <w:ind w:right="100" w:firstLine="509"/>
        <w:spacing w:after="0" w:line="239" w:lineRule="auto"/>
        <w:rPr>
          <w:sz w:val="20"/>
          <w:szCs w:val="20"/>
          <w:color w:val="auto"/>
        </w:rPr>
      </w:pPr>
      <w:r>
        <w:rPr>
          <w:rFonts w:ascii="Times New Roman" w:cs="Times New Roman" w:eastAsia="Times New Roman" w:hAnsi="Times New Roman"/>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5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117"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p>
    <w:p>
      <w:pPr>
        <w:spacing w:after="0" w:line="149" w:lineRule="exact"/>
        <w:rPr>
          <w:sz w:val="20"/>
          <w:szCs w:val="20"/>
          <w:color w:val="auto"/>
        </w:rPr>
      </w:pPr>
    </w:p>
    <w:p>
      <w:pPr>
        <w:ind w:right="180" w:firstLine="509"/>
        <w:spacing w:after="0" w:line="239" w:lineRule="auto"/>
        <w:rPr>
          <w:sz w:val="20"/>
          <w:szCs w:val="20"/>
          <w:color w:val="auto"/>
        </w:rPr>
      </w:pPr>
      <w:r>
        <w:rPr>
          <w:rFonts w:ascii="Times New Roman" w:cs="Times New Roman" w:eastAsia="Times New Roman" w:hAnsi="Times New Roman"/>
          <w:sz w:val="18"/>
          <w:szCs w:val="18"/>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44"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47"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57"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17"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ind w:right="20"/>
        <w:spacing w:after="0"/>
        <w:rPr>
          <w:sz w:val="20"/>
          <w:szCs w:val="20"/>
          <w:color w:val="auto"/>
        </w:rPr>
      </w:pPr>
      <w:r>
        <w:rPr>
          <w:rFonts w:ascii="Times New Roman" w:cs="Times New Roman" w:eastAsia="Times New Roman" w:hAnsi="Times New Roman"/>
          <w:sz w:val="18"/>
          <w:szCs w:val="18"/>
          <w:color w:val="auto"/>
        </w:rPr>
        <w:t>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8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17"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57"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11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7"/>
          <w:szCs w:val="17"/>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be increased.</w:t>
      </w:r>
    </w:p>
    <w:p>
      <w:pPr>
        <w:spacing w:after="0" w:line="1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which could adversely affect our profitability.</w:t>
      </w:r>
    </w:p>
    <w:p>
      <w:pPr>
        <w:spacing w:after="0" w:line="175"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As of December 31, 2021, we had $1.2 billion of U.S. federal and $737.8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be carried back to each of the five taxable years preceding the tax year of such losses, but those losses arising in taxable years beginning after December 31, 2017 may not be carried back. Moreover, for taxable years beginning after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8" w:name="page49"/>
    <w:bookmarkEnd w:id="48"/>
    <w:p>
      <w:pPr>
        <w:spacing w:after="0" w:line="233" w:lineRule="auto"/>
        <w:rPr>
          <w:sz w:val="20"/>
          <w:szCs w:val="20"/>
          <w:color w:val="auto"/>
        </w:rPr>
      </w:pPr>
      <w:r>
        <w:rPr>
          <w:rFonts w:ascii="Times New Roman" w:cs="Times New Roman" w:eastAsia="Times New Roman" w:hAnsi="Times New Roman"/>
          <w:sz w:val="18"/>
          <w:szCs w:val="18"/>
          <w:color w:val="auto"/>
        </w:rPr>
        <w:t>December 31, 2017, the deductibility of our U.S. federal net operating losses is limited to 80% of our taxable income in any future taxable year.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profitability in the future.</w:t>
      </w:r>
    </w:p>
    <w:p>
      <w:pPr>
        <w:spacing w:after="0" w:line="18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generated net losses of $9.3 million and $23.2 million for the three months ended March 31, 2022 and 2021, respectively. As of March 31, 2022, we had an accumulated deficit of $539.0 million. We will need to generate and sustain increased revenue levels in future periods to become profitable, and, even if we do, we may not be able to maintain or increase our level of profitability. We intend to continue to expend significant funds to grow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invest funds in social impact investment funds, and may receive no return on our investment or lose our entire investment.</w:t>
      </w:r>
    </w:p>
    <w:p>
      <w:pPr>
        <w:spacing w:after="0" w:line="175"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From time to time, we may invest in social impact investment funds. For example, in December 2020, we committed to invest $12.5 million in the Black Economic Development Fund (“BEDF”) by December 2023. On March 9, 2021, we made a contribution of $2.3 million in cash in the BEDF. On June 22, 2021, we made an additional contribution of $0.8 million in cash for an aggregate of 5.0% ownership interest and income share in the BEDF. The BEDF is managed by the Local Initiatives Support Corporation (“LISC”), which expects to make investments from the BEDF in the form of bank deposits, bridge financing, and other financing to Black-led businesses, financial institutions, and anchor institutions. In December 2021, we invested the remaining commitment of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5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7" w:lineRule="exact"/>
        <w:rPr>
          <w:sz w:val="20"/>
          <w:szCs w:val="20"/>
          <w:color w:val="auto"/>
        </w:rPr>
      </w:pPr>
    </w:p>
    <w:p>
      <w:pPr>
        <w:ind w:right="220" w:firstLine="509"/>
        <w:spacing w:after="0"/>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15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on marketing, sales and customer service software by our current or prospective customers;</w:t>
      </w:r>
    </w:p>
    <w:p>
      <w:pPr>
        <w:spacing w:after="0" w:line="171"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our CRM Platform subscriptions effectively so that we are able to attract and retain customers without compromising our profitability;</w:t>
      </w:r>
    </w:p>
    <w:p>
      <w:pPr>
        <w:spacing w:after="0" w:line="10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amounts for which agreements are renewed;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awareness of our thought leadership and brand;</w:t>
      </w:r>
    </w:p>
    <w:p>
      <w:pPr>
        <w:spacing w:after="0" w:line="1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9" w:name="page50"/>
    <w:bookmarkEnd w:id="49"/>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commission plans, quotas and other compensation-related metrics for our sales representatives;</w:t>
      </w:r>
    </w:p>
    <w:p>
      <w:pPr>
        <w:spacing w:after="0" w:line="171"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84"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135"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related to the expansion of our business, operations and infrastructure, including disruptions in our hosting network infrastructure and privacy and data security;</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inflation in the economies in which we operate and our ability to control costs, including operating expenses;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171" w:lineRule="exact"/>
        <w:rPr>
          <w:sz w:val="20"/>
          <w:szCs w:val="20"/>
          <w:color w:val="auto"/>
        </w:rPr>
      </w:pPr>
    </w:p>
    <w:p>
      <w:pPr>
        <w:jc w:val="both"/>
        <w:ind w:right="140" w:firstLine="509"/>
        <w:spacing w:after="0" w:line="242"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5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17" w:lineRule="exact"/>
        <w:rPr>
          <w:sz w:val="20"/>
          <w:szCs w:val="20"/>
          <w:color w:val="auto"/>
        </w:rPr>
      </w:pPr>
    </w:p>
    <w:p>
      <w:pPr>
        <w:jc w:val="both"/>
        <w:ind w:right="460" w:firstLine="509"/>
        <w:spacing w:after="0" w:line="242" w:lineRule="auto"/>
        <w:rPr>
          <w:sz w:val="20"/>
          <w:szCs w:val="20"/>
          <w:color w:val="auto"/>
        </w:rPr>
      </w:pPr>
      <w:r>
        <w:rPr>
          <w:rFonts w:ascii="Times New Roman" w:cs="Times New Roman" w:eastAsia="Times New Roman" w:hAnsi="Times New Roman"/>
          <w:sz w:val="18"/>
          <w:szCs w:val="18"/>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5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91"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1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incurred indebtedness in the aggregate principal amount of $400.0 million in connection with the issuance of our 0.25% convertible senior notes due June 1, 2022 (the “2022 Notes”). In June 2020, the Company exchanged approximately $272.1 million in aggregate principal amount of the 2022 Notes in privately-negotiated transactions for an aggregate of approximately $283.0 million in cash and 1.6 million shares of common stock. As of December 31, 2021, $19.4 million of principal remains outstanding on the 2022 Notes. In June 2020, concurrent with the partial repurchase of the 2022 Notes, we incurred indebtedness in the aggregate principal amount of $460.0 million in connection with the issuance of our 0.375% convertible senior notes due June 1, 2025 (the “2025 Notes”) and together with the 2022 Notes (the “Notes”). Our ability to make scheduled payments of the principal of, to pay interest on or to</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50" w:name="page51"/>
    <w:bookmarkEnd w:id="50"/>
    <w:p>
      <w:pPr>
        <w:ind w:right="40"/>
        <w:spacing w:after="0" w:line="233" w:lineRule="auto"/>
        <w:rPr>
          <w:sz w:val="20"/>
          <w:szCs w:val="20"/>
          <w:color w:val="auto"/>
        </w:rPr>
      </w:pPr>
      <w:r>
        <w:rPr>
          <w:rFonts w:ascii="Times New Roman" w:cs="Times New Roman" w:eastAsia="Times New Roman" w:hAnsi="Times New Roman"/>
          <w:sz w:val="18"/>
          <w:szCs w:val="18"/>
          <w:color w:val="auto"/>
        </w:rPr>
        <w:t>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4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therefore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52" w:lineRule="exact"/>
        <w:rPr>
          <w:sz w:val="20"/>
          <w:szCs w:val="20"/>
          <w:color w:val="auto"/>
        </w:rPr>
      </w:pPr>
    </w:p>
    <w:p>
      <w:pPr>
        <w:ind w:right="1040" w:firstLine="509"/>
        <w:spacing w:after="0" w:line="266" w:lineRule="auto"/>
        <w:rPr>
          <w:sz w:val="20"/>
          <w:szCs w:val="20"/>
          <w:color w:val="auto"/>
        </w:rPr>
      </w:pPr>
      <w:r>
        <w:rPr>
          <w:rFonts w:ascii="Times New Roman" w:cs="Times New Roman" w:eastAsia="Times New Roman" w:hAnsi="Times New Roman"/>
          <w:sz w:val="18"/>
          <w:szCs w:val="18"/>
          <w:color w:val="auto"/>
        </w:rPr>
        <w:t>In addition, our indebtedness, combined with our other financial obligations and contractual commitments, could have other important consequences. For example, it could:</w:t>
      </w:r>
    </w:p>
    <w:p>
      <w:pPr>
        <w:spacing w:after="0" w:line="135" w:lineRule="exact"/>
        <w:rPr>
          <w:sz w:val="20"/>
          <w:szCs w:val="20"/>
          <w:color w:val="auto"/>
        </w:rPr>
      </w:pPr>
    </w:p>
    <w:p>
      <w:pPr>
        <w:ind w:left="1020" w:right="4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adverse changes in general U.S. and worldwide economic, industry and competitive conditions and adverse changes in government regulation;</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amounts to fund acquisitions, for working capital and for other general corporate purposes.</w:t>
      </w:r>
    </w:p>
    <w:p>
      <w:pPr>
        <w:spacing w:after="0" w:line="171"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122"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Because the last reported sale price of the Company’s common stock for at least 20 trading days during the period of 30 consecutive trading days ending on the last trading day of the calendar quarter ended March 31, 2022 was equal to or greater than 130% of the conversion price of $94.77 on each applicable trading day, the 2022 Notes are convertible at the option of the holders thereof on the business day immediately preceding February 1, 2022. On or after February 1, 2022 until the close of business on the second scheduled trading day immediately preceding the maturity date, holders may convert their notes at any time. In the quarter ended March 31, 2022 and through April 29, 2022, the Company did not receive any conversion notices. Because the last reported sale price of the Company’s common stock for at least 20 trading days during the period of 30 consecutive trading days ending on the last trading day of the calendar quarter ended March 31, 2022 was equal to or greater than 130% of the applicable conversion price on each applicable trading day, the 2025 Notes are convertible at the option of the holders thereof during the calendar quarter ending June 30, 2022. In the quarter ended March 31, 2022, the Company settled $0.9 million of principal balance of the 2025 Notes in cash. Between the end of the most recently completed fiscal quarter and April 29, 2022, the Company has not received additional conversion notices. Whether the Notes that remain outstanding will be convertible following the calendar quarter ending March 31, 2022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ind w:right="20"/>
        <w:spacing w:after="0" w:line="250" w:lineRule="auto"/>
        <w:rPr>
          <w:sz w:val="20"/>
          <w:szCs w:val="20"/>
          <w:color w:val="auto"/>
        </w:rPr>
      </w:pPr>
      <w:r>
        <w:rPr>
          <w:rFonts w:ascii="Times New Roman" w:cs="Times New Roman" w:eastAsia="Times New Roman" w:hAnsi="Times New Roman"/>
          <w:sz w:val="18"/>
          <w:szCs w:val="18"/>
          <w:color w:val="auto"/>
        </w:rPr>
        <w:t>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4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Financial Accounting Standards Board (“ FASB”) Accounting Standards Codification 470-20, Debt with Conversion and</w:t>
      </w:r>
    </w:p>
    <w:p>
      <w:pPr>
        <w:spacing w:after="0" w:line="198"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w:t>
      </w:r>
    </w:p>
    <w:p>
      <w:pPr>
        <w:spacing w:after="0" w:line="15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equity component, to be recorded as additional paid-in capital within stockholders’ equity in our consolidated balance sheet and as a discount to the Notes, which reduces their initial carrying value. The carrying value of the Notes, net of the discount recorded, will be</w:t>
      </w:r>
    </w:p>
    <w:p>
      <w:pPr>
        <w:spacing w:after="0" w:line="1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w:t>
      </w:r>
    </w:p>
    <w:p>
      <w:pPr>
        <w:spacing w:after="0" w:line="15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trading price of the Notes. In addition, convertible debt instruments (such as the Notes) that may be settled entirely or partly cash were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w:t>
      </w:r>
    </w:p>
    <w:p>
      <w:pPr>
        <w:spacing w:after="0" w:line="143"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In August 2020, the FASB published an Accounting Standards Update (“ASU”) 2020-06, which amends the accounting standards for convertible debt instruments that may be settled entirely or partially in cash upon conversion.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 See Note 8 of the consolidated financial statements for more details.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be unable to sell your shares at or above the price you purchased them.</w:t>
      </w:r>
    </w:p>
    <w:p>
      <w:pPr>
        <w:spacing w:after="0" w:line="175"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March 31, 2022. The market price of our common stock may fluctuate significantly in response to numerous factors, many of which are beyond our control, including:</w:t>
      </w:r>
    </w:p>
    <w:p>
      <w:pPr>
        <w:spacing w:after="0" w:line="158" w:lineRule="exact"/>
        <w:rPr>
          <w:sz w:val="20"/>
          <w:szCs w:val="20"/>
          <w:color w:val="auto"/>
        </w:rPr>
      </w:pPr>
    </w:p>
    <w:p>
      <w:pPr>
        <w:ind w:left="1020" w:right="3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 including as a result of the addition or loss of any number of customers;</w:t>
      </w:r>
    </w:p>
    <w:p>
      <w:pPr>
        <w:spacing w:after="0" w:line="13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7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10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cloud-based software or other technology companies, or those in our industry in particular;</w:t>
      </w:r>
    </w:p>
    <w:p>
      <w:pPr>
        <w:spacing w:after="0" w:line="10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trading of our common stock and in the overall stock market, including as a result of trends in the economy as a whole;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2" w:name="page53"/>
    <w:bookmarkEnd w:id="52"/>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or the dilutive effect of our Notes or any other equity or equity-linked financings;</w:t>
      </w:r>
    </w:p>
    <w:p>
      <w:pPr>
        <w:spacing w:after="0" w:line="17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or industry, including data privacy and data security;</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and</w:t>
      </w:r>
    </w:p>
    <w:p>
      <w:pPr>
        <w:spacing w:after="0" w:line="184"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economic, industry and market conditions and trends, international disputes, wars (such as the conflict between Russia and Ukraine), and political stability.</w:t>
      </w:r>
    </w:p>
    <w:p>
      <w:pPr>
        <w:spacing w:after="0" w:line="10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36" w:lineRule="exact"/>
        <w:rPr>
          <w:sz w:val="20"/>
          <w:szCs w:val="20"/>
          <w:color w:val="auto"/>
        </w:rPr>
      </w:pPr>
    </w:p>
    <w:p>
      <w:pPr>
        <w:jc w:val="both"/>
        <w:ind w:right="260" w:firstLine="509"/>
        <w:spacing w:after="0" w:line="242"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5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91" w:lineRule="exact"/>
        <w:rPr>
          <w:sz w:val="20"/>
          <w:szCs w:val="20"/>
          <w:color w:val="auto"/>
        </w:rPr>
      </w:pPr>
    </w:p>
    <w:p>
      <w:pPr>
        <w:ind w:right="100" w:firstLine="509"/>
        <w:spacing w:after="0" w:line="239"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44"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49" w:lineRule="exact"/>
        <w:rPr>
          <w:sz w:val="20"/>
          <w:szCs w:val="20"/>
          <w:color w:val="auto"/>
        </w:rPr>
      </w:pPr>
    </w:p>
    <w:p>
      <w:pPr>
        <w:ind w:right="120" w:firstLine="509"/>
        <w:spacing w:after="0" w:line="235"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may delay or prevent an acquisition of our company.</w:t>
      </w:r>
    </w:p>
    <w:p>
      <w:pPr>
        <w:spacing w:after="0" w:line="175"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57" w:lineRule="exact"/>
        <w:rPr>
          <w:sz w:val="20"/>
          <w:szCs w:val="20"/>
          <w:color w:val="auto"/>
        </w:rPr>
      </w:pPr>
    </w:p>
    <w:p>
      <w:pPr>
        <w:ind w:left="1020" w:right="7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3" w:name="page54"/>
    <w:bookmarkEnd w:id="53"/>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whose members serve staggered three-year terms;</w:t>
      </w:r>
    </w:p>
    <w:p>
      <w:pPr>
        <w:spacing w:after="0" w:line="171"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the board, the chief executive officer or the president;</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84"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modify, alter or repeal our amended and restated bylaws;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documents.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ind w:right="100" w:firstLine="509"/>
        <w:spacing w:after="0" w:line="296"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98"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continuing effects of the COVID-19 pandemic are highly unpredictable and could be significant, and the duration and extent to which this will impact our future results of operations and overall financial performance remains uncertain.</w:t>
      </w:r>
    </w:p>
    <w:p>
      <w:pPr>
        <w:spacing w:after="0" w:line="117"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The COVID-19 pandemic and virus containment measures taken by federal and state governments have resulted in, and are expected to continue to result in, business slowdowns or shutdowns, weakened economic conditions, economic uncertainty, and volatility in the financial markets, both regionally and worldwide. We have continued to conduct business during the COVID-19 pandemic with substantial modifications to employee travel and where employees work, as well as virtualization, postponement, or cancellation of certain events, among other changes. We have begun to slowly re-open our offices on a staggered, region-by-region basis in accordance with local authority guidelines, we continue to actively monitor the situation and have taken and may take further actions to alter our business operations as may be required by federal, state, or local authorities. Although we have been able to navigate workplace restrictions and limitations with minimal disruptions to our business operations to date, we may further modify our business practices and real estate needs in response to the risks and negative impacts caused by the COVID-19 pandemic, but we cannot be certain that these measures will continue to be successful. We continue to actively monitor the situation and may take further actions to alter our business operations as may be required by federal, state, or local authorities, or that we determine are in the best interests of our employees, customers, partners, suppliers, and stockholders, including in response to outbreaks and variants.</w:t>
      </w:r>
    </w:p>
    <w:p>
      <w:pPr>
        <w:spacing w:after="0" w:line="152" w:lineRule="exact"/>
        <w:rPr>
          <w:sz w:val="20"/>
          <w:szCs w:val="20"/>
          <w:color w:val="auto"/>
        </w:rPr>
      </w:pPr>
    </w:p>
    <w:p>
      <w:pPr>
        <w:ind w:right="160" w:firstLine="509"/>
        <w:spacing w:after="0" w:line="235" w:lineRule="auto"/>
        <w:rPr>
          <w:sz w:val="20"/>
          <w:szCs w:val="20"/>
          <w:color w:val="auto"/>
        </w:rPr>
      </w:pPr>
      <w:r>
        <w:rPr>
          <w:rFonts w:ascii="Times New Roman" w:cs="Times New Roman" w:eastAsia="Times New Roman" w:hAnsi="Times New Roman"/>
          <w:sz w:val="18"/>
          <w:szCs w:val="18"/>
          <w:color w:val="auto"/>
        </w:rPr>
        <w:t>While we have not been materially adversely affected to date,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and its residual effects have a substantial impact on the ability of our customers to purchase our offerings, our results of operations, and overall financial performance may be harmed.</w:t>
      </w:r>
    </w:p>
    <w:p>
      <w:pPr>
        <w:spacing w:after="0" w:line="147" w:lineRule="exact"/>
        <w:rPr>
          <w:sz w:val="20"/>
          <w:szCs w:val="20"/>
          <w:color w:val="auto"/>
        </w:rPr>
      </w:pPr>
    </w:p>
    <w:p>
      <w:pPr>
        <w:ind w:right="300" w:firstLine="509"/>
        <w:spacing w:after="0" w:line="242" w:lineRule="auto"/>
        <w:rPr>
          <w:sz w:val="20"/>
          <w:szCs w:val="20"/>
          <w:color w:val="auto"/>
        </w:rPr>
      </w:pPr>
      <w:r>
        <w:rPr>
          <w:rFonts w:ascii="Times New Roman" w:cs="Times New Roman" w:eastAsia="Times New Roman" w:hAnsi="Times New Roman"/>
          <w:sz w:val="18"/>
          <w:szCs w:val="18"/>
          <w:color w:val="auto"/>
        </w:rPr>
        <w:t>The extent to which the pandemic impacts our business operations in future periods will depend on multiple factors that cannot be accurately predicted at this time, such as the duration and scope of the pandemic, future spikes of COVID-19 infections (including the spread of variants or mutant strains, and the degree of transmissibility and severity thereof), the extent and effectiveness of</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ind w:right="40"/>
        <w:spacing w:after="0"/>
        <w:rPr>
          <w:sz w:val="20"/>
          <w:szCs w:val="20"/>
          <w:color w:val="auto"/>
        </w:rPr>
      </w:pPr>
      <w:r>
        <w:rPr>
          <w:rFonts w:ascii="Times New Roman" w:cs="Times New Roman" w:eastAsia="Times New Roman" w:hAnsi="Times New Roman"/>
          <w:sz w:val="18"/>
          <w:szCs w:val="18"/>
          <w:color w:val="auto"/>
        </w:rPr>
        <w:t>containment actions, the disruption caused by such actions, and the impact of these and other factors on our employees, customers, partners and vendors. If we are not able to respond to and manage the impact of such events effectively, our business will be harmed. In addition, supply chain disruption and resulting inflationary pressures, a global labor shortage, the ebb and flow of COVID-19, including in specific geographies, and changes in economic policy could impact our outlook.</w:t>
      </w:r>
    </w:p>
    <w:p>
      <w:pPr>
        <w:spacing w:after="0" w:line="144"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8"/>
          <w:szCs w:val="18"/>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could harm our business.</w:t>
      </w:r>
    </w:p>
    <w:p>
      <w:pPr>
        <w:spacing w:after="0" w:line="162"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w:t>
      </w:r>
    </w:p>
    <w:p>
      <w:pPr>
        <w:spacing w:after="0" w:line="175" w:lineRule="exact"/>
        <w:rPr>
          <w:sz w:val="20"/>
          <w:szCs w:val="20"/>
          <w:color w:val="auto"/>
        </w:rPr>
      </w:pPr>
    </w:p>
    <w:p>
      <w:pPr>
        <w:ind w:right="80" w:firstLine="509"/>
        <w:spacing w:after="0" w:line="232" w:lineRule="auto"/>
        <w:rPr>
          <w:sz w:val="20"/>
          <w:szCs w:val="20"/>
          <w:color w:val="auto"/>
        </w:rPr>
      </w:pPr>
      <w:r>
        <w:rPr>
          <w:rFonts w:ascii="Times New Roman" w:cs="Times New Roman" w:eastAsia="Times New Roman" w:hAnsi="Times New Roman"/>
          <w:sz w:val="18"/>
          <w:szCs w:val="18"/>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the ongoing conflict between Russia and Ukraine,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harm our industry, business and results of operations.</w:t>
      </w:r>
    </w:p>
    <w:p>
      <w:pPr>
        <w:spacing w:after="0" w:line="175"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and instability resulting from the ongoing conflict between Russia and Ukraine. The effect of the conflict between Russia and Ukraine, including</w:t>
      </w:r>
    </w:p>
    <w:p>
      <w:pPr>
        <w:spacing w:after="0" w:line="4" w:lineRule="exact"/>
        <w:rPr>
          <w:sz w:val="20"/>
          <w:szCs w:val="20"/>
          <w:color w:val="auto"/>
        </w:rPr>
      </w:pPr>
    </w:p>
    <w:p>
      <w:pPr>
        <w:ind w:right="2160"/>
        <w:spacing w:after="0"/>
        <w:rPr>
          <w:sz w:val="20"/>
          <w:szCs w:val="20"/>
          <w:color w:val="auto"/>
        </w:rPr>
      </w:pPr>
      <w:r>
        <w:rPr>
          <w:rFonts w:ascii="Times New Roman" w:cs="Times New Roman" w:eastAsia="Times New Roman" w:hAnsi="Times New Roman"/>
          <w:sz w:val="17"/>
          <w:szCs w:val="17"/>
          <w:color w:val="auto"/>
        </w:rPr>
        <w:t>any resulting sanctions, export controls or other restrictive actions that may be imposed against governmental or other entities in, for example, Russia, have in the past contributed and may in the future contribute to disruption, instability and volatility in</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the global markets.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45" w:lineRule="exact"/>
        <w:rPr>
          <w:sz w:val="20"/>
          <w:szCs w:val="20"/>
          <w:color w:val="auto"/>
        </w:rPr>
      </w:pPr>
    </w:p>
    <w:p>
      <w:pPr>
        <w:ind w:right="160" w:firstLine="509"/>
        <w:spacing w:after="0" w:line="238" w:lineRule="auto"/>
        <w:rPr>
          <w:sz w:val="20"/>
          <w:szCs w:val="20"/>
          <w:color w:val="auto"/>
        </w:rPr>
      </w:pPr>
      <w:r>
        <w:rPr>
          <w:rFonts w:ascii="Times New Roman" w:cs="Times New Roman" w:eastAsia="Times New Roman" w:hAnsi="Times New Roman"/>
          <w:sz w:val="18"/>
          <w:szCs w:val="18"/>
          <w:color w:val="auto"/>
        </w:rPr>
        <w:t>More recently, inflation rates in the U.S. have increased to levels not seen in several years, which may result in decreased demand for our products and services, increases in our operating costs including our labor costs, constrained credit and liquidity, reduced government spending and volatility in financial markets. The Federal Reserve has raised, and may again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certain securities in our portfolio, which could adversely affect our financial results.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162"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56" w:name="page57"/>
    <w:bookmarkEnd w:id="5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into this Report.</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80" w:type="dxa"/>
            <w:vAlign w:val="bottom"/>
            <w:gridSpan w:val="7"/>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0"/>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12"/>
          </w:tcPr>
          <w:p>
            <w:pPr>
              <w:ind w:left="20"/>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Amended and Restated Certificate of Incorporation of the Registrant</w:t>
              </w:r>
            </w:hyperlink>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3.2(2)</w:t>
            </w:r>
          </w:p>
        </w:tc>
        <w:tc>
          <w:tcPr>
            <w:tcW w:w="4000" w:type="dxa"/>
            <w:vAlign w:val="bottom"/>
            <w:tcBorders>
              <w:top w:val="single" w:sz="8" w:color="0000FF"/>
              <w:bottom w:val="single" w:sz="8" w:color="0000EE"/>
            </w:tcBorders>
            <w:gridSpan w:val="5"/>
          </w:tcPr>
          <w:p>
            <w:pPr>
              <w:ind w:left="20"/>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Third Amended and Restated Bylaws of the Registrant</w:t>
              </w:r>
            </w:hyperlink>
          </w:p>
        </w:tc>
        <w:tc>
          <w:tcPr>
            <w:tcW w:w="940" w:type="dxa"/>
            <w:vAlign w:val="bottom"/>
            <w:tcBorders>
              <w:top w:val="single" w:sz="8" w:color="0000FF"/>
            </w:tcBorders>
          </w:tcPr>
          <w:p>
            <w:pPr>
              <w:spacing w:after="0"/>
              <w:rPr>
                <w:sz w:val="24"/>
                <w:szCs w:val="24"/>
                <w:color w:val="auto"/>
              </w:rPr>
            </w:pPr>
          </w:p>
        </w:tc>
        <w:tc>
          <w:tcPr>
            <w:tcW w:w="50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3.3(3)</w:t>
            </w:r>
          </w:p>
        </w:tc>
        <w:tc>
          <w:tcPr>
            <w:tcW w:w="9980" w:type="dxa"/>
            <w:vAlign w:val="bottom"/>
            <w:gridSpan w:val="12"/>
          </w:tcPr>
          <w:p>
            <w:pPr>
              <w:ind w:left="20"/>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First Amendment to Third Amended and Restated Bylaws of the Registrant</w:t>
              </w:r>
            </w:hyperlink>
          </w:p>
        </w:tc>
        <w:tc>
          <w:tcPr>
            <w:tcW w:w="0" w:type="dxa"/>
            <w:vAlign w:val="bottom"/>
          </w:tcPr>
          <w:p>
            <w:pPr>
              <w:spacing w:after="0"/>
              <w:rPr>
                <w:sz w:val="1"/>
                <w:szCs w:val="1"/>
                <w:color w:val="auto"/>
              </w:rPr>
            </w:pPr>
          </w:p>
        </w:tc>
      </w:tr>
      <w:tr>
        <w:trPr>
          <w:trHeight w:val="344"/>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4.1(4)</w:t>
            </w:r>
          </w:p>
        </w:tc>
        <w:tc>
          <w:tcPr>
            <w:tcW w:w="3780" w:type="dxa"/>
            <w:vAlign w:val="bottom"/>
            <w:tcBorders>
              <w:top w:val="single" w:sz="8" w:color="0000FF"/>
              <w:bottom w:val="single" w:sz="8" w:color="0000FF"/>
            </w:tcBorders>
            <w:gridSpan w:val="3"/>
          </w:tcPr>
          <w:p>
            <w:pPr>
              <w:ind w:left="20"/>
              <w:spacing w:after="0"/>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Form of Common Stock certificate of the Registrant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640" w:type="dxa"/>
            <w:vAlign w:val="bottom"/>
            <w:tcBorders>
              <w:top w:val="single" w:sz="8" w:color="0000FF"/>
            </w:tcBorders>
            <w:gridSpan w:val="3"/>
          </w:tcPr>
          <w:p>
            <w:pPr>
              <w:spacing w:after="0"/>
              <w:rPr>
                <w:sz w:val="24"/>
                <w:szCs w:val="24"/>
                <w:color w:val="auto"/>
              </w:rPr>
            </w:pPr>
          </w:p>
        </w:tc>
        <w:tc>
          <w:tcPr>
            <w:tcW w:w="4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31.1**</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ind w:left="20"/>
              <w:spacing w:after="0" w:line="169" w:lineRule="exact"/>
              <w:rPr>
                <w:sz w:val="20"/>
                <w:szCs w:val="20"/>
                <w:color w:val="auto"/>
              </w:rPr>
            </w:pPr>
            <w:r>
              <w:rPr>
                <w:rFonts w:ascii="Times New Roman" w:cs="Times New Roman" w:eastAsia="Times New Roman" w:hAnsi="Times New Roman"/>
                <w:sz w:val="18"/>
                <w:szCs w:val="18"/>
                <w:color w:val="0000FF"/>
                <w:w w:val="95"/>
              </w:rPr>
              <w:t>amended</w:t>
            </w:r>
          </w:p>
        </w:tc>
        <w:tc>
          <w:tcPr>
            <w:tcW w:w="20" w:type="dxa"/>
            <w:vAlign w:val="bottom"/>
            <w:tcBorders>
              <w:top w:val="single" w:sz="8" w:color="0000FF"/>
              <w:bottom w:val="single" w:sz="8" w:color="0000EE"/>
            </w:tcBorders>
          </w:tcPr>
          <w:p>
            <w:pPr>
              <w:spacing w:after="0"/>
              <w:rPr>
                <w:sz w:val="14"/>
                <w:szCs w:val="14"/>
                <w:color w:val="auto"/>
              </w:rPr>
            </w:pPr>
          </w:p>
        </w:tc>
        <w:tc>
          <w:tcPr>
            <w:tcW w:w="8920" w:type="dxa"/>
            <w:vAlign w:val="bottom"/>
            <w:tcBorders>
              <w:top w:val="single" w:sz="8" w:color="0000FF"/>
            </w:tcBorders>
            <w:gridSpan w:val="9"/>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31.2**</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ind w:left="20"/>
              <w:spacing w:after="0" w:line="169" w:lineRule="exact"/>
              <w:rPr>
                <w:sz w:val="20"/>
                <w:szCs w:val="20"/>
                <w:color w:val="auto"/>
              </w:rPr>
            </w:pPr>
            <w:r>
              <w:rPr>
                <w:rFonts w:ascii="Times New Roman" w:cs="Times New Roman" w:eastAsia="Times New Roman" w:hAnsi="Times New Roman"/>
                <w:sz w:val="18"/>
                <w:szCs w:val="18"/>
                <w:color w:val="0000FF"/>
                <w:w w:val="95"/>
              </w:rPr>
              <w:t>amended</w:t>
            </w:r>
          </w:p>
        </w:tc>
        <w:tc>
          <w:tcPr>
            <w:tcW w:w="20" w:type="dxa"/>
            <w:vAlign w:val="bottom"/>
            <w:tcBorders>
              <w:top w:val="single" w:sz="8" w:color="0000FF"/>
              <w:bottom w:val="single" w:sz="8" w:color="0000EE"/>
            </w:tcBorders>
          </w:tcPr>
          <w:p>
            <w:pPr>
              <w:spacing w:after="0"/>
              <w:rPr>
                <w:sz w:val="14"/>
                <w:szCs w:val="14"/>
                <w:color w:val="auto"/>
              </w:rPr>
            </w:pPr>
          </w:p>
        </w:tc>
        <w:tc>
          <w:tcPr>
            <w:tcW w:w="8880" w:type="dxa"/>
            <w:vAlign w:val="bottom"/>
            <w:tcBorders>
              <w:top w:val="single" w:sz="8" w:color="0000FF"/>
            </w:tcBorders>
            <w:gridSpan w:val="8"/>
          </w:tcPr>
          <w:p>
            <w:pPr>
              <w:spacing w:after="0"/>
              <w:rPr>
                <w:sz w:val="14"/>
                <w:szCs w:val="14"/>
                <w:color w:val="auto"/>
              </w:rPr>
            </w:pPr>
          </w:p>
        </w:tc>
        <w:tc>
          <w:tcPr>
            <w:tcW w:w="4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32.1*</w:t>
            </w:r>
          </w:p>
        </w:tc>
        <w:tc>
          <w:tcPr>
            <w:tcW w:w="9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Section 906 of the Sarbanes-Oxley Act</w:t>
            </w:r>
          </w:p>
        </w:tc>
        <w:tc>
          <w:tcPr>
            <w:tcW w:w="20" w:type="dxa"/>
            <w:vAlign w:val="bottom"/>
            <w:tcBorders>
              <w:bottom w:val="single" w:sz="8" w:color="0000EE"/>
            </w:tcBorders>
          </w:tcPr>
          <w:p>
            <w:pPr>
              <w:spacing w:after="0"/>
              <w:rPr>
                <w:sz w:val="24"/>
                <w:szCs w:val="24"/>
                <w:color w:val="auto"/>
              </w:rPr>
            </w:pPr>
          </w:p>
        </w:tc>
        <w:tc>
          <w:tcPr>
            <w:tcW w:w="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07"/>
        <w:spacing w:after="0"/>
        <w:tabs>
          <w:tab w:leader="none" w:pos="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HubSpot, Inc.’s Annual Report on Form 10-K filed on February 24, 2016.</w:t>
      </w:r>
    </w:p>
    <w:p>
      <w:pPr>
        <w:spacing w:after="0" w:line="27" w:lineRule="exact"/>
        <w:rPr>
          <w:rFonts w:ascii="Times New Roman" w:cs="Times New Roman" w:eastAsia="Times New Roman" w:hAnsi="Times New Roman"/>
          <w:sz w:val="18"/>
          <w:szCs w:val="18"/>
          <w:color w:val="auto"/>
        </w:rPr>
      </w:pPr>
    </w:p>
    <w:p>
      <w:pPr>
        <w:ind w:left="440" w:hanging="432"/>
        <w:spacing w:after="0" w:line="23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to HubSpot Inc.’s Quarterly Report on Form 10-Q filed on November 5, 2020.</w:t>
      </w:r>
    </w:p>
    <w:p>
      <w:pPr>
        <w:ind w:left="440" w:hanging="432"/>
        <w:spacing w:after="0" w:line="234"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HubSpot Inc.’s Current Report on Form 8-K filed on April 14, 2022.</w:t>
      </w:r>
    </w:p>
    <w:p>
      <w:pPr>
        <w:ind w:left="520" w:right="160" w:hanging="512"/>
        <w:spacing w:after="0" w:line="243" w:lineRule="auto"/>
        <w:tabs>
          <w:tab w:leader="none" w:pos="4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Amendment No. 1 to Registrant’s Registration Statement on Form S-1 (SEC file No. 333-198333) filed on September 26, 2014.</w:t>
      </w:r>
    </w:p>
    <w:p>
      <w:pPr>
        <w:spacing w:after="0" w:line="182" w:lineRule="exact"/>
        <w:rPr>
          <w:sz w:val="20"/>
          <w:szCs w:val="20"/>
          <w:color w:val="auto"/>
        </w:rPr>
      </w:pPr>
    </w:p>
    <w:p>
      <w:pPr>
        <w:ind w:left="520" w:right="80" w:hanging="512"/>
        <w:spacing w:after="0" w:line="250" w:lineRule="auto"/>
        <w:tabs>
          <w:tab w:leader="none" w:pos="4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4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46"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Kate Bueker</w:t>
            </w:r>
          </w:p>
        </w:tc>
      </w:tr>
      <w:tr>
        <w:trPr>
          <w:trHeight w:val="191"/>
        </w:trPr>
        <w:tc>
          <w:tcPr>
            <w:tcW w:w="1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Kate Bueker</w:t>
            </w:r>
          </w:p>
        </w:tc>
      </w:tr>
      <w:tr>
        <w:trPr>
          <w:trHeight w:val="187"/>
        </w:trPr>
        <w:tc>
          <w:tcPr>
            <w:tcW w:w="112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189"/>
        </w:trPr>
        <w:tc>
          <w:tcPr>
            <w:tcW w:w="112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(Principal Financial and Accounting</w:t>
            </w:r>
          </w:p>
        </w:tc>
      </w:tr>
      <w:tr>
        <w:trPr>
          <w:trHeight w:val="236"/>
        </w:trPr>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Yamini Rangan,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HubSpot,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640" w:val="left"/>
          <w:tab w:leader="none" w:pos="73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Yamini Rangan</w:t>
      </w:r>
    </w:p>
    <w:p>
      <w:pPr>
        <w:ind w:left="7340"/>
        <w:spacing w:after="0" w:line="231" w:lineRule="auto"/>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HubSpot, Inc.;</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Kate Bueker</w:t>
      </w:r>
    </w:p>
    <w:p>
      <w:pPr>
        <w:spacing w:after="0" w:line="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 Yamini Rangan, certify, pursuant to 18 U.S.C. Section 1350, as adopted pursuant to Section 906 of the Sarbanes-Oxley Act of 2002, that, to my knowledge, the Quarterly Report on Form 10-Q of HubSpot, Inc. for the period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77"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Yamini Rangan</w:t>
      </w:r>
    </w:p>
    <w:p>
      <w:pPr>
        <w:spacing w:after="0" w:line="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 Kate Bueker, certify, pursuant to 18 U.S.C. Section 1350, as adopted pursuant to Section 906 of the Sarbanes-Oxley Act of 2002, that, to my knowledge, the Quarterly Report on Form 10-Q of HubSpot, Inc. for the period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64"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Kate Bueker</w:t>
      </w:r>
    </w:p>
    <w:p>
      <w:pPr>
        <w:spacing w:after="0" w:line="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0"/>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lvl>
    <w:lvl w:ilvl="1">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83" Type="http://schemas.openxmlformats.org/officeDocument/2006/relationships/hyperlink" Target="https://www.sec.gov/Archives/edgar/data/1404655/000156459016013204/hubs-ex31_768.htm" TargetMode="External"/><Relationship Id="rId284" Type="http://schemas.openxmlformats.org/officeDocument/2006/relationships/hyperlink" Target="https://www.sec.gov/Archives/edgar/data/1404655/000156459020051449/hubs-ex32_103.htm" TargetMode="External"/><Relationship Id="rId285" Type="http://schemas.openxmlformats.org/officeDocument/2006/relationships/hyperlink" Target="https://www.sec.gov/Archives/edgar/data/1404655/000095017022005701/hubs-ex3_1.htm" TargetMode="External"/><Relationship Id="rId286" Type="http://schemas.openxmlformats.org/officeDocument/2006/relationships/hyperlink" Target="https://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2022-05-05T16:38:51Z</dcterms:created>
  <dcterms:modified xsi:type="dcterms:W3CDTF">2022-05-05T16:38:51Z</dcterms:modified>
</cp:coreProperties>
</file>