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50630.htm"/>
      <w:bookmarkStart w:id="1" w:name="kshubs20250630"/>
      <w:bookmarkEnd w:id="0"/>
      <w:bookmarkEnd w:id="1"/>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June 30, 2025</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HubSpot,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Cambridge, Massachusetts</w:t>
            </w:r>
            <w:r>
              <w:rPr>
                <w:rFonts w:ascii="Times New Roman" w:hAnsi="Times New Roman"/>
                <w:color w:val="000000"/>
                <w:sz w:val="20"/>
              </w:rPr>
              <w:t xml:space="preserve"> </w:t>
            </w:r>
            <w:r>
              <w:rPr>
                <w:rFonts w:ascii="Times New Roman" w:hAnsi="Times New Roman"/>
                <w:b/>
                <w:color w:val="000000"/>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(Address of principal executive offices)</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(888) 482-7768</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HUBS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There were 52,693,110</w:t>
      </w:r>
      <w:r>
        <w:rPr>
          <w:rFonts w:ascii="Times New Roman" w:hAnsi="Times New Roman"/>
          <w:color w:val="FF0000"/>
          <w:sz w:val="20"/>
        </w:rPr>
        <w:t xml:space="preserve"> </w:t>
      </w:r>
      <w:r>
        <w:rPr>
          <w:rFonts w:ascii="Times New Roman" w:hAnsi="Times New Roman"/>
          <w:color w:val="000000"/>
          <w:sz w:val="18"/>
        </w:rPr>
        <w:t>shares of the registrant’s Common Stock issued and outstanding as of August 1, 2025.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center"/>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u w:val="single"/>
                </w:rPr>
                <w:t>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balance_sheets">
              <w:r>
                <w:rPr>
                  <w:rStyle w:val="InternetLink"/>
                  <w:rFonts w:ascii="Times New Roman" w:hAnsi="Times New Roman"/>
                  <w:color w:val="0000FF"/>
                  <w:sz w:val="20"/>
                  <w:u w:val="single"/>
                </w:rPr>
                <w:t>Unaudited Consolidated Balance Sheets as of June 30, 2025 and December 31,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operat">
              <w:r>
                <w:rPr>
                  <w:rStyle w:val="InternetLink"/>
                  <w:rFonts w:ascii="Times New Roman" w:hAnsi="Times New Roman"/>
                  <w:color w:val="0000FF"/>
                  <w:sz w:val="20"/>
                  <w:u w:val="single"/>
                </w:rPr>
                <w:t>Unaudited Consolidated Statements of Operations for the Three and Six Months Ended June 30,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ompre">
              <w:r>
                <w:rPr>
                  <w:rStyle w:val="InternetLink"/>
                  <w:rFonts w:ascii="Times New Roman" w:hAnsi="Times New Roman"/>
                  <w:color w:val="0000FF"/>
                  <w:sz w:val="20"/>
                  <w:u w:val="single"/>
                </w:rPr>
                <w:t>Unaudited Consolidated Statements of Comprehensive Income (Loss) for the Three and Six Months Ended June 30,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ted_consolidated_se">
              <w:r>
                <w:rPr>
                  <w:rStyle w:val="InternetLink"/>
                  <w:rFonts w:ascii="Times New Roman" w:hAnsi="Times New Roman"/>
                  <w:color w:val="0000FF"/>
                  <w:sz w:val="20"/>
                  <w:u w:val="single"/>
                </w:rPr>
                <w:t>Unaudited Consolidated Statement of Stockholders’ Equity for the Three and Six Months Ended June 30,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ash_f">
              <w:r>
                <w:rPr>
                  <w:rStyle w:val="InternetLink"/>
                  <w:rFonts w:ascii="Times New Roman" w:hAnsi="Times New Roman"/>
                  <w:color w:val="0000FF"/>
                  <w:sz w:val="20"/>
                  <w:u w:val="single"/>
                </w:rPr>
                <w:t>Unaudited Consolidated Statements of Cash Flows for the Six Months Ended June 30,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notes_to_unaudited_consolida_ted_financi">
              <w:r>
                <w:rPr>
                  <w:rStyle w:val="InternetLink"/>
                  <w:rFonts w:ascii="Times New Roman" w:hAnsi="Times New Roman"/>
                  <w:color w:val="0000FF"/>
                  <w:sz w:val="20"/>
                  <w:u w:val="single"/>
                </w:rPr>
                <w:t>Notes to 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on_senior_securities">
              <w:r>
                <w:rPr>
                  <w:rStyle w:val="InternetLink"/>
                  <w:rFonts w:ascii="Times New Roman" w:hAnsi="Times New Roman"/>
                  <w:color w:val="0000FF"/>
                  <w:sz w:val="20"/>
                  <w:u w:val="single"/>
                </w:rPr>
                <w:t>Defaults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CFO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AND CFO PURSUANT TO SECTION 906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and operational performance,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(“AI”)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expectations regarding the potential impact of geo-political conflicts, inflationary pressures, tariffs and trade restrictions, foreign currency movement, macroeconomic stability, and catastrophic events, on our business, the broader economy, our workforce and operations, the markets in which we and our partners and customers operate, and our ability to forecast future financial performance;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AI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AI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brand and marketing, selling and servicing thought leadership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2025 Share Repurchase Program;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this Quarterly Report on Form 10-Q, the terms “HubSpot,” “we,” “us,” and “our” refer to HubSpot, Inc. and its subsidiaries, unless the context indicates otherwise.</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(including AI and machine learning), evolving industry standards and changing customer needs or requirements, our customer platform may become less competitive.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uncertainty, including from changes in trade policies, trade wars, tariffs or other trade restrictions or the threat of such actions, may lead to decreased demand for our products and services and otherwise harm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may not become consistently profitable or maintain or increase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4" w:name="unaudited_consolidated_balance_sheets"/>
      <w:bookmarkEnd w:id="4"/>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164" w:type="dxa"/>
        <w:jc w:val="left"/>
        <w:tblInd w:w="0" w:type="dxa"/>
        <w:tblLayout w:type="fixed"/>
        <w:tblCellMar>
          <w:top w:w="28" w:type="dxa"/>
          <w:left w:w="28" w:type="dxa"/>
          <w:bottom w:w="28" w:type="dxa"/>
          <w:right w:w="28" w:type="dxa"/>
        </w:tblCellMar>
      </w:tblPr>
      <w:tblGrid>
        <w:gridCol w:w="7011"/>
        <w:gridCol w:w="146"/>
        <w:gridCol w:w="211"/>
        <w:gridCol w:w="931"/>
        <w:gridCol w:w="166"/>
        <w:gridCol w:w="146"/>
        <w:gridCol w:w="211"/>
        <w:gridCol w:w="931"/>
        <w:gridCol w:w="411"/>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1,556,828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 net of allowance for doubtful accounts of $6,237</w:t>
              <w:br/>
              <w:t>    at June 30, 2025 and $6,088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2,633,603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1,887,547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value—500,000 shares authorized; 54,198 and 52,667 </w:t>
              <w:br/>
              <w:t xml:space="preserve">    shares issued; 52,701 and 51,767 shares outstanding at June 30, 2025 and </w:t>
              <w:br/>
              <w: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$0.001 par value—1,497 and 900 shares held at June 30, 2025 and</w:t>
              <w:br/>
              <w:t>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5" w:name="unaudited_consolidated_statements_operat"/>
      <w:bookmarkEnd w:id="5"/>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3750"/>
        <w:gridCol w:w="249"/>
        <w:gridCol w:w="922"/>
        <w:gridCol w:w="196"/>
        <w:gridCol w:w="172"/>
        <w:gridCol w:w="249"/>
        <w:gridCol w:w="922"/>
        <w:gridCol w:w="166"/>
        <w:gridCol w:w="146"/>
        <w:gridCol w:w="214"/>
        <w:gridCol w:w="946"/>
        <w:gridCol w:w="168"/>
        <w:gridCol w:w="148"/>
        <w:gridCol w:w="214"/>
        <w:gridCol w:w="946"/>
        <w:gridCol w:w="797"/>
      </w:tblGrid>
      <w:tr>
        <w:trPr/>
        <w:tc>
          <w:tcPr>
            <w:tcW w:w="37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1,227,559</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27,085</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1,475,003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1,254,644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162,342</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237,268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638,705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1,237,735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1,064,040</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373,817</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594,081</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141,452</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663,319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1,289,831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1,111,209</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39,097</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14,945</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52,206</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benefit (expense)</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(13,538</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basic and diluted net loss per share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50,847</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6" w:name="unaudited_consolidated_statements_compre"/>
      <w:bookmarkEnd w:id="6"/>
      <w:r>
        <w:rPr>
          <w:rFonts w:ascii="Times New Roman" w:hAnsi="Times New Roman"/>
          <w:b/>
          <w:color w:val="000000"/>
          <w:sz w:val="20"/>
        </w:rPr>
        <w:t>Unaudited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236"/>
        <w:gridCol w:w="269"/>
        <w:gridCol w:w="807"/>
        <w:gridCol w:w="212"/>
        <w:gridCol w:w="186"/>
        <w:gridCol w:w="269"/>
        <w:gridCol w:w="941"/>
        <w:gridCol w:w="166"/>
        <w:gridCol w:w="146"/>
        <w:gridCol w:w="244"/>
        <w:gridCol w:w="853"/>
        <w:gridCol w:w="191"/>
        <w:gridCol w:w="168"/>
        <w:gridCol w:w="244"/>
        <w:gridCol w:w="853"/>
        <w:gridCol w:w="420"/>
      </w:tblGrid>
      <w:tr>
        <w:trPr/>
        <w:tc>
          <w:tcPr>
            <w:tcW w:w="42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investments, net of income </w:t>
              <w:br/>
              <w:t xml:space="preserve">   taxes of $0 for the three and six months ended June 30, </w:t>
              <w:br/>
              <w:t>   2025 and 2024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cash flow hedges, net of </w:t>
              <w:br/>
              <w:t xml:space="preserve">   income taxes of $145 and $192 for the three and six </w:t>
              <w:br/>
              <w:t xml:space="preserve">   months ended June 30, 2025 and $63 for the </w:t>
              <w:br/>
              <w:t>   three and six months ended June 30, 2024</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(15,150</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7" w:name="unaudted_consolidated_se"/>
      <w:bookmarkEnd w:id="7"/>
      <w:r>
        <w:rPr>
          <w:rFonts w:ascii="Times New Roman" w:hAnsi="Times New Roman"/>
          <w:b/>
          <w:color w:val="000000"/>
          <w:sz w:val="20"/>
        </w:rPr>
        <w:t>Unaudited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69"/>
        <w:gridCol w:w="146"/>
        <w:gridCol w:w="601"/>
        <w:gridCol w:w="166"/>
        <w:gridCol w:w="146"/>
        <w:gridCol w:w="196"/>
        <w:gridCol w:w="346"/>
        <w:gridCol w:w="146"/>
        <w:gridCol w:w="146"/>
        <w:gridCol w:w="146"/>
        <w:gridCol w:w="512"/>
        <w:gridCol w:w="166"/>
        <w:gridCol w:w="146"/>
        <w:gridCol w:w="196"/>
        <w:gridCol w:w="347"/>
        <w:gridCol w:w="146"/>
        <w:gridCol w:w="146"/>
        <w:gridCol w:w="196"/>
        <w:gridCol w:w="826"/>
        <w:gridCol w:w="166"/>
        <w:gridCol w:w="146"/>
        <w:gridCol w:w="280"/>
        <w:gridCol w:w="816"/>
        <w:gridCol w:w="166"/>
        <w:gridCol w:w="146"/>
        <w:gridCol w:w="196"/>
        <w:gridCol w:w="751"/>
        <w:gridCol w:w="166"/>
        <w:gridCol w:w="146"/>
        <w:gridCol w:w="196"/>
        <w:gridCol w:w="826"/>
        <w:gridCol w:w="215"/>
      </w:tblGrid>
      <w:tr>
        <w:trPr/>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1,908,286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the 2025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121,806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income </w:t>
              <w:br/>
              <w:t>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2,004,544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the 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Capped Call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income </w:t>
              <w:br/>
              <w:t>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2,884,434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(824,860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2,065,056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63"/>
        <w:gridCol w:w="146"/>
        <w:gridCol w:w="601"/>
        <w:gridCol w:w="166"/>
        <w:gridCol w:w="146"/>
        <w:gridCol w:w="196"/>
        <w:gridCol w:w="346"/>
        <w:gridCol w:w="146"/>
        <w:gridCol w:w="146"/>
        <w:gridCol w:w="165"/>
        <w:gridCol w:w="384"/>
        <w:gridCol w:w="169"/>
        <w:gridCol w:w="149"/>
        <w:gridCol w:w="200"/>
        <w:gridCol w:w="353"/>
        <w:gridCol w:w="146"/>
        <w:gridCol w:w="146"/>
        <w:gridCol w:w="196"/>
        <w:gridCol w:w="826"/>
        <w:gridCol w:w="166"/>
        <w:gridCol w:w="146"/>
        <w:gridCol w:w="280"/>
        <w:gridCol w:w="816"/>
        <w:gridCol w:w="166"/>
        <w:gridCol w:w="146"/>
        <w:gridCol w:w="196"/>
        <w:gridCol w:w="751"/>
        <w:gridCol w:w="166"/>
        <w:gridCol w:w="146"/>
        <w:gridCol w:w="196"/>
        <w:gridCol w:w="826"/>
        <w:gridCol w:w="214"/>
      </w:tblGrid>
      <w:tr>
        <w:trPr/>
        <w:tc>
          <w:tcPr>
            <w:tcW w:w="1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1,334,348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115,919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loss, net </w:t>
              <w:br/>
              <w: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1,449,117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134,685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loss, net </w:t>
              <w:br/>
              <w: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1,600,899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8" w:name="unaudited_consolidated_statements_cash_f"/>
      <w:bookmarkEnd w:id="8"/>
      <w:r>
        <w:rPr>
          <w:rFonts w:ascii="Times New Roman" w:hAnsi="Times New Roman"/>
          <w:b/>
          <w:color w:val="000000"/>
          <w:sz w:val="20"/>
        </w:rPr>
        <w:t>Unaudited Consolidated Statements of Cash Flows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w:t>
      </w:r>
    </w:p>
    <w:tbl>
      <w:tblPr>
        <w:tblW w:w="9977" w:type="dxa"/>
        <w:jc w:val="left"/>
        <w:tblInd w:w="0" w:type="dxa"/>
        <w:tblLayout w:type="fixed"/>
        <w:tblCellMar>
          <w:top w:w="28" w:type="dxa"/>
          <w:left w:w="28" w:type="dxa"/>
          <w:bottom w:w="28" w:type="dxa"/>
          <w:right w:w="28" w:type="dxa"/>
        </w:tblCellMar>
      </w:tblPr>
      <w:tblGrid>
        <w:gridCol w:w="6186"/>
        <w:gridCol w:w="146"/>
        <w:gridCol w:w="228"/>
        <w:gridCol w:w="961"/>
        <w:gridCol w:w="193"/>
        <w:gridCol w:w="170"/>
        <w:gridCol w:w="228"/>
        <w:gridCol w:w="874"/>
        <w:gridCol w:w="991"/>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income to net cash and cash equivalents provided</w:t>
              <w:br/>
              <w:t>   by operating activities,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43,438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257,668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240,116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Gain on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Impairment of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Provision for (benefit from)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bond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Unrealized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(27,228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commission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(49,590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(40,084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(23,153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63,888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44,291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325,932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244,916</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(830,204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(651,717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1,305,509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849,595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(29,370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Capitalization of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(65,857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(43,075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net working capital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Business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(69,833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291,164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139,027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Employee taxes paid related to the net share settlement of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for settlement of 2025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(459,811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related to the 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38,664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(559,963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31,760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30,046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87,179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409,888</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516,720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392,040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603,899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801,928</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7,165</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incurred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Settlement of Capped Call Options related to the 2025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9" w:name="notes_to_unaudited_consolida_ted_financi"/>
      <w:bookmarkEnd w:id="9"/>
      <w:r>
        <w:rPr>
          <w:rFonts w:ascii="Times New Roman" w:hAnsi="Times New Roman"/>
          <w:b/>
          <w:color w:val="000000"/>
          <w:sz w:val="20"/>
        </w:rPr>
        <w:t>Notes to Unaudited Consolidated Financial Statements</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HubSpot, Inc. (the “Company”) provides a customer platform that helps businesses connect and grow better. The Company delivers </w:t>
      </w:r>
      <w:r>
        <w:rPr>
          <w:rFonts w:ascii="Times New Roman" w:hAnsi="Times New Roman"/>
          <w:color w:val="212529"/>
          <w:sz w:val="20"/>
        </w:rPr>
        <w:t>seamless connection for customer-facing teams with a unified platform that includes three layers: Artificial Intelligence (</w:t>
      </w:r>
      <w:r>
        <w:rPr>
          <w:rFonts w:ascii="Times New Roman" w:hAnsi="Times New Roman"/>
          <w:color w:val="000000"/>
          <w:sz w:val="20"/>
        </w:rPr>
        <w:t xml:space="preserve">“AI”)- </w:t>
      </w:r>
      <w:r>
        <w:rPr>
          <w:rFonts w:ascii="Times New Roman" w:hAnsi="Times New Roman"/>
          <w:color w:val="212529"/>
          <w:sz w:val="20"/>
        </w:rPr>
        <w:t xml:space="preserve">powered engagement hubs, a Smart </w:t>
      </w:r>
      <w:r>
        <w:rPr>
          <w:rFonts w:ascii="Times New Roman" w:hAnsi="Times New Roman"/>
          <w:color w:val="000000"/>
          <w:sz w:val="20"/>
        </w:rPr>
        <w:t>customer relationship management product</w:t>
      </w:r>
      <w:r>
        <w:rPr>
          <w:rFonts w:ascii="Times New Roman" w:hAnsi="Times New Roman"/>
          <w:color w:val="212529"/>
          <w:sz w:val="20"/>
        </w:rPr>
        <w:t xml:space="preserve"> </w:t>
      </w:r>
      <w:r>
        <w:rPr>
          <w:rFonts w:ascii="Times New Roman" w:hAnsi="Times New Roman"/>
          <w:color w:val="000000"/>
          <w:sz w:val="20"/>
        </w:rPr>
        <w:t>(“CRM”)</w:t>
      </w:r>
      <w:r>
        <w:rPr>
          <w:rFonts w:ascii="Times New Roman" w:hAnsi="Times New Roman"/>
          <w:color w:val="212529"/>
          <w:sz w:val="20"/>
        </w:rPr>
        <w:t>, and a connected ecosystem that extends the customer platform with app marketplace integrations,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AI-powered engagement hubs include Marketing, Sales, Service, Operations, Content, and Commerce, as well as other tools and integrations that enable companies to attract, engage, and delight customers throughout the customer experience. The Smart CRM is the foundational layer that combines customer data with AI to power the entire customer platform.</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accompanying unaudited consolidated </w:t>
      </w:r>
      <w:r>
        <w:rPr>
          <w:rFonts w:ascii="Times New Roman" w:hAnsi="Times New Roman"/>
          <w:color w:val="212529"/>
          <w:sz w:val="20"/>
        </w:rPr>
        <w:t xml:space="preserve">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hAnsi="Times New Roman"/>
          <w:color w:val="000000"/>
          <w:sz w:val="20"/>
        </w:rPr>
        <w:t xml:space="preserve">December 31, 2024, and these consolidated financial statements include all adjustments, consisting only of normal recurring adjustments, necessary for a fair statement of the results of the interim periods presented. All intercompany balances and transactions have been eliminated in consolidation.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operations for the interim periods presented are not necessarily indicative of the results to be expected for any subsequent quarter or for the entire year ending December 31, 2025. The December 31, 2024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interim financial statements should be read in conjunction with the audited consolidated financial statements and related notes contained in the Company’s Annual Report on Form 10-K filed with the SEC on February 12, 2025. Other than the addition of the accounting policy related to share repurchases in Note 14, there have been no changes in the Company’s significant accounting policies from those that were disclosed in the Company’s Annual Report on Form 10-K that have had a material impact on our consolidated financial statements and related notes.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Recent accounting standards not included below are not expected to have a material impact on our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will be effective for the Company for the annual period beginning on January 1, 2025, with early adoption permitted. The adoption of this standard only impacts annual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guidance that requires the disclosure about specific types of expenses included in the expense captions presented on the face of the income statement. The new standard will be effective for the Company for the annual periods beginning January 1, 2027, and for interim periods beginning January 1, 2028, with early adoption permitted. The adoption of this standard only impacts annual and quarterly disclosures and is not expected to have a material impact on the Company's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Revenues</w:t>
      </w:r>
    </w:p>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15)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Revenue and Deferred Commission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six months ended June 30, 2025 increased by $106.1 million resulting from $867.0 million of additional invoicing and was offset by revenue recognized of $760.9 million during the same period. $451.9 million of revenue was recognized during the three months ended June 30, 2025 that was included in deferred revenue at the beginning of the period. $617.0 million of revenue was recognized during the six months ended June 30, 2025 that was included in deferred revenue at the beginning of the period. As of June 30, 2025, approximately $1.3 billion of revenue is expected to be recognized from remaining performance obligations for contracts with original performance obligations that exceed one year. The Company expects to recognize revenue on approximately 89% of these remaining performance obligations over the next 24 months, with the balance recognized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contract liabilities of $5.3 million and $6.4 million were included in accrued expenses and other current liabilities on the consolidated balance sheet as of June 30, 2025 and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employee sales and Solutions Partner commissions paid for new subscription contracts, are deferred and amortized on a straight-line basis over a period of approximately two to four years. The two to four-year period has been determined by taking into consideration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commission expense during the three months ended June 30, 2025 increased by $34.9 million as a result of deferring incremental costs of obtaining a contract of $71.9 million and was offset by amortization of $37.0 million during the same period. Deferred commission expense during the six months ended June 30, 2025 increased by $67.6 million as a result of deferring incremental costs of obtaining a contract of $142.2 million and was offset by amortization of $74.6 million during the same period.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10) are considered to be potential common stock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net loss per share is as follows:</w:t>
      </w:r>
    </w:p>
    <w:tbl>
      <w:tblPr>
        <w:tblW w:w="9178" w:type="dxa"/>
        <w:jc w:val="left"/>
        <w:tblInd w:w="0" w:type="dxa"/>
        <w:tblLayout w:type="fixed"/>
        <w:tblCellMar>
          <w:top w:w="28" w:type="dxa"/>
          <w:left w:w="28" w:type="dxa"/>
          <w:bottom w:w="28" w:type="dxa"/>
          <w:right w:w="28" w:type="dxa"/>
        </w:tblCellMar>
      </w:tblPr>
      <w:tblGrid>
        <w:gridCol w:w="4246"/>
        <w:gridCol w:w="222"/>
        <w:gridCol w:w="713"/>
        <w:gridCol w:w="175"/>
        <w:gridCol w:w="154"/>
        <w:gridCol w:w="222"/>
        <w:gridCol w:w="777"/>
        <w:gridCol w:w="166"/>
        <w:gridCol w:w="146"/>
        <w:gridCol w:w="211"/>
        <w:gridCol w:w="736"/>
        <w:gridCol w:w="166"/>
        <w:gridCol w:w="146"/>
        <w:gridCol w:w="211"/>
        <w:gridCol w:w="676"/>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w:t>
              <w:br/>
              <w:t>    basic</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share equivalents resulting from</w:t>
              <w:br/>
              <w:t>   stock options, RSUs, ESPP, PSUs, and the</w:t>
              <w:br/>
              <w:t>   Conversion Options</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common shares, outstanding — </w:t>
              <w:br/>
              <w:t>   diluted</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incurred a net loss for the three and six months ended June 30, 2025 and 2024, diluted net loss per share is the same as basic net loss per share. All of the Company’s outstanding stock options, RSUs, PSUs, and shares issuable under the ESPP, as well as the Conversion Options were excluded in the calculation of diluted net loss per share as the effect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treasury stock method and the average market price per share during the period for calculating any potential dilutive effect of the stock options, RSUs, ESPPs, and PSUs.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contains all potentially dilutive common stock equivalents. </w:t>
      </w:r>
    </w:p>
    <w:tbl>
      <w:tblPr>
        <w:tblW w:w="5229" w:type="dxa"/>
        <w:jc w:val="left"/>
        <w:tblInd w:w="0" w:type="dxa"/>
        <w:tblLayout w:type="fixed"/>
        <w:tblCellMar>
          <w:top w:w="28" w:type="dxa"/>
          <w:left w:w="28" w:type="dxa"/>
          <w:bottom w:w="28" w:type="dxa"/>
          <w:right w:w="28" w:type="dxa"/>
        </w:tblCellMar>
      </w:tblPr>
      <w:tblGrid>
        <w:gridCol w:w="3166"/>
        <w:gridCol w:w="146"/>
        <w:gridCol w:w="146"/>
        <w:gridCol w:w="571"/>
        <w:gridCol w:w="146"/>
        <w:gridCol w:w="146"/>
        <w:gridCol w:w="146"/>
        <w:gridCol w:w="57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Option of the 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June 30, 2025 and December 31, 2024:</w:t>
        <w:br/>
        <w:t> </w:t>
      </w:r>
    </w:p>
    <w:tbl>
      <w:tblPr>
        <w:tblW w:w="946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931"/>
        <w:gridCol w:w="146"/>
        <w:gridCol w:w="146"/>
        <w:gridCol w:w="211"/>
        <w:gridCol w:w="676"/>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9"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9252" w:type="dxa"/>
        <w:jc w:val="left"/>
        <w:tblInd w:w="0" w:type="dxa"/>
        <w:tblLayout w:type="fixed"/>
        <w:tblCellMar>
          <w:top w:w="28" w:type="dxa"/>
          <w:left w:w="28" w:type="dxa"/>
          <w:bottom w:w="28" w:type="dxa"/>
          <w:right w:w="28" w:type="dxa"/>
        </w:tblCellMar>
      </w:tblPr>
      <w:tblGrid>
        <w:gridCol w:w="3886"/>
        <w:gridCol w:w="146"/>
        <w:gridCol w:w="211"/>
        <w:gridCol w:w="676"/>
        <w:gridCol w:w="146"/>
        <w:gridCol w:w="146"/>
        <w:gridCol w:w="211"/>
        <w:gridCol w:w="931"/>
        <w:gridCol w:w="146"/>
        <w:gridCol w:w="146"/>
        <w:gridCol w:w="211"/>
        <w:gridCol w:w="571"/>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9" w:type="dxa"/>
            <w:gridSpan w:val="14"/>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30, 2025 and December 31, 2024,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in our consolidated balance sheets.</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composition of our short- and long-term investments at June 30, 2025 and December 31, 2024.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95"/>
        <w:gridCol w:w="591"/>
        <w:gridCol w:w="146"/>
        <w:gridCol w:w="146"/>
        <w:gridCol w:w="270"/>
        <w:gridCol w:w="616"/>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1,259,586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39"/>
        <w:gridCol w:w="647"/>
        <w:gridCol w:w="146"/>
        <w:gridCol w:w="146"/>
        <w:gridCol w:w="270"/>
        <w:gridCol w:w="616"/>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available-for-sale debt securities, any realized gains and losses are determined based on the specific identification method and are reported in other income (expense) in the consolidated statements of operations. For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in the consolidated statements of operations. It is noted that the Company does not intend to sell these investments and it is more likely than not that the Company will not be required to sell these investments before recovery of their amortized cost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neither of the above criteria is met, the Company further assesses whether the decline in fair value below amortized cost is due to credit or non-credit related factors. In making this assessment, the Company considers the extent to which fair value is less than amortized cost, credit ratings, the financial health of the industry and sector of the issuer, the overall risk profile of the securities, overall macroeconomic conditions, and more. Any credit-related unrealized losses are recognized as an allowance on the consolidated balance sheets with a corresponding charge in other income (expense) in the consolidated statements of operations. Non-credit related unrealized losses and unrealized gains on available-for-sale debt securities are included in accumulated other comprehensive income (loss). In considering the underlying risk of its portfolio, the Company notes that it has a zero-loss expectation for U.S. treasury and U.S. government agency securities, which represents the majority of its debt investment available-for-sale securities portfolio. As of June 30, 2025 and December 31 2024, no allowance for credit losses in investments was recorded.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at June 30, 2025 and December 31, 2024 are as follows:</w:t>
      </w:r>
    </w:p>
    <w:tbl>
      <w:tblPr>
        <w:tblW w:w="86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1,556,828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 year through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Strategic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holds strategic investments in non-marketable equity securities of privately held companies. These investments are included in other assets on the consolidated balance sheets. </w:t>
      </w:r>
    </w:p>
    <w:p>
      <w:pPr>
        <w:pStyle w:val="TextBody"/>
        <w:bidi w:val="0"/>
        <w:spacing w:before="200" w:after="283"/>
        <w:jc w:val="left"/>
        <w:rPr>
          <w:rFonts w:ascii="Times New Roman" w:hAnsi="Times New Roman"/>
          <w:sz w:val="20"/>
        </w:rPr>
      </w:pPr>
      <w:r>
        <w:rPr>
          <w:rFonts w:ascii="Times New Roman" w:hAnsi="Times New Roman"/>
          <w:color w:val="1D1C1D"/>
          <w:sz w:val="20"/>
        </w:rPr>
        <w:t>Strategic investments that consist of non-controlling equity investments without readily determinable fair values in privately held companies f</w:t>
      </w:r>
      <w:r>
        <w:rPr>
          <w:rFonts w:ascii="Times New Roman" w:hAnsi="Times New Roman"/>
          <w:color w:val="000000"/>
          <w:sz w:val="20"/>
        </w:rPr>
        <w:t>or which the Company does not have the ability to exercise significant influence are measured under the measurement alternative method. Under the measurement alternative method of accounting, the non-marketable equity securities are carried at cost less any impairment, plus or minus adjustments resulting from observable price changes in orderly transactions for the identical or a similar investment of the same issuer. Any associated gains and losses are recorded in other income (expense) in the consolidated statement of operations. T</w:t>
      </w:r>
      <w:r>
        <w:rPr>
          <w:rFonts w:ascii="Times New Roman" w:hAnsi="Times New Roman"/>
          <w:color w:val="1D1C1D"/>
          <w:sz w:val="20"/>
        </w:rPr>
        <w:t>he Company has certain other non-marketable strategic investments that do not qualify for the measurement alternative method. These investments are measured at fair value with any gains and losses recorded in other income (expense) in the consolidated statement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Strategic investments that consist of non-controlling equity investments without readily determinable fair values, in which the Company has significant influence over the investee’s operating and financial policies are accounted for under the equity method of accounting. Under the equity method of accounting, the Company's proportionate share of the investments' net earnings are recorded in other income (expense) in the consolidated statements of operations and the related increase or decrease to the investment balance is recorded on the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values of Company’s strategic investments broken down by categories mentioned above are as follows:</w:t>
        <w:br/>
        <w:t> </w:t>
      </w:r>
    </w:p>
    <w:tbl>
      <w:tblPr>
        <w:tblW w:w="6245" w:type="dxa"/>
        <w:jc w:val="left"/>
        <w:tblInd w:w="0" w:type="dxa"/>
        <w:tblLayout w:type="fixed"/>
        <w:tblCellMar>
          <w:top w:w="28" w:type="dxa"/>
          <w:left w:w="28" w:type="dxa"/>
          <w:bottom w:w="28" w:type="dxa"/>
          <w:right w:w="28" w:type="dxa"/>
        </w:tblCellMar>
      </w:tblPr>
      <w:tblGrid>
        <w:gridCol w:w="2791"/>
        <w:gridCol w:w="146"/>
        <w:gridCol w:w="239"/>
        <w:gridCol w:w="886"/>
        <w:gridCol w:w="146"/>
        <w:gridCol w:w="146"/>
        <w:gridCol w:w="357"/>
        <w:gridCol w:w="1143"/>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alternative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activity associated with the Company’s strategic investments, which is reported on the Company’s consolidated statement of operations as other income (expense):</w:t>
        <w:br/>
        <w:t> </w:t>
      </w:r>
    </w:p>
    <w:tbl>
      <w:tblPr>
        <w:tblW w:w="7823" w:type="dxa"/>
        <w:jc w:val="left"/>
        <w:tblInd w:w="0" w:type="dxa"/>
        <w:tblLayout w:type="fixed"/>
        <w:tblCellMar>
          <w:top w:w="28" w:type="dxa"/>
          <w:left w:w="28" w:type="dxa"/>
          <w:bottom w:w="28" w:type="dxa"/>
          <w:right w:w="28" w:type="dxa"/>
        </w:tblCellMar>
      </w:tblPr>
      <w:tblGrid>
        <w:gridCol w:w="2641"/>
        <w:gridCol w:w="146"/>
        <w:gridCol w:w="257"/>
        <w:gridCol w:w="697"/>
        <w:gridCol w:w="178"/>
        <w:gridCol w:w="178"/>
        <w:gridCol w:w="257"/>
        <w:gridCol w:w="697"/>
        <w:gridCol w:w="166"/>
        <w:gridCol w:w="146"/>
        <w:gridCol w:w="214"/>
        <w:gridCol w:w="640"/>
        <w:gridCol w:w="168"/>
        <w:gridCol w:w="148"/>
        <w:gridCol w:w="214"/>
        <w:gridCol w:w="685"/>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included in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Derivatives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of 12 months or less. Hedge effectiveness is assessed at inception and at each reporting period utilizing statistical regression analysis. The Company is subject to master netting arrangements with certain counterparties of the contracts, under which the Company is allowed to net settle transactions of the same currency. The Company's policy is to present the derivatives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statements of cash flows. As of June 30, 2025, the Company had designated cash flow hedge forward contracts with notional amounts equivalent to $42.6 million. </w:t>
      </w:r>
    </w:p>
    <w:p>
      <w:pPr>
        <w:pStyle w:val="TextBody"/>
        <w:bidi w:val="0"/>
        <w:spacing w:before="200" w:after="283"/>
        <w:jc w:val="left"/>
        <w:rPr>
          <w:rFonts w:ascii="Times New Roman" w:hAnsi="Times New Roman"/>
          <w:sz w:val="20"/>
        </w:rPr>
      </w:pPr>
      <w:r>
        <w:rPr>
          <w:rFonts w:ascii="Times New Roman" w:hAnsi="Times New Roman"/>
          <w:b/>
          <w:i/>
          <w:color w:val="000000"/>
          <w:sz w:val="20"/>
        </w:rPr>
        <w:t>Balance sheet hedges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also enters into foreign currency forward contracts to hedge certain foreign currency denominated monetary assets or liabilities, which are not designated as cash flow hedges. These contracts have maturities of 12 months or less. Changes in the value of the foreign exchange contracts are recognized in other income (expense), net and are designed to offset the foreign exchange gain or loss on the underlying net monetary assets or liabilities. Cash flows from the settlement of these forward contracts are classified as operating activities on the consolidated statements of cash flows. As of June 30, 2025, the Company had non-designated forward contracts with notional amounts of $42.0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June 30, 2025 and December 31, 2024:</w:t>
        <w:br/>
        <w:t> </w:t>
      </w:r>
    </w:p>
    <w:tbl>
      <w:tblPr>
        <w:tblW w:w="6988" w:type="dxa"/>
        <w:jc w:val="left"/>
        <w:tblInd w:w="0" w:type="dxa"/>
        <w:tblLayout w:type="fixed"/>
        <w:tblCellMar>
          <w:top w:w="28" w:type="dxa"/>
          <w:left w:w="28" w:type="dxa"/>
          <w:bottom w:w="28" w:type="dxa"/>
          <w:right w:w="28" w:type="dxa"/>
        </w:tblCellMar>
      </w:tblPr>
      <w:tblGrid>
        <w:gridCol w:w="3826"/>
        <w:gridCol w:w="375"/>
        <w:gridCol w:w="750"/>
        <w:gridCol w:w="146"/>
        <w:gridCol w:w="499"/>
        <w:gridCol w:w="1001"/>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Prepaid expenses and other current assets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 sheet hedges</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activity of foreign currency forward contracts designated as hedging instruments and the impact of these derivatives on AOCI:</w:t>
        <w:br/>
        <w:t> </w:t>
      </w:r>
    </w:p>
    <w:tbl>
      <w:tblPr>
        <w:tblW w:w="8106" w:type="dxa"/>
        <w:jc w:val="left"/>
        <w:tblInd w:w="0" w:type="dxa"/>
        <w:tblLayout w:type="fixed"/>
        <w:tblCellMar>
          <w:top w:w="28" w:type="dxa"/>
          <w:left w:w="28" w:type="dxa"/>
          <w:bottom w:w="28" w:type="dxa"/>
          <w:right w:w="28" w:type="dxa"/>
        </w:tblCellMar>
      </w:tblPr>
      <w:tblGrid>
        <w:gridCol w:w="5646"/>
        <w:gridCol w:w="293"/>
        <w:gridCol w:w="668"/>
        <w:gridCol w:w="230"/>
        <w:gridCol w:w="293"/>
        <w:gridCol w:w="585"/>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Beginning balance at January 1</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losses recognized in other comprehensive income, net of tax</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losses reclassified from AOCI to earnings</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Ending balance at June 30</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(586</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effect of hedges on the consolidated statements of operations are as follows: </w:t>
        <w:br/>
        <w:t> </w:t>
      </w:r>
    </w:p>
    <w:tbl>
      <w:tblPr>
        <w:tblW w:w="8413" w:type="dxa"/>
        <w:jc w:val="left"/>
        <w:tblInd w:w="0" w:type="dxa"/>
        <w:tblLayout w:type="fixed"/>
        <w:tblCellMar>
          <w:top w:w="28" w:type="dxa"/>
          <w:left w:w="28" w:type="dxa"/>
          <w:bottom w:w="28" w:type="dxa"/>
          <w:right w:w="28" w:type="dxa"/>
        </w:tblCellMar>
      </w:tblPr>
      <w:tblGrid>
        <w:gridCol w:w="4786"/>
        <w:gridCol w:w="211"/>
        <w:gridCol w:w="571"/>
        <w:gridCol w:w="166"/>
        <w:gridCol w:w="211"/>
        <w:gridCol w:w="376"/>
        <w:gridCol w:w="166"/>
        <w:gridCol w:w="211"/>
        <w:gridCol w:w="571"/>
        <w:gridCol w:w="166"/>
        <w:gridCol w:w="211"/>
        <w:gridCol w:w="376"/>
        <w:gridCol w:w="391"/>
      </w:tblGrid>
      <w:tr>
        <w:trPr/>
        <w:tc>
          <w:tcPr>
            <w:tcW w:w="4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Losses reclassified from AOCI related to cash flow hedges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Gains related to non-designated hedges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income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the Company estimates the net amount of unrealized gain (losses) before tax on the foreign currency contracts expected to be reclassified into revenue over the next 12 months is approximately $0.2 million.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such amounts shown in the statement of cash flows for the six months ended June 30,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72" w:type="dxa"/>
        <w:jc w:val="left"/>
        <w:tblInd w:w="0" w:type="dxa"/>
        <w:tblLayout w:type="fixed"/>
        <w:tblCellMar>
          <w:top w:w="28" w:type="dxa"/>
          <w:left w:w="28" w:type="dxa"/>
          <w:bottom w:w="28" w:type="dxa"/>
          <w:right w:w="28" w:type="dxa"/>
        </w:tblCellMar>
      </w:tblPr>
      <w:tblGrid>
        <w:gridCol w:w="4201"/>
        <w:gridCol w:w="146"/>
        <w:gridCol w:w="239"/>
        <w:gridCol w:w="886"/>
        <w:gridCol w:w="146"/>
        <w:gridCol w:w="146"/>
        <w:gridCol w:w="239"/>
        <w:gridCol w:w="886"/>
        <w:gridCol w:w="146"/>
        <w:gridCol w:w="146"/>
        <w:gridCol w:w="319"/>
        <w:gridCol w:w="1181"/>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Restricted cash, included in prepaid expenses and </w:t>
              <w:br/>
              <w:t>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consists of the following:</w:t>
        <w:br/>
        <w:t> </w:t>
      </w:r>
    </w:p>
    <w:tbl>
      <w:tblPr>
        <w:tblW w:w="7275" w:type="dxa"/>
        <w:jc w:val="left"/>
        <w:tblInd w:w="0" w:type="dxa"/>
        <w:tblLayout w:type="fixed"/>
        <w:tblCellMar>
          <w:top w:w="28" w:type="dxa"/>
          <w:left w:w="28" w:type="dxa"/>
          <w:bottom w:w="28" w:type="dxa"/>
          <w:right w:w="28" w:type="dxa"/>
        </w:tblCellMar>
      </w:tblPr>
      <w:tblGrid>
        <w:gridCol w:w="3781"/>
        <w:gridCol w:w="146"/>
        <w:gridCol w:w="225"/>
        <w:gridCol w:w="900"/>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and amortization expense on property and equipment was $8.9 million for the three months ended June 30, 2025, $16.1 million for the six months ended June 30, 2025, $7.0 million for the three months ended June 30, 2024 and $14.1 million for the six months ended June 30, 2024.</w:t>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Capitalized Software Development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exclusive of those recorded within property and equipment, consisted of the following: </w:t>
        <w:br/>
        <w:t> </w:t>
      </w:r>
    </w:p>
    <w:tbl>
      <w:tblPr>
        <w:tblW w:w="7385" w:type="dxa"/>
        <w:jc w:val="left"/>
        <w:tblInd w:w="0" w:type="dxa"/>
        <w:tblLayout w:type="fixed"/>
        <w:tblCellMar>
          <w:top w:w="28" w:type="dxa"/>
          <w:left w:w="28" w:type="dxa"/>
          <w:bottom w:w="28" w:type="dxa"/>
          <w:right w:w="28" w:type="dxa"/>
        </w:tblCellMar>
      </w:tblPr>
      <w:tblGrid>
        <w:gridCol w:w="3891"/>
        <w:gridCol w:w="146"/>
        <w:gridCol w:w="225"/>
        <w:gridCol w:w="900"/>
        <w:gridCol w:w="166"/>
        <w:gridCol w:w="146"/>
        <w:gridCol w:w="301"/>
        <w:gridCol w:w="1199"/>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capitalized software development costs are associated with software developed for the Company's customer platform. Capitalized software development costs recorded within property and equipment are associated with software developed for Company use.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of capitalized software development costs, exclusive of costs recorded within property and equipment, was $29.3 million for the three months ended June 30, 2025, $55.6 million for the six months ended June 30, 2025, $17.8 million for three months ended June 30, 2024, and $33.8 million for the six months ended June 30, 2024. Amortization expense is included in cost of subscription revenue in the consolidated statement of operations.</w:t>
      </w:r>
    </w:p>
    <w:p>
      <w:pPr>
        <w:pStyle w:val="TextBody"/>
        <w:bidi w:val="0"/>
        <w:spacing w:before="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Convertible Senior Notes</w:t>
      </w:r>
    </w:p>
    <w:p>
      <w:pPr>
        <w:pStyle w:val="TextBody"/>
        <w:bidi w:val="0"/>
        <w:spacing w:before="200" w:after="283"/>
        <w:jc w:val="left"/>
        <w:rPr>
          <w:rFonts w:ascii="Times New Roman" w:hAnsi="Times New Roman"/>
          <w:sz w:val="20"/>
        </w:rPr>
      </w:pPr>
      <w:r>
        <w:rPr>
          <w:rFonts w:ascii="Times New Roman" w:hAnsi="Times New Roman"/>
          <w:b/>
          <w:i/>
          <w:color w:val="000000"/>
          <w:sz w:val="20"/>
        </w:rPr>
        <w:t>2025 Convertible Senior Notes and Capped Call Options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was fixed at 0.375% per annum and was payable semi-annually in arrears on June 1 and December 1 of each year. The total net proceeds from the debt offering, after deducting initial purchase discounts and debt issuance costs, were approximately $450.1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$1,000 of principal amount of the 2025 Notes was initially convertible into 3.5396 shares of the Company’s common stock (the “Conversion Option of the 2025 Notes”), which was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could convert their 2025 Notes at any time, under certain circumstances as described in the indenture governing the 2025 Notes (the “Indenture”). Upon conversion, the Company would pay or deliver, as the case may be, cash, shares of the Company’s common stock or combination of cash and shares of the Company’s common stock, at the Company’s election. During the six months ended June 30, 2025, upon the election of holders to convert, the Company settled $233.4 million of principal balance of the 2025 Notes in cash and issued 0.5 million shares for the conversion premium in excess of the principal amount. In June 2025, upon the maturity of the 2025 Notes, the Company paid $225.6 million to satisfy the remaining aggregate principal amount due and issued 0.4 million shares for the conversion premium in excess of the principal amount.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related to the 2025 Notes is as follows:</w:t>
        <w:br/>
        <w:t> </w:t>
      </w:r>
    </w:p>
    <w:tbl>
      <w:tblPr>
        <w:tblW w:w="7759" w:type="dxa"/>
        <w:jc w:val="left"/>
        <w:tblInd w:w="0" w:type="dxa"/>
        <w:tblLayout w:type="fixed"/>
        <w:tblCellMar>
          <w:top w:w="28" w:type="dxa"/>
          <w:left w:w="28" w:type="dxa"/>
          <w:bottom w:w="28" w:type="dxa"/>
          <w:right w:w="28" w:type="dxa"/>
        </w:tblCellMar>
      </w:tblPr>
      <w:tblGrid>
        <w:gridCol w:w="2596"/>
        <w:gridCol w:w="146"/>
        <w:gridCol w:w="307"/>
        <w:gridCol w:w="613"/>
        <w:gridCol w:w="212"/>
        <w:gridCol w:w="212"/>
        <w:gridCol w:w="307"/>
        <w:gridCol w:w="613"/>
        <w:gridCol w:w="146"/>
        <w:gridCol w:w="146"/>
        <w:gridCol w:w="256"/>
        <w:gridCol w:w="511"/>
        <w:gridCol w:w="177"/>
        <w:gridCol w:w="177"/>
        <w:gridCol w:w="256"/>
        <w:gridCol w:w="693"/>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offering of the 2025 Notes, the Company purchased capped call options (“Capped Call Options”) with respect to its common stock for $50.6 million. The Capped Call Options were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Upon the maturity of the 2025 Notes, the Capped Call Options were exercised, which the Company net share settled and received 0.4 million shares of its common stock. At settlement, the $50.6 million paid for the Capped Call Options was recorded in treasury stock and netted within additional paid-in capital. As of June 30, 2025, no Capped Call Options remain outstanding.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office facilities under non-cancelable operating leases that expire at various dates through February 2035.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and cash payments related to operating lease liabilities for the three and six months ended June 30, 2025 and 2024 are as follows:</w:t>
        <w:br/>
        <w:t> </w:t>
      </w:r>
    </w:p>
    <w:tbl>
      <w:tblPr>
        <w:tblW w:w="7048" w:type="dxa"/>
        <w:jc w:val="left"/>
        <w:tblInd w:w="0" w:type="dxa"/>
        <w:tblLayout w:type="fixed"/>
        <w:tblCellMar>
          <w:top w:w="28" w:type="dxa"/>
          <w:left w:w="28" w:type="dxa"/>
          <w:bottom w:w="28" w:type="dxa"/>
          <w:right w:w="28" w:type="dxa"/>
        </w:tblCellMar>
      </w:tblPr>
      <w:tblGrid>
        <w:gridCol w:w="2086"/>
        <w:gridCol w:w="146"/>
        <w:gridCol w:w="249"/>
        <w:gridCol w:w="797"/>
        <w:gridCol w:w="172"/>
        <w:gridCol w:w="249"/>
        <w:gridCol w:w="797"/>
        <w:gridCol w:w="146"/>
        <w:gridCol w:w="146"/>
        <w:gridCol w:w="227"/>
        <w:gridCol w:w="729"/>
        <w:gridCol w:w="157"/>
        <w:gridCol w:w="227"/>
        <w:gridCol w:w="729"/>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subleases some of its unused spaces to third parties. Operating sublease income generated under all operating lease agreements for the three and six months ended June 30, 2025 and 2024 are as follows: </w:t>
        <w:br/>
        <w:t> </w:t>
      </w:r>
    </w:p>
    <w:tbl>
      <w:tblPr>
        <w:tblW w:w="7271" w:type="dxa"/>
        <w:jc w:val="left"/>
        <w:tblInd w:w="0" w:type="dxa"/>
        <w:tblLayout w:type="fixed"/>
        <w:tblCellMar>
          <w:top w:w="28" w:type="dxa"/>
          <w:left w:w="28" w:type="dxa"/>
          <w:bottom w:w="28" w:type="dxa"/>
          <w:right w:w="28" w:type="dxa"/>
        </w:tblCellMar>
      </w:tblPr>
      <w:tblGrid>
        <w:gridCol w:w="2311"/>
        <w:gridCol w:w="146"/>
        <w:gridCol w:w="279"/>
        <w:gridCol w:w="756"/>
        <w:gridCol w:w="193"/>
        <w:gridCol w:w="279"/>
        <w:gridCol w:w="756"/>
        <w:gridCol w:w="146"/>
        <w:gridCol w:w="146"/>
        <w:gridCol w:w="255"/>
        <w:gridCol w:w="691"/>
        <w:gridCol w:w="176"/>
        <w:gridCol w:w="255"/>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$93.1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June 30, 2025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non-cancelable vendor commitments as of June 30, 2025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also has commitments to contribute additional capital of $2.2 million to the Black Economic Development Fund.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Changes in Accumulated Other Comprehensive Income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changes in accumulated other comprehensive income (loss), which is reported as a component of stockholders’ equity, for the six months ended June 30, 2025 and 2024.</w:t>
      </w:r>
    </w:p>
    <w:tbl>
      <w:tblPr>
        <w:tblW w:w="10205" w:type="dxa"/>
        <w:jc w:val="left"/>
        <w:tblInd w:w="0" w:type="dxa"/>
        <w:tblLayout w:type="fixed"/>
        <w:tblCellMar>
          <w:top w:w="28" w:type="dxa"/>
          <w:left w:w="28" w:type="dxa"/>
          <w:bottom w:w="28" w:type="dxa"/>
          <w:right w:w="28" w:type="dxa"/>
        </w:tblCellMar>
      </w:tblPr>
      <w:tblGrid>
        <w:gridCol w:w="3249"/>
        <w:gridCol w:w="146"/>
        <w:gridCol w:w="535"/>
        <w:gridCol w:w="1719"/>
        <w:gridCol w:w="166"/>
        <w:gridCol w:w="146"/>
        <w:gridCol w:w="324"/>
        <w:gridCol w:w="880"/>
        <w:gridCol w:w="166"/>
        <w:gridCol w:w="146"/>
        <w:gridCol w:w="340"/>
        <w:gridCol w:w="775"/>
        <w:gridCol w:w="166"/>
        <w:gridCol w:w="146"/>
        <w:gridCol w:w="211"/>
        <w:gridCol w:w="676"/>
        <w:gridCol w:w="414"/>
      </w:tblGrid>
      <w:tr>
        <w:trPr/>
        <w:tc>
          <w:tcPr>
            <w:tcW w:w="3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comprehensive income (loss) before </w:t>
              <w:br/>
              <w: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270"/>
        <w:gridCol w:w="146"/>
        <w:gridCol w:w="569"/>
        <w:gridCol w:w="1704"/>
        <w:gridCol w:w="166"/>
        <w:gridCol w:w="146"/>
        <w:gridCol w:w="301"/>
        <w:gridCol w:w="906"/>
        <w:gridCol w:w="166"/>
        <w:gridCol w:w="146"/>
        <w:gridCol w:w="341"/>
        <w:gridCol w:w="776"/>
        <w:gridCol w:w="166"/>
        <w:gridCol w:w="146"/>
        <w:gridCol w:w="211"/>
        <w:gridCol w:w="631"/>
        <w:gridCol w:w="414"/>
      </w:tblGrid>
      <w:tr>
        <w:trPr/>
        <w:tc>
          <w:tcPr>
            <w:tcW w:w="3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comprehensive (loss) income before </w:t>
              <w:br/>
              <w: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Stockholders' Equity and Stock-Based Compensation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two tables show stock-based compensation expense by award type and where the stock-based compensation expense is recorded in the Company’s consolidated statements of operations:</w:t>
      </w:r>
    </w:p>
    <w:tbl>
      <w:tblPr>
        <w:tblW w:w="9032" w:type="dxa"/>
        <w:jc w:val="left"/>
        <w:tblInd w:w="0" w:type="dxa"/>
        <w:tblLayout w:type="fixed"/>
        <w:tblCellMar>
          <w:top w:w="28" w:type="dxa"/>
          <w:left w:w="28" w:type="dxa"/>
          <w:bottom w:w="28" w:type="dxa"/>
          <w:right w:w="28" w:type="dxa"/>
        </w:tblCellMar>
      </w:tblPr>
      <w:tblGrid>
        <w:gridCol w:w="3651"/>
        <w:gridCol w:w="146"/>
        <w:gridCol w:w="211"/>
        <w:gridCol w:w="781"/>
        <w:gridCol w:w="146"/>
        <w:gridCol w:w="146"/>
        <w:gridCol w:w="211"/>
        <w:gridCol w:w="781"/>
        <w:gridCol w:w="146"/>
        <w:gridCol w:w="146"/>
        <w:gridCol w:w="211"/>
        <w:gridCol w:w="78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9357" w:type="dxa"/>
        <w:jc w:val="left"/>
        <w:tblInd w:w="0" w:type="dxa"/>
        <w:tblLayout w:type="fixed"/>
        <w:tblCellMar>
          <w:top w:w="28" w:type="dxa"/>
          <w:left w:w="28" w:type="dxa"/>
          <w:bottom w:w="28" w:type="dxa"/>
          <w:right w:w="28" w:type="dxa"/>
        </w:tblCellMar>
      </w:tblPr>
      <w:tblGrid>
        <w:gridCol w:w="3976"/>
        <w:gridCol w:w="146"/>
        <w:gridCol w:w="211"/>
        <w:gridCol w:w="781"/>
        <w:gridCol w:w="146"/>
        <w:gridCol w:w="146"/>
        <w:gridCol w:w="211"/>
        <w:gridCol w:w="781"/>
        <w:gridCol w:w="146"/>
        <w:gridCol w:w="146"/>
        <w:gridCol w:w="211"/>
        <w:gridCol w:w="781"/>
        <w:gridCol w:w="146"/>
        <w:gridCol w:w="146"/>
        <w:gridCol w:w="211"/>
        <w:gridCol w:w="781"/>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Capitalized software development costs excluded from stock-based compensation expense were $17.0 million for the three months ended June 30, 2025, $28.8 million for the six months ended June 30, 2025, $10.2 million for the three months ended June 30, 2024, and $19.0 million for the six months ended June 30,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6, 2025, the Company’s Board of Directors authorized a share repurchase program for the repurchase of shares of the Company’s common stock, in an aggregate amount of up to $500 million (the “2025 Share Repurchase Program”) over a period of up to 12 months. All repurchases under the Share Repurchase Program are made through open market trades pursuant to 10b5-1 plans. The 2025 Share Repurchase Program does not obligate the Company to acquire a specified number of shares, and may be suspended, modified, or terminated at any time and will be funded using the Company's cash and cash equivalents. Consideration paid for the shares repurchased is recorded as a reduction to stockholders’ equity on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2025, the Company repurchased 0.2 million shares of its common stock at an average price of $577.13 per share, for an aggregate repurchase amount of $125.0 million. As of June 30, 2025, $375.0 million remained available for future stock repurchases under the 2025 Share Repurchase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Segment Information and Geographic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provides a customer platform that helps businesses connect and grow better. The Company generates revenue from subscriptions to its customer platform and related professional services and other revenue consisting mainly of customer on-boarding, training and consulting services and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as one operating segment. Operating segments are defined as components of an enterprise for which separate financial information is regularly evaluated by the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supplemental to those disclosed in these consolidated financial statements that is regularly provided to the CODM. The allocation of resources and assessment of performance of the operating segment is based on consolidated net loss as shown in the consolidated statements of operations. The CODM considers net loss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by geographical region:</w:t>
      </w:r>
    </w:p>
    <w:tbl>
      <w:tblPr>
        <w:tblW w:w="10205" w:type="dxa"/>
        <w:jc w:val="left"/>
        <w:tblInd w:w="0" w:type="dxa"/>
        <w:tblLayout w:type="fixed"/>
        <w:tblCellMar>
          <w:top w:w="28" w:type="dxa"/>
          <w:left w:w="28" w:type="dxa"/>
          <w:bottom w:w="28" w:type="dxa"/>
          <w:right w:w="28" w:type="dxa"/>
        </w:tblCellMar>
      </w:tblPr>
      <w:tblGrid>
        <w:gridCol w:w="4149"/>
        <w:gridCol w:w="146"/>
        <w:gridCol w:w="211"/>
        <w:gridCol w:w="781"/>
        <w:gridCol w:w="271"/>
        <w:gridCol w:w="146"/>
        <w:gridCol w:w="211"/>
        <w:gridCol w:w="781"/>
        <w:gridCol w:w="271"/>
        <w:gridCol w:w="146"/>
        <w:gridCol w:w="211"/>
        <w:gridCol w:w="931"/>
        <w:gridCol w:w="271"/>
        <w:gridCol w:w="146"/>
        <w:gridCol w:w="211"/>
        <w:gridCol w:w="931"/>
        <w:gridCol w:w="391"/>
      </w:tblGrid>
      <w:tr>
        <w:trPr/>
        <w:tc>
          <w:tcPr>
            <w:tcW w:w="4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1,475,003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 generated outside of the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derived from customers outside the United States (international) was approximately 48% of total revenue in the three months ended June 30, 2025, 47% in the six months ended June 30, 2025, and 47% in the three and six months ended June 30, 2024. Revenues of Americas attributed to the United States were 96% in the three months ended June 30, 2025, 97% in the six months ended June 30, 2025, 95% in the three months ended June 30, 2024, and 96% in the six months ended June 30, 2024. Revenues of Europe attributed to Ireland were 51% in the three months ended June 30, 2025, 52% in the six months ended June 30, 2025, 47% in the three months ended June 30, 2024, and 48% in the six months ended June 30,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long-lived assets by geographical region:</w:t>
        <w:br/>
        <w:t> </w:t>
      </w:r>
    </w:p>
    <w:tbl>
      <w:tblPr>
        <w:tblW w:w="8560" w:type="dxa"/>
        <w:jc w:val="left"/>
        <w:tblInd w:w="0" w:type="dxa"/>
        <w:tblLayout w:type="fixed"/>
        <w:tblCellMar>
          <w:top w:w="28" w:type="dxa"/>
          <w:left w:w="28" w:type="dxa"/>
          <w:bottom w:w="28" w:type="dxa"/>
          <w:right w:w="28" w:type="dxa"/>
        </w:tblCellMar>
      </w:tblPr>
      <w:tblGrid>
        <w:gridCol w:w="4981"/>
        <w:gridCol w:w="146"/>
        <w:gridCol w:w="239"/>
        <w:gridCol w:w="886"/>
        <w:gridCol w:w="271"/>
        <w:gridCol w:w="146"/>
        <w:gridCol w:w="319"/>
        <w:gridCol w:w="1181"/>
        <w:gridCol w:w="3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long-lived assets held outside of the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Long-lived assets of Americas attributed to the United States were 97% as of June 30, 2025 and December 31, 2024. Long-lived assets of Europe attributed to Ireland were 81% as of June 30, 2025 and 80% as of December 31, 2024.</w:t>
      </w:r>
    </w:p>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Business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Dashworks Technologies,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May 1, 2025, </w:t>
      </w:r>
      <w:r>
        <w:rPr>
          <w:rFonts w:ascii="Times New Roman" w:hAnsi="Times New Roman"/>
          <w:color w:val="1D1C1D"/>
          <w:sz w:val="20"/>
        </w:rPr>
        <w:t xml:space="preserve">the Company acquired all outstanding shares </w:t>
      </w:r>
      <w:r>
        <w:rPr>
          <w:rFonts w:ascii="Times New Roman" w:hAnsi="Times New Roman"/>
          <w:color w:val="000000"/>
          <w:sz w:val="20"/>
        </w:rPr>
        <w:t xml:space="preserve">of Dashworks Technologies, Inc. (“Dashworks”), an AI-powered knowledge search assistant. The total cash purchase price for the acquisition was $17.8 million, net of cash acquired. </w:t>
      </w:r>
      <w:r>
        <w:rPr>
          <w:rFonts w:ascii="Times New Roman" w:hAnsi="Times New Roman"/>
          <w:color w:val="1D1C1D"/>
          <w:sz w:val="20"/>
        </w:rPr>
        <w:t xml:space="preserve">There was approximately $6.6 million of post-combination consideration, which is contingent upon post-acquisition employment that will be recognized as compensation expense in the consolidated statement of operations over a period of three years. The transaction costs associated with the acquisition were approximately $0.9 million and were recorded in general and administrative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preliminary fair value of assets acquired and liabilities assumed as of the date of acquisition. The Company expects to finalize the valuation as soon as practicable and no later than one year from the acquisition date. </w:t>
      </w:r>
    </w:p>
    <w:p>
      <w:pPr>
        <w:pStyle w:val="TextBody"/>
        <w:bidi w:val="0"/>
        <w:jc w:val="left"/>
        <w:rPr/>
      </w:pPr>
      <w:r>
        <w:rPr/>
        <w:t> </w:t>
      </w:r>
    </w:p>
    <w:tbl>
      <w:tblPr>
        <w:tblW w:w="4893" w:type="dxa"/>
        <w:jc w:val="left"/>
        <w:tblInd w:w="0" w:type="dxa"/>
        <w:tblLayout w:type="fixed"/>
        <w:tblCellMar>
          <w:top w:w="28" w:type="dxa"/>
          <w:left w:w="28" w:type="dxa"/>
          <w:bottom w:w="28" w:type="dxa"/>
          <w:right w:w="28" w:type="dxa"/>
        </w:tblCellMar>
      </w:tblPr>
      <w:tblGrid>
        <w:gridCol w:w="3211"/>
        <w:gridCol w:w="146"/>
        <w:gridCol w:w="267"/>
        <w:gridCol w:w="858"/>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leverage Dashworks' expertise in deep search and reasoning to advance the Company's vision of equipping every go-to-market team member with an AI assistant and enhancing search and context gathering capabilities across Breeze. The goodwill recognized is not deductible for U.S. income tax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$1.6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The amortization expense is recorded to cost of subscription revenue in the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included the operating results of Dashworks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Dashworks have not been presented as the effect of this acquisition was not material to our financial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Frame Technology, Inc.</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January 6, 2025, the Company acquired all outstanding shares of Frame Technology, Inc. (“Frame AI”), an AI-powered conversation intelligence platform. The total cash purchase price for the acquisition was $50.9 million, net of cash acquired. </w:t>
      </w:r>
      <w:r>
        <w:rPr>
          <w:rFonts w:ascii="Times New Roman" w:hAnsi="Times New Roman"/>
          <w:color w:val="1D1C1D"/>
          <w:sz w:val="20"/>
        </w:rPr>
        <w:t xml:space="preserve">There was approximately $8.2 million of post-combination consideration, which is contingent upon post-acquisition employment that will be recognized as compensation expense in the consolidated statement of operations over a period of two years. The transaction costs associated with the acquisition were approximately $1.0 million and were recorded in general and administrative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fair value of assets acquired and liabilities assumed as of the date of acquisition.</w:t>
      </w:r>
    </w:p>
    <w:p>
      <w:pPr>
        <w:pStyle w:val="TextBody"/>
        <w:bidi w:val="0"/>
        <w:jc w:val="left"/>
        <w:rPr/>
      </w:pPr>
      <w:r>
        <w:rPr/>
        <w:t> </w:t>
      </w:r>
    </w:p>
    <w:tbl>
      <w:tblPr>
        <w:tblW w:w="4893" w:type="dxa"/>
        <w:jc w:val="left"/>
        <w:tblInd w:w="0" w:type="dxa"/>
        <w:tblLayout w:type="fixed"/>
        <w:tblCellMar>
          <w:top w:w="28" w:type="dxa"/>
          <w:left w:w="28" w:type="dxa"/>
          <w:bottom w:w="28" w:type="dxa"/>
          <w:right w:w="28" w:type="dxa"/>
        </w:tblCellMar>
      </w:tblPr>
      <w:tblGrid>
        <w:gridCol w:w="3211"/>
        <w:gridCol w:w="146"/>
        <w:gridCol w:w="267"/>
        <w:gridCol w:w="858"/>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excess of the purchase consideration over the fair value of net tangible and identifiable intangible assets and liabilities acquired was recorded as goodwill. The Company expects to derive value from Frame AI's capabilities by accelerating its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unify structured and unstructured data across the customer journey at scale and empower go-to-market teams to transform conversations into actionable intelligence. The goodwill recognized is not deductible for U.S. income tax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$6.3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The amortization expense is recorded to cost of subscription revenue in the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included the operating results of Frame AI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Frame AI have not been presented as the effect of this acquisition was not material to our financial results.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Between June 30, 2025 and the date of filing this Form 10-Q, the Company purchased 0.2 million shares of its common stock at an average price of $546.33 per share, for an aggregate repurchase amount of $125.0 million. As of the date of filing this report, $250.0 million remained available for future stock repurchases under the 2025 Share Repurchase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was signed into law in the U.S., which contains a broad range of tax reform provisions affecting businesses. The Company is evaluating the full effects of the legislation on its estimated annual effective tax rate and cash tax position and does not expect it to have a material impact on the Company's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2024 filed with the SEC on February 12, 2025.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AI-powered engagement hubs include Marketing, Sales, Service, Operations, Content, and Commerce, as well as other tools and integrations that enable companies to attract, engage, and delight customers throughout the customer lifecycle.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Breeze is our AI that powers the customer platform, including our Smart CRM, engagement Hubs, and the connected ecosystem. The core of our customer platform is our Smart CRM: a unified data platform of lead and customer information that allows businesses to track their interactions with contacts and customers, manage their customer activities, report on their pipeline and sales, and manage and govern their team and business processes.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 </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 xml:space="preserve">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traditional and AI-enhanced engagement strategies,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As of June 30, 2025, we had 8,723 full-time employees and 267,982 Customers of varying sizes in more than 135 countries, representing many industries.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derive most of our revenue from subscriptions to our cloud-based customer platform and related professional services, which consist of customer on-boarding, training and consulting services. Subscription revenue accounted for 98% of our total revenue for the three and six months ended June 30, 2025 and 2024. We sell multiple product plans at different base prices on a subscription basis, each of which includes our Smart CRM and integrated applications to meet the needs of the various customers we serve. We also generate revenue through usage and consumption-based models. Customers pay additional fees if the number of contacts stored and tracked in the customer’s database exceeds specified thresholds. We also generate additional revenue based on the purchase of additional subscriptions, products and seats, and the number of account users. Most of our Customers’ subscriptions are one year or less in duration.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which are designed to help customers enhance their ability to attract, engage and delight their customers using our customer platform. We also generate revenue from Commerce Hub and a number of revenue-share agreements with other companies. Professional services and other revenue accounted for 2% of total revenue for the three and six months ended June 30, 2025 and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customer platform providers and related applications and rapid technological changes in our industry.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to fund these growth strategies and support our business and may break-even from a profitability perspective in the next 12 months. </w:t>
        <w:br/>
        <w:br/>
      </w: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geo-political conflicts, foreign currency fluctuations, interest rates, inflation, recession risks, tariffs or other trade restrictions,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 </w:t>
      </w:r>
    </w:p>
    <w:p>
      <w:pPr>
        <w:pStyle w:val="TextBody"/>
        <w:bidi w:val="0"/>
        <w:jc w:val="left"/>
        <w:rPr>
          <w:rFonts w:ascii="Times New Roman" w:hAnsi="Times New Roman"/>
          <w:b/>
          <w:color w:val="000000"/>
          <w:sz w:val="20"/>
        </w:rPr>
      </w:pPr>
      <w:r>
        <w:rPr>
          <w:rFonts w:ascii="Times New Roman" w:hAnsi="Times New Roman"/>
          <w:b/>
          <w:color w:val="000000"/>
          <w:sz w:val="20"/>
        </w:rPr>
        <w:t>Key Business Metrics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Customers. </w:t>
      </w:r>
      <w:r>
        <w:rPr>
          <w:rFonts w:ascii="Times New Roman" w:hAnsi="Times New Roman"/>
          <w:color w:val="000000"/>
          <w:sz w:val="20"/>
        </w:rPr>
        <w:t>We believe that our ability to increase our customer base is an indicator of our market penetration, the growth of our business, and our 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Average Subscription Revenue per Customer. </w:t>
      </w:r>
      <w:r>
        <w:rPr>
          <w:rFonts w:ascii="Times New Roman" w:hAnsi="Times New Roman"/>
          <w:color w:val="000000"/>
          <w:sz w:val="20"/>
        </w:rPr>
        <w:t xml:space="preserve">We believe that our ability to increase the Average Subscription Revenue per Customer is an indicator of our ability to grow the long-term value of our existing customer relationships. We define Average Subscription Revenue per Customer during a particular period as subscription revenue from our Customers during the period divided by the average Customers during the same period.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 Retention.</w:t>
      </w:r>
      <w:r>
        <w:rPr>
          <w:rFonts w:ascii="Times New Roman" w:hAnsi="Times New Roman"/>
          <w:color w:val="000000"/>
          <w:sz w:val="20"/>
        </w:rPr>
        <w:t xml:space="preserve"> We believe that our ability to retain and expand a customer relationship is an indicator of the stability of our revenue base 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Retained Subscription Revenue.</w:t>
      </w:r>
      <w:r>
        <w:rPr>
          <w:rFonts w:ascii="Times New Roman" w:hAnsi="Times New Roman"/>
          <w:color w:val="000000"/>
          <w:sz w:val="20"/>
        </w:rPr>
        <w:t xml:space="preserve"> Contractual Monthly Subscription Revenue of the same cohort of Customers as those that comprise the Retention Base Revenue at the end of the same month.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Retention Base Revenue.</w:t>
      </w:r>
      <w:r>
        <w:rPr>
          <w:rFonts w:ascii="Times New Roman" w:hAnsi="Times New Roman"/>
          <w:color w:val="000000"/>
          <w:sz w:val="20"/>
        </w:rPr>
        <w:t xml:space="preserve"> Contractual Monthly Subscription Revenue of our Customers as of the beginning of each month.</w:t>
      </w:r>
    </w:p>
    <w:p>
      <w:pPr>
        <w:pStyle w:val="TextBody"/>
        <w:bidi w:val="0"/>
        <w:jc w:val="left"/>
        <w:rPr>
          <w:rFonts w:ascii="Times New Roman" w:hAnsi="Times New Roman"/>
          <w:sz w:val="20"/>
        </w:rPr>
      </w:pPr>
      <w:r>
        <w:rPr>
          <w:rFonts w:ascii="Times New Roman" w:hAnsi="Times New Roman"/>
          <w:i/>
          <w:color w:val="000000"/>
          <w:sz w:val="20"/>
        </w:rPr>
        <w:t xml:space="preserve">Contractual Monthly Subscription Revenue. </w:t>
      </w:r>
      <w:r>
        <w:rPr>
          <w:rFonts w:ascii="Times New Roman" w:hAnsi="Times New Roman"/>
          <w:color w:val="000000"/>
          <w:sz w:val="20"/>
        </w:rPr>
        <w:t xml:space="preserve">The subscription fees contractually committed to be paid for a full month under our Customer agreements, converted into USD at fixed rates that are held consistent over time, excluding commissions owed to our Solutions Partners.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our revenue from two major sources, revenue from subscriptions to our customer platform and professional services and other revenue consisting mainly of on-boarding, training, consulting services fees, and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Subscription-based revenue is derived from customers using our customer platform for their marketing, sales, service, operations, and content management needs. Our customer platform includes a system of engagement for efficiently engaging customers through SEO, web content, social, blogging, email, marketing automation, messaging, support ticketing, knowledge base, commerce, conversation routing, video hosting, and data enrichment. Over 1,700 integrations and applications are available for our users, across a wide range of categories, including integrations with leading social media, email, sales, video, analytics, content and webinar tools. All subscription fees that are billed in advance of service are recorded in deferred revenue. Subscription based revenue is recognized net of consideration paid to Solutions Partners when those Solutions Partners purchase a subscription to our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are derived primarily from customer on-boarding, training, consulting services, and Commerce Hub. Depending on which Hubs and services a customer purchases, they receive on-boarding guidance or one-on-one training from one of our on-boarding, inbound consultants, or technical consultants via web meetings.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We also derive revenue from a number of revenue-share agreements with other companies.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Cost of Revenue, Operating and Other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facilities, depreciation of fixed assets, and costs related to information technology.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professional fees and allocated overhead costs, which we define as facilities, depreciation of fixed assets, and costs related to information technology. It also consists of costs associated with our other service offerings, including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expect that the cost of subscription and professional services and other revenue will increase in absolute dollars as we continue to invest in growing our business. Over time, we expect to gain benefits of scale associated with our costs of hosting our customer platform relative to subscription revenues, resulting in improved subscription gross margin, exclusive of stock-based compensation. We expect professional services and other margins to break-even in the next 12 months,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customer platform and amortize such costs as costs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remain consistent as a percentage of total revenue, exclusive of stock-based compensation expense.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intangible assets, professional and contractor fees and allocated overhead costs. Sales and marketing expenses also include commissions paid to our Solutions Partners in instances where the end customer purchases and pays for a subscription to our customer platform. We defer certain sales and Solutions Partner commissions related to acquiring new contracts and amortize them ratably over a period of benefit that we have determined to be approximately two to four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as we incur the costs of compliance associated with being a publicly trade company, and remain relatively consistent as a percentage of total revenue, exclusive of stock-based compensation expense, as we focus on processes, systems and controls to enable our internal support functions to scale with the growth of our business. Over time, we expect general and administrative expenses to remain consistent as a percentage of total revenue,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expenses primarily consist of variable lease costs related to properties vacated under our restructuring plan. 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 Future variable facilities related costs for vacated properties will continue to be recorded to restructuring charges.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primarily consists of interest earned on invested cash and cash equivalents balances and investments. Interest expense primarily consists of amortization of issuance costs and contractual interest expense related to our 2025 Notes. Other income (expense) primarily consists of the impact of foreign currency transaction gains and losses associated with monetary assets and liabilities and any gains, losses, or impairments on our strategic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consists of current and deferred taxes for U.S. and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 for the Three and Six Months Ended June 30, 2025 and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 </w:t>
      </w:r>
    </w:p>
    <w:tbl>
      <w:tblPr>
        <w:tblW w:w="8928" w:type="dxa"/>
        <w:jc w:val="left"/>
        <w:tblInd w:w="0" w:type="dxa"/>
        <w:tblLayout w:type="fixed"/>
        <w:tblCellMar>
          <w:top w:w="28" w:type="dxa"/>
          <w:left w:w="28" w:type="dxa"/>
          <w:bottom w:w="28" w:type="dxa"/>
          <w:right w:w="28" w:type="dxa"/>
        </w:tblCellMar>
      </w:tblPr>
      <w:tblGrid>
        <w:gridCol w:w="3061"/>
        <w:gridCol w:w="146"/>
        <w:gridCol w:w="212"/>
        <w:gridCol w:w="750"/>
        <w:gridCol w:w="180"/>
        <w:gridCol w:w="158"/>
        <w:gridCol w:w="212"/>
        <w:gridCol w:w="750"/>
        <w:gridCol w:w="166"/>
        <w:gridCol w:w="146"/>
        <w:gridCol w:w="196"/>
        <w:gridCol w:w="826"/>
        <w:gridCol w:w="166"/>
        <w:gridCol w:w="146"/>
        <w:gridCol w:w="196"/>
        <w:gridCol w:w="826"/>
        <w:gridCol w:w="7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1,227,559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760,866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1,254,644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106,670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122,161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190,604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638,705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1,064,040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339,879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594,081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663,319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1,111,209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52,206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8610" w:type="dxa"/>
        <w:jc w:val="left"/>
        <w:tblInd w:w="0" w:type="dxa"/>
        <w:tblLayout w:type="fixed"/>
        <w:tblCellMar>
          <w:top w:w="28" w:type="dxa"/>
          <w:left w:w="28" w:type="dxa"/>
          <w:bottom w:w="28" w:type="dxa"/>
          <w:right w:w="28" w:type="dxa"/>
        </w:tblCellMar>
      </w:tblPr>
      <w:tblGrid>
        <w:gridCol w:w="3061"/>
        <w:gridCol w:w="146"/>
        <w:gridCol w:w="219"/>
        <w:gridCol w:w="565"/>
        <w:gridCol w:w="475"/>
        <w:gridCol w:w="219"/>
        <w:gridCol w:w="219"/>
        <w:gridCol w:w="565"/>
        <w:gridCol w:w="316"/>
        <w:gridCol w:w="146"/>
        <w:gridCol w:w="200"/>
        <w:gridCol w:w="517"/>
        <w:gridCol w:w="434"/>
        <w:gridCol w:w="200"/>
        <w:gridCol w:w="200"/>
        <w:gridCol w:w="517"/>
        <w:gridCol w:w="6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rFonts w:ascii="Times New Roman" w:hAnsi="Times New Roman"/>
          <w:color w:val="000000"/>
          <w:sz w:val="20"/>
        </w:rPr>
      </w:pPr>
      <w:r>
        <w:rPr>
          <w:rFonts w:ascii="Times New Roman" w:hAnsi="Times New Roman"/>
          <w:color w:val="000000"/>
          <w:sz w:val="20"/>
        </w:rPr>
        <w:t>Percentages are based on actual values. Totals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and Six Months Ended June 30, 2025 Compared to the Three and Six Months Ended June 30, 2024</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br/>
        <w:t> </w:t>
      </w:r>
    </w:p>
    <w:tbl>
      <w:tblPr>
        <w:tblW w:w="10205" w:type="dxa"/>
        <w:jc w:val="left"/>
        <w:tblInd w:w="0" w:type="dxa"/>
        <w:tblLayout w:type="fixed"/>
        <w:tblCellMar>
          <w:top w:w="28" w:type="dxa"/>
          <w:left w:w="28" w:type="dxa"/>
          <w:bottom w:w="28" w:type="dxa"/>
          <w:right w:w="28" w:type="dxa"/>
        </w:tblCellMar>
      </w:tblPr>
      <w:tblGrid>
        <w:gridCol w:w="1338"/>
        <w:gridCol w:w="196"/>
        <w:gridCol w:w="691"/>
        <w:gridCol w:w="146"/>
        <w:gridCol w:w="196"/>
        <w:gridCol w:w="691"/>
        <w:gridCol w:w="146"/>
        <w:gridCol w:w="196"/>
        <w:gridCol w:w="691"/>
        <w:gridCol w:w="146"/>
        <w:gridCol w:w="243"/>
        <w:gridCol w:w="478"/>
        <w:gridCol w:w="256"/>
        <w:gridCol w:w="196"/>
        <w:gridCol w:w="826"/>
        <w:gridCol w:w="146"/>
        <w:gridCol w:w="196"/>
        <w:gridCol w:w="826"/>
        <w:gridCol w:w="146"/>
        <w:gridCol w:w="196"/>
        <w:gridCol w:w="691"/>
        <w:gridCol w:w="146"/>
        <w:gridCol w:w="243"/>
        <w:gridCol w:w="478"/>
        <w:gridCol w:w="701"/>
      </w:tblGrid>
      <w:tr>
        <w:trPr/>
        <w:tc>
          <w:tcPr>
            <w:tcW w:w="1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revenue increased during the three months ended June 30, 2025 compared to the same period in 2024 primarily due to the increase in Customers, which grew from 228,054 as of June 30, 2024 to 267,982 as of June 30, 2025. Average Subscription Revenue per Customer increased from $11,215 for the three months ended June 30, 2024 to $11,310 for the three months ended June 30, 2025. The increase in Average Subscription Revenue per Customer was primarily driven by increased demand for our Professional and Enterprise products and the impact of foreign currency translation primarily attributable to the decrease in the value of the U.S. Dollar relative to the Euro and British Pound Sterling, offset by continued purchases of our lower-priced Starter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three months ended June 30, 2025 compared to the same period in 2024 primarily due to an increase in other revenue streams, including Commerce Hub.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Subscription revenue increased during the six months ended June 30, 2025 compared to the same period in 2024 primarily due to the increase in Customers, which grew from 228,054 as of June 30, 2024 to 267,982 as of June 30, 2025. Average Subscription Revenue per Customer decreased from $11,335 for the six months ended June 30, 2024 to $11,183 for the six months ended June 30, 2025. The growth in Customers was primarily driven by increased demand for our lower-priced Starter products. The decrease in Average Subscription Revenue per Customer was primarily driven by continued purchases of our lower-priced Starter products and the impact of foreign currency translation primarily attributable to the increase in the value of the U.S. Dollar relative to the Euro and British Pound Sterling, offset by increased demand for our Professional and Enterprise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six months ended June 30, 2025 compared to the same period in 2024 primarily due to an increase in other revenue streams, including Commerce Hub. </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Cost of Revenue, Gross Profit and Gross Margin Percentage </w:t>
      </w: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388"/>
        <w:gridCol w:w="196"/>
        <w:gridCol w:w="691"/>
        <w:gridCol w:w="256"/>
        <w:gridCol w:w="196"/>
        <w:gridCol w:w="691"/>
        <w:gridCol w:w="256"/>
        <w:gridCol w:w="196"/>
        <w:gridCol w:w="601"/>
        <w:gridCol w:w="146"/>
        <w:gridCol w:w="243"/>
        <w:gridCol w:w="478"/>
        <w:gridCol w:w="256"/>
        <w:gridCol w:w="196"/>
        <w:gridCol w:w="826"/>
        <w:gridCol w:w="256"/>
        <w:gridCol w:w="196"/>
        <w:gridCol w:w="826"/>
        <w:gridCol w:w="256"/>
        <w:gridCol w:w="196"/>
        <w:gridCol w:w="691"/>
        <w:gridCol w:w="146"/>
        <w:gridCol w:w="243"/>
        <w:gridCol w:w="478"/>
        <w:gridCol w:w="301"/>
      </w:tblGrid>
      <w:tr>
        <w:trPr/>
        <w:tc>
          <w:tcPr>
            <w:tcW w:w="1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 of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638,705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541,713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1,064,040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percentage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cost of revenue for the three and six months ended June 30, 2025 increased compared to the same period in 2024 primarily due to an increase in subscription and hosting costs, amortization of capitalized software development costs, and amortization of acquired technology, offset by decreases in allocated overhead expenses and employee-related costs. Gross margins remained relatively consistent year-over-year.</w:t>
        <w:br/>
        <w:t> </w:t>
      </w:r>
    </w:p>
    <w:tbl>
      <w:tblPr>
        <w:tblW w:w="10205" w:type="dxa"/>
        <w:jc w:val="left"/>
        <w:tblInd w:w="0" w:type="dxa"/>
        <w:tblLayout w:type="fixed"/>
        <w:tblCellMar>
          <w:top w:w="28" w:type="dxa"/>
          <w:left w:w="28" w:type="dxa"/>
          <w:bottom w:w="28" w:type="dxa"/>
          <w:right w:w="28" w:type="dxa"/>
        </w:tblCellMar>
      </w:tblPr>
      <w:tblGrid>
        <w:gridCol w:w="1838"/>
        <w:gridCol w:w="196"/>
        <w:gridCol w:w="691"/>
        <w:gridCol w:w="256"/>
        <w:gridCol w:w="196"/>
        <w:gridCol w:w="601"/>
        <w:gridCol w:w="256"/>
        <w:gridCol w:w="196"/>
        <w:gridCol w:w="601"/>
        <w:gridCol w:w="146"/>
        <w:gridCol w:w="243"/>
        <w:gridCol w:w="478"/>
        <w:gridCol w:w="256"/>
        <w:gridCol w:w="196"/>
        <w:gridCol w:w="691"/>
        <w:gridCol w:w="256"/>
        <w:gridCol w:w="196"/>
        <w:gridCol w:w="691"/>
        <w:gridCol w:w="256"/>
        <w:gridCol w:w="196"/>
        <w:gridCol w:w="601"/>
        <w:gridCol w:w="146"/>
        <w:gridCol w:w="243"/>
        <w:gridCol w:w="478"/>
        <w:gridCol w:w="301"/>
      </w:tblGrid>
      <w:tr>
        <w:trPr/>
        <w:tc>
          <w:tcPr>
            <w:tcW w:w="1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Subscription cost of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subscription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subscription cost of revenue for the three and six months ended June 30, 2025 compared to the same period in 2024 was primarily due to the following:</w:t>
        <w:br/>
        <w:t> </w:t>
      </w:r>
    </w:p>
    <w:tbl>
      <w:tblPr>
        <w:tblW w:w="7038" w:type="dxa"/>
        <w:jc w:val="left"/>
        <w:tblInd w:w="0" w:type="dxa"/>
        <w:tblLayout w:type="fixed"/>
        <w:tblCellMar>
          <w:top w:w="28" w:type="dxa"/>
          <w:left w:w="28" w:type="dxa"/>
          <w:bottom w:w="28" w:type="dxa"/>
          <w:right w:w="28" w:type="dxa"/>
        </w:tblCellMar>
      </w:tblPr>
      <w:tblGrid>
        <w:gridCol w:w="4636"/>
        <w:gridCol w:w="264"/>
        <w:gridCol w:w="846"/>
        <w:gridCol w:w="166"/>
        <w:gridCol w:w="217"/>
        <w:gridCol w:w="698"/>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hosting costs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 and hosting costs increased primarily due to growth in our Customer base from 228,054 as of June 30, 2024 to 267,982 as of June 30, 2025. We also saw higher subscription and hosting costs as we continued to support the growth of our customer base and increased usage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acquisitions of Frame AI and Dashworks in 2025. Employee-related costs decreased as a result of improved resource alignment and operational efficiencies. Allocated overhead expenses decreased primarily due to the decreased proportional allocation of shared company expenses associated with headcount in subscription cost of revenue.</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 and hosting costs increased primarily due to growth in our Customer base from 228,054 as of June 30, 2024 to 267,982 as of June 30, 2025. We also saw higher subscription and hosting costs as we continued to support the growth of our customer base and increased usage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acquisitions of Frame AI and Dashworks in 2025. Employee-related costs decreased as a result of improved resource alignment and operational efficiencies. Allocated overhead expenses decreased primarily due to the decreased proportional allocation of shared company expenses associated with headcount in subscription cost of revenue.</w:t>
        <w:br/>
        <w:t> </w:t>
      </w:r>
    </w:p>
    <w:tbl>
      <w:tblPr>
        <w:tblW w:w="10205" w:type="dxa"/>
        <w:jc w:val="left"/>
        <w:tblInd w:w="0" w:type="dxa"/>
        <w:tblLayout w:type="fixed"/>
        <w:tblCellMar>
          <w:top w:w="28" w:type="dxa"/>
          <w:left w:w="28" w:type="dxa"/>
          <w:bottom w:w="28" w:type="dxa"/>
          <w:right w:w="28" w:type="dxa"/>
        </w:tblCellMar>
      </w:tblPr>
      <w:tblGrid>
        <w:gridCol w:w="2288"/>
        <w:gridCol w:w="196"/>
        <w:gridCol w:w="601"/>
        <w:gridCol w:w="256"/>
        <w:gridCol w:w="196"/>
        <w:gridCol w:w="601"/>
        <w:gridCol w:w="256"/>
        <w:gridCol w:w="196"/>
        <w:gridCol w:w="511"/>
        <w:gridCol w:w="146"/>
        <w:gridCol w:w="243"/>
        <w:gridCol w:w="478"/>
        <w:gridCol w:w="256"/>
        <w:gridCol w:w="196"/>
        <w:gridCol w:w="601"/>
        <w:gridCol w:w="256"/>
        <w:gridCol w:w="196"/>
        <w:gridCol w:w="601"/>
        <w:gridCol w:w="256"/>
        <w:gridCol w:w="196"/>
        <w:gridCol w:w="511"/>
        <w:gridCol w:w="146"/>
        <w:gridCol w:w="307"/>
        <w:gridCol w:w="414"/>
        <w:gridCol w:w="301"/>
      </w:tblGrid>
      <w:tr>
        <w:trPr/>
        <w:tc>
          <w:tcPr>
            <w:tcW w:w="2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services and other cost</w:t>
              <w:br/>
              <w:t>   of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Percentage of professional services </w:t>
              <w:br/>
              <w:t>  and other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professional services and other cost of revenue for three and six months ended June 30, 2025 compared to the same period in 2024 was primarily due to the following: </w:t>
        <w:br/>
        <w:t> </w:t>
      </w:r>
    </w:p>
    <w:tbl>
      <w:tblPr>
        <w:tblW w:w="7038" w:type="dxa"/>
        <w:jc w:val="left"/>
        <w:tblInd w:w="0" w:type="dxa"/>
        <w:tblLayout w:type="fixed"/>
        <w:tblCellMar>
          <w:top w:w="28" w:type="dxa"/>
          <w:left w:w="28" w:type="dxa"/>
          <w:bottom w:w="28" w:type="dxa"/>
          <w:right w:w="28" w:type="dxa"/>
        </w:tblCellMar>
      </w:tblPr>
      <w:tblGrid>
        <w:gridCol w:w="4636"/>
        <w:gridCol w:w="299"/>
        <w:gridCol w:w="811"/>
        <w:gridCol w:w="166"/>
        <w:gridCol w:w="229"/>
        <w:gridCol w:w="68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Commerce payment processing fees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Commerce payment processing fees increased due to higher payment volume and merchant activity. Amortization of capitalized software development costs increased as we continued to increase functionality with our internally built software platform. Amortization of acquired technology increased due to the amortization of acquired technology associated with our acquisitions of Cacheflow in the fourth quarter of 2024. Allocated overhead expenses decreased primarily due to the decreased proportional allocation of shared company expenses associated with headcount in subscription cost of revenue. Employee-related costs decreased as we continue to leverage our Solutions Partners to deliver on-boarding and other professional services.</w:t>
        <w:b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Commerce payment processing fees increased due to higher payment volume and merchant activity. Amortization of capitalized software development costs increased as we continued to increase functionality with our internally built software platform. Amortization of acquired technology increased due to the amortization of acquired technology associated with our acquisitions of Cacheflow in the fourth quarter of 2024. Allocated overhead expenses decreased primarily due to the decreased proportional allocation of shared company expenses associated with headcount in subscription cost of revenue. Employee-related costs decreased as we continue to leverage our Solutions Partners to deliver on-boarding and other professional services.</w:t>
        <w:b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1748"/>
        <w:gridCol w:w="196"/>
        <w:gridCol w:w="691"/>
        <w:gridCol w:w="256"/>
        <w:gridCol w:w="196"/>
        <w:gridCol w:w="691"/>
        <w:gridCol w:w="256"/>
        <w:gridCol w:w="196"/>
        <w:gridCol w:w="601"/>
        <w:gridCol w:w="146"/>
        <w:gridCol w:w="243"/>
        <w:gridCol w:w="478"/>
        <w:gridCol w:w="256"/>
        <w:gridCol w:w="196"/>
        <w:gridCol w:w="691"/>
        <w:gridCol w:w="256"/>
        <w:gridCol w:w="196"/>
        <w:gridCol w:w="691"/>
        <w:gridCol w:w="256"/>
        <w:gridCol w:w="196"/>
        <w:gridCol w:w="601"/>
        <w:gridCol w:w="146"/>
        <w:gridCol w:w="243"/>
        <w:gridCol w:w="478"/>
        <w:gridCol w:w="301"/>
      </w:tblGrid>
      <w:tr>
        <w:trPr/>
        <w:tc>
          <w:tcPr>
            <w:tcW w:w="1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457,438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research and development expense for the three and six months ended June 30, 2025 compared to the same period in 2024 was primarily due to the following:</w:t>
      </w:r>
    </w:p>
    <w:tbl>
      <w:tblPr>
        <w:tblW w:w="4853" w:type="dxa"/>
        <w:jc w:val="left"/>
        <w:tblInd w:w="0" w:type="dxa"/>
        <w:tblLayout w:type="fixed"/>
        <w:tblCellMar>
          <w:top w:w="28" w:type="dxa"/>
          <w:left w:w="28" w:type="dxa"/>
          <w:bottom w:w="28" w:type="dxa"/>
          <w:right w:w="28" w:type="dxa"/>
        </w:tblCellMar>
      </w:tblPr>
      <w:tblGrid>
        <w:gridCol w:w="2491"/>
        <w:gridCol w:w="264"/>
        <w:gridCol w:w="846"/>
        <w:gridCol w:w="146"/>
        <w:gridCol w:w="217"/>
        <w:gridCol w:w="69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and increased proportional allocation of shared company expenses associated with headcount in research and development. Professional fees increased due to an increase in the use of third party services and contractors as we continued to grow our engineering organization.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b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and increased proportional allocation of shared company expenses associated with headcount in research and development. Professional fees increased due to an increase in the use of third party services and contractors as we continued to grow our engineering organization.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748"/>
        <w:gridCol w:w="196"/>
        <w:gridCol w:w="691"/>
        <w:gridCol w:w="256"/>
        <w:gridCol w:w="196"/>
        <w:gridCol w:w="691"/>
        <w:gridCol w:w="256"/>
        <w:gridCol w:w="196"/>
        <w:gridCol w:w="601"/>
        <w:gridCol w:w="146"/>
        <w:gridCol w:w="243"/>
        <w:gridCol w:w="478"/>
        <w:gridCol w:w="256"/>
        <w:gridCol w:w="196"/>
        <w:gridCol w:w="691"/>
        <w:gridCol w:w="256"/>
        <w:gridCol w:w="196"/>
        <w:gridCol w:w="691"/>
        <w:gridCol w:w="256"/>
        <w:gridCol w:w="196"/>
        <w:gridCol w:w="601"/>
        <w:gridCol w:w="146"/>
        <w:gridCol w:w="243"/>
        <w:gridCol w:w="478"/>
        <w:gridCol w:w="301"/>
      </w:tblGrid>
      <w:tr>
        <w:trPr/>
        <w:tc>
          <w:tcPr>
            <w:tcW w:w="1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594,081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sales and marketing expense for the three and six months ended June 30, 2025 compared to the same period in 2024 was primarily due to the following:</w:t>
        <w:br/>
        <w:t> </w:t>
      </w:r>
    </w:p>
    <w:tbl>
      <w:tblPr>
        <w:tblW w:w="4993" w:type="dxa"/>
        <w:jc w:val="left"/>
        <w:tblInd w:w="0" w:type="dxa"/>
        <w:tblLayout w:type="fixed"/>
        <w:tblCellMar>
          <w:top w:w="28" w:type="dxa"/>
          <w:left w:w="28" w:type="dxa"/>
          <w:bottom w:w="28" w:type="dxa"/>
          <w:right w:w="28" w:type="dxa"/>
        </w:tblCellMar>
      </w:tblPr>
      <w:tblGrid>
        <w:gridCol w:w="2611"/>
        <w:gridCol w:w="264"/>
        <w:gridCol w:w="846"/>
        <w:gridCol w:w="166"/>
        <w:gridCol w:w="217"/>
        <w:gridCol w:w="698"/>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programs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Solutions Partner commissions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Solutions Partner commissions decreased as we changed the duration of lifetime commissions for certain Solutions Partner to better align with the value delivered to customers. The decrease from the change in duration of commissions was offset by increased revenue generated through our Solutions Partners.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Solutions Partner commissions increased as a result of increased revenue generated through our Solutions Partner, offset by a decrease in the second quarter of 2025 as we changed the duration of lifetime commissions for certain Solutions Partner to better align with the value delivered to customers.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1928"/>
        <w:gridCol w:w="196"/>
        <w:gridCol w:w="601"/>
        <w:gridCol w:w="256"/>
        <w:gridCol w:w="196"/>
        <w:gridCol w:w="601"/>
        <w:gridCol w:w="256"/>
        <w:gridCol w:w="196"/>
        <w:gridCol w:w="601"/>
        <w:gridCol w:w="146"/>
        <w:gridCol w:w="243"/>
        <w:gridCol w:w="478"/>
        <w:gridCol w:w="256"/>
        <w:gridCol w:w="196"/>
        <w:gridCol w:w="691"/>
        <w:gridCol w:w="256"/>
        <w:gridCol w:w="196"/>
        <w:gridCol w:w="691"/>
        <w:gridCol w:w="256"/>
        <w:gridCol w:w="196"/>
        <w:gridCol w:w="601"/>
        <w:gridCol w:w="146"/>
        <w:gridCol w:w="243"/>
        <w:gridCol w:w="478"/>
        <w:gridCol w:w="301"/>
      </w:tblGrid>
      <w:tr>
        <w:trPr/>
        <w:tc>
          <w:tcPr>
            <w:tcW w:w="19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general and administrative expense for the three and six months ended June 30, 2025 compared to the same period in 2024 was primarily due to the following: </w:t>
        <w:br/>
        <w:t> </w:t>
      </w:r>
    </w:p>
    <w:tbl>
      <w:tblPr>
        <w:tblW w:w="4853" w:type="dxa"/>
        <w:jc w:val="left"/>
        <w:tblInd w:w="0" w:type="dxa"/>
        <w:tblLayout w:type="fixed"/>
        <w:tblCellMar>
          <w:top w:w="28" w:type="dxa"/>
          <w:left w:w="28" w:type="dxa"/>
          <w:bottom w:w="28" w:type="dxa"/>
          <w:right w:w="28" w:type="dxa"/>
        </w:tblCellMar>
      </w:tblPr>
      <w:tblGrid>
        <w:gridCol w:w="2491"/>
        <w:gridCol w:w="264"/>
        <w:gridCol w:w="846"/>
        <w:gridCol w:w="146"/>
        <w:gridCol w:w="217"/>
        <w:gridCol w:w="69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card fees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costs increased as a result of increased headcount as we grew our business and required additional personnel to support our expanded operations. Customer credit card fees increased due to increased customer transactions as we continued to grow our business. Professional fees increased primarily due to increase in the use of third-party services and contractors. Allocated overhead expenses increased due to an increase in shared company expenses associated with our systems and infrastructure as we continued to grow our business.</w:t>
        <w:b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Employee-related costs increased as a result of increased headcount as we grew our business and required additional personnel to support our expanded operations. Customer credit card fees increased due to increased customer transactions as we continued to grow our business. Professional fees increased primarily due to increase in the use of third-party services and contractors. Allocated overhead expenses increased due to an increase in shared company expenses associated with our systems and infrastructure as we continued to grow our business.</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Restructuring </w:t>
        <w:br/>
      </w:r>
      <w:r>
        <w:rPr>
          <w:rFonts w:ascii="Times New Roman" w:hAnsi="Times New Roman"/>
          <w:color w:val="000000"/>
          <w:sz w:val="20"/>
        </w:rPr>
        <w:t> </w:t>
      </w:r>
    </w:p>
    <w:tbl>
      <w:tblPr>
        <w:tblW w:w="9051" w:type="dxa"/>
        <w:jc w:val="left"/>
        <w:tblInd w:w="0" w:type="dxa"/>
        <w:tblLayout w:type="fixed"/>
        <w:tblCellMar>
          <w:top w:w="28" w:type="dxa"/>
          <w:left w:w="28" w:type="dxa"/>
          <w:bottom w:w="28" w:type="dxa"/>
          <w:right w:w="28" w:type="dxa"/>
        </w:tblCellMar>
      </w:tblPr>
      <w:tblGrid>
        <w:gridCol w:w="2026"/>
        <w:gridCol w:w="196"/>
        <w:gridCol w:w="511"/>
        <w:gridCol w:w="146"/>
        <w:gridCol w:w="196"/>
        <w:gridCol w:w="511"/>
        <w:gridCol w:w="146"/>
        <w:gridCol w:w="268"/>
        <w:gridCol w:w="393"/>
        <w:gridCol w:w="146"/>
        <w:gridCol w:w="307"/>
        <w:gridCol w:w="414"/>
        <w:gridCol w:w="256"/>
        <w:gridCol w:w="196"/>
        <w:gridCol w:w="511"/>
        <w:gridCol w:w="146"/>
        <w:gridCol w:w="196"/>
        <w:gridCol w:w="511"/>
        <w:gridCol w:w="146"/>
        <w:gridCol w:w="226"/>
        <w:gridCol w:w="435"/>
        <w:gridCol w:w="146"/>
        <w:gridCol w:w="243"/>
        <w:gridCol w:w="478"/>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charges in the three and six months ended June 30, 2025 and 2024 consisted of variable facilities-related costs on unused space. </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Interest income </w:t>
        <w:br/>
      </w:r>
      <w:r>
        <w:rPr>
          <w:rFonts w:ascii="Times New Roman" w:hAnsi="Times New Roman"/>
          <w:color w:val="000000"/>
          <w:sz w:val="20"/>
        </w:rPr>
        <w:t> </w:t>
      </w:r>
    </w:p>
    <w:tbl>
      <w:tblPr>
        <w:tblW w:w="10117" w:type="dxa"/>
        <w:jc w:val="left"/>
        <w:tblInd w:w="0" w:type="dxa"/>
        <w:tblLayout w:type="fixed"/>
        <w:tblCellMar>
          <w:top w:w="28" w:type="dxa"/>
          <w:left w:w="28" w:type="dxa"/>
          <w:bottom w:w="28" w:type="dxa"/>
          <w:right w:w="28" w:type="dxa"/>
        </w:tblCellMar>
      </w:tblPr>
      <w:tblGrid>
        <w:gridCol w:w="2026"/>
        <w:gridCol w:w="196"/>
        <w:gridCol w:w="601"/>
        <w:gridCol w:w="256"/>
        <w:gridCol w:w="196"/>
        <w:gridCol w:w="601"/>
        <w:gridCol w:w="256"/>
        <w:gridCol w:w="196"/>
        <w:gridCol w:w="571"/>
        <w:gridCol w:w="166"/>
        <w:gridCol w:w="213"/>
        <w:gridCol w:w="508"/>
        <w:gridCol w:w="316"/>
        <w:gridCol w:w="196"/>
        <w:gridCol w:w="601"/>
        <w:gridCol w:w="256"/>
        <w:gridCol w:w="196"/>
        <w:gridCol w:w="601"/>
        <w:gridCol w:w="256"/>
        <w:gridCol w:w="204"/>
        <w:gridCol w:w="457"/>
        <w:gridCol w:w="166"/>
        <w:gridCol w:w="261"/>
        <w:gridCol w:w="460"/>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during the three and six months ended June 30, 2025 is primarily due to lower average investment balances driven by cash outlays from our 2025 Notes settlements and share repurchase program.</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w:t>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46" w:type="dxa"/>
        <w:jc w:val="left"/>
        <w:tblInd w:w="0" w:type="dxa"/>
        <w:tblLayout w:type="fixed"/>
        <w:tblCellMar>
          <w:top w:w="28" w:type="dxa"/>
          <w:left w:w="28" w:type="dxa"/>
          <w:bottom w:w="28" w:type="dxa"/>
          <w:right w:w="28" w:type="dxa"/>
        </w:tblCellMar>
      </w:tblPr>
      <w:tblGrid>
        <w:gridCol w:w="2026"/>
        <w:gridCol w:w="196"/>
        <w:gridCol w:w="436"/>
        <w:gridCol w:w="166"/>
        <w:gridCol w:w="196"/>
        <w:gridCol w:w="436"/>
        <w:gridCol w:w="166"/>
        <w:gridCol w:w="226"/>
        <w:gridCol w:w="435"/>
        <w:gridCol w:w="146"/>
        <w:gridCol w:w="243"/>
        <w:gridCol w:w="478"/>
        <w:gridCol w:w="256"/>
        <w:gridCol w:w="196"/>
        <w:gridCol w:w="436"/>
        <w:gridCol w:w="166"/>
        <w:gridCol w:w="196"/>
        <w:gridCol w:w="571"/>
        <w:gridCol w:w="166"/>
        <w:gridCol w:w="204"/>
        <w:gridCol w:w="457"/>
        <w:gridCol w:w="166"/>
        <w:gridCol w:w="213"/>
        <w:gridCol w:w="508"/>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decreased due to the early conversion of a portion of our 2025 Notes during the three and six months ended June 30, 2025 and settlement of our 2025 Notes upon maturity in June 2025. </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Other income (expense)</w:t>
        <w:br/>
      </w:r>
      <w:r>
        <w:rPr>
          <w:rFonts w:ascii="Times New Roman" w:hAnsi="Times New Roman"/>
          <w:color w:val="000000"/>
          <w:sz w:val="20"/>
        </w:rPr>
        <w:t> </w:t>
      </w:r>
    </w:p>
    <w:tbl>
      <w:tblPr>
        <w:tblW w:w="9687" w:type="dxa"/>
        <w:jc w:val="left"/>
        <w:tblInd w:w="0" w:type="dxa"/>
        <w:tblLayout w:type="fixed"/>
        <w:tblCellMar>
          <w:top w:w="28" w:type="dxa"/>
          <w:left w:w="28" w:type="dxa"/>
          <w:bottom w:w="28" w:type="dxa"/>
          <w:right w:w="28" w:type="dxa"/>
        </w:tblCellMar>
      </w:tblPr>
      <w:tblGrid>
        <w:gridCol w:w="2026"/>
        <w:gridCol w:w="196"/>
        <w:gridCol w:w="511"/>
        <w:gridCol w:w="146"/>
        <w:gridCol w:w="196"/>
        <w:gridCol w:w="511"/>
        <w:gridCol w:w="146"/>
        <w:gridCol w:w="204"/>
        <w:gridCol w:w="457"/>
        <w:gridCol w:w="166"/>
        <w:gridCol w:w="213"/>
        <w:gridCol w:w="508"/>
        <w:gridCol w:w="316"/>
        <w:gridCol w:w="196"/>
        <w:gridCol w:w="571"/>
        <w:gridCol w:w="166"/>
        <w:gridCol w:w="196"/>
        <w:gridCol w:w="601"/>
        <w:gridCol w:w="256"/>
        <w:gridCol w:w="196"/>
        <w:gridCol w:w="661"/>
        <w:gridCol w:w="166"/>
        <w:gridCol w:w="180"/>
        <w:gridCol w:w="541"/>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 in other income (expense) during the three and six months ended June 30, 2025 is primarily due to the following: </w:t>
        <w:br/>
        <w:t> </w:t>
      </w:r>
    </w:p>
    <w:tbl>
      <w:tblPr>
        <w:tblW w:w="5450" w:type="dxa"/>
        <w:jc w:val="left"/>
        <w:tblInd w:w="0" w:type="dxa"/>
        <w:tblLayout w:type="fixed"/>
        <w:tblCellMar>
          <w:top w:w="28" w:type="dxa"/>
          <w:left w:w="28" w:type="dxa"/>
          <w:bottom w:w="28" w:type="dxa"/>
          <w:right w:w="28" w:type="dxa"/>
        </w:tblCellMar>
      </w:tblPr>
      <w:tblGrid>
        <w:gridCol w:w="3016"/>
        <w:gridCol w:w="338"/>
        <w:gridCol w:w="772"/>
        <w:gridCol w:w="166"/>
        <w:gridCol w:w="211"/>
        <w:gridCol w:w="73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3"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and losses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strategic investments</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strategic investments</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 in foreign currency gains and losses transactions is primarily attributable to the value of the U.S. Dollar relative to the Euro and British Pound Sterling. The decrease in the impairment of strategic investments is due to an impairment of $0.5 million in the three months ended June 30, 2024 that did not occur in 2025. The decrease in gain on strategic investments is due to gains of $2.1 million from observable price changes in the value of certain strategic investments in the three months ended June 30, 2024 compared to $1.8 million in the three months ended June 30, 2025.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 in foreign currency gains and losses transactions is primarily attributable to the value of the U.S. Dollar relative to the Euro and British Pound Sterling. The decrease in the impairment of strategic investments is due to an impairment of $4.1 million in the six months ended June 30, 2024 compared to $1.6 million in the six months ended June 30, 2025. The decrease in gain on strategic investments is due to gains of $18.5 million from observable price changes in the value of certain strategic investments in the six months ended June 30, 2024 compared to $1.9 million in the six months ended June 30, 2025.</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1987"/>
        <w:gridCol w:w="196"/>
        <w:gridCol w:w="511"/>
        <w:gridCol w:w="308"/>
        <w:gridCol w:w="196"/>
        <w:gridCol w:w="661"/>
        <w:gridCol w:w="256"/>
        <w:gridCol w:w="196"/>
        <w:gridCol w:w="601"/>
        <w:gridCol w:w="146"/>
        <w:gridCol w:w="180"/>
        <w:gridCol w:w="541"/>
        <w:gridCol w:w="308"/>
        <w:gridCol w:w="196"/>
        <w:gridCol w:w="571"/>
        <w:gridCol w:w="256"/>
        <w:gridCol w:w="196"/>
        <w:gridCol w:w="661"/>
        <w:gridCol w:w="308"/>
        <w:gridCol w:w="196"/>
        <w:gridCol w:w="511"/>
        <w:gridCol w:w="146"/>
        <w:gridCol w:w="213"/>
        <w:gridCol w:w="508"/>
        <w:gridCol w:w="356"/>
      </w:tblGrid>
      <w:tr>
        <w:trPr/>
        <w:tc>
          <w:tcPr>
            <w:tcW w:w="1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w:t>
              <w:br/>
              <w:t> Ended 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w:t>
              <w:br/>
              <w:t>Ended June 30,</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(13,538</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income tax expense in the three and six months ended June 30, 2025 was primarily driven by the timing of when our U.S. entity realizes pre-tax earnings and losses throughout the year.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was signed into law in the U.S., which contains a broad range of tax reform provisions affecting businesses. We are evaluating the full effects of the legislation on our estimated annual effective tax rate and cash tax position. As the legislation was signed into law after the close of our second quarter, any impacts are not included in our results for the six months ended June 30, 2025.</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sources of liquidity to date have been cash and cash equivalents, net accounts receivable, our common stock offerings, and our convertible notes offerings.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shows cash and cash equivalents, working capital, net cash and cash equivalents provided by operating activities, net cash and cash equivalents used in investing activities, and net cash and cash equivalents provided by financing activities for the six months ended June 30, 2025 and 2024. </w:t>
        <w:br/>
        <w:t> </w:t>
      </w:r>
    </w:p>
    <w:tbl>
      <w:tblPr>
        <w:tblW w:w="8739" w:type="dxa"/>
        <w:jc w:val="left"/>
        <w:tblInd w:w="0" w:type="dxa"/>
        <w:tblLayout w:type="fixed"/>
        <w:tblCellMar>
          <w:top w:w="28" w:type="dxa"/>
          <w:left w:w="28" w:type="dxa"/>
          <w:bottom w:w="28" w:type="dxa"/>
          <w:right w:w="28" w:type="dxa"/>
        </w:tblCellMar>
      </w:tblPr>
      <w:tblGrid>
        <w:gridCol w:w="5956"/>
        <w:gridCol w:w="146"/>
        <w:gridCol w:w="211"/>
        <w:gridCol w:w="931"/>
        <w:gridCol w:w="166"/>
        <w:gridCol w:w="146"/>
        <w:gridCol w:w="211"/>
        <w:gridCol w:w="781"/>
        <w:gridCol w:w="1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cash and cash equivalents at June 30, 2025 were held for working capital purposes. At June 30, 2025, $331.5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consists primarily of net loss adjusted for certain non-cash items, including stock-based compensation, depreciation and amortization and other non-cash charges,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six months ended June 30, 2025 primarily reflected our net loss of $25.1 million, $62.0 million of depreciation and amortization, $257.7 million in stock-based compensation, an impairment of strategic investments of $1.6 million, and $0.6 million of amortization of debt discount and issuance costs, offset by non-cash expenses that included $24.4 million accretion of bond discounts, a gain on strategic investments of $1.9 million, and $2.8 million of unrealized currency translation. Working capital sources of cash and cash equivalents primarily included a $63.9 million increase in deferred revenue primarily resulting from the growth in the number of customers invoiced during the period, a $30.0 million decrease in accounts receivable related to increased collection, a $9.1 million increase in accounts payable related to timing of bill payments, a $59.9 million increase in accrued expenses and other liabilities, and a $12.8 million decrease in right-of-use asset. These sources of cash and cash equivalents were offset by a $50.1 million increase in prepaid expenses and other assets, a $17.7 million decrease in operating lease liabilities, and a $49.6 million increase in deferred commissions.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six months ended June 30, 2024 primarily reflected our net loss of $8.5 million, $43.4 million of depreciation and amortization, $240.1 million in stock-based compensation, an impairment of strategic investments of $4.1 million, and $1.0 million of amortization of debt discount and issuance costs, offset by non-cash expenses that included $23.1 million accretion of bond discounts, a gain on strategic investments of $18.5 million, and $0.9 million of unrealized currency translation. Working capital sources of cash and cash equivalents primarily included a $44.3 million increase in deferred revenue primarily resulting from the growth in the number of customers invoiced during the period, a $18.4 million decrease in accounts receivable related to increased collection, a $15.0 million increase in accrued expenses and other liabilities, and a $20.4 million decrease in right-of-use asset. These sources of cash and cash equivalents were offset by a $27.2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increase in prepaid expenses and other assets, a $23.2 million decrease in operating lease liabilities, a $40.1 million increase in deferred commissions, and a $0.2 million decrease in accounts payable related to timing of bill payments.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investing activities have consisted primarily of purchases and maturities of investments, property and equipment purchases, purchases of strategic investments, capitalization of software development costs, and business acquisitions. Capitalized software development costs are related to new products or improvements to our existing software platform that expands the functionality for 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investing activities during the six months ended June 30, 2025 consisted primarily of $1.3 billion received related to the maturity of investments, offset by $830.2 million purchases of investments, $29.4 million of purchased property and equipment, $18.8 million purchases of strategic investments, $69.8 million related to business acquisitions, and $65.9 million of capitalized software development costs.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investing activities during the six months ended June 30, 2024 consisted primarily of $849.6 million received related to the maturity of investments and $1.9 million of proceeds from a net working capital settlement, offset by cash used for $651.7 million purchases of investments, $14.1 million of purchased property and equipment, and $43.1 million of capitalized software development costs.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(Used in) Provided by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financing activities have consisted primarily of the repayment of our 2025 Notes, repurchases of our common stock, the issuance of common stock under our stock plans, and payments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2025 cash used in financing activities consisted of $125.0 million used for repurchases of our common stock, $459.8 million for repayments of the 2025 Notes attributable to the principal, and $13.8 million used for payment of employee taxes related to the net share settlement of stock-based awards, offset by $38.7 million of proceeds related to issuance of common stock under stock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2024 cash provided in financing activities consisted of $45.2 million of proceeds related to issuance of common stock under stock plans, offset by $13.5 million used for payment of employee taxes related to the net share settlement of stock-based awards.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 and Capital Resources Considerations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As of June 30, 2025, the total obligation for operating leases was $340.2 million, of which $56.7 million is expected in the next twelve months. As of June 30, 2025, our vendor commitment was $546.0 million, of which $221.8 million is expected in the next twelve months. See Note 12 for all obligations the Company is committed to in the notes to the consolidated financial statements included elsewhere in this Quarterly Report on Form 10-Q.</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jc w:val="left"/>
        <w:rPr>
          <w:rFonts w:ascii="Times New Roman" w:hAnsi="Times New Roman"/>
          <w:color w:val="000000"/>
          <w:sz w:val="20"/>
        </w:rPr>
      </w:pPr>
      <w:r>
        <w:rPr>
          <w:rFonts w:ascii="Times New Roman" w:hAnsi="Times New Roman"/>
          <w:color w:val="000000"/>
          <w:sz w:val="20"/>
        </w:rPr>
        <w:t>In May 2025, the Company’s Board of Directors authorized a share repurchase program for the repurchase of shares of the Company’s common stock, in an aggregate amount of up to $500 million (the “2025 Share Repurchase Program”) over a period of up to 12 months. All repurchases under the Share Repurchase Program are made through open market trades pursuant to 10b5-1 plans. The 2025 Share Repurchase Program does not obligate the Company to acquire a specified number of shares, and may be suspended, modified, or terminated at any time, and will be funded using the Company's cash and cash equivalents. During the three months ended June 30, 2025, the Company repurchased 0.2 million shares of its common stock at an average price of $577.13 per share, for an aggregate repurchase amount of $125.0 million. Between June 30, 2025 and the date of filing this Form 10-Q, the Company purchased 0.2 million shares of its common stock at an average price of $546.33 per share, for an aggregate repurchase amount of $125.0 million. As of the date of filing this report, $250.0 million remained available for future stock repurchases under the 2025 Share Repurchase Program. See Note 14 and Note 17 of the notes to consolidated financial statements included elsewhere in this Quarterly Report on Form 10-Q.</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As of June 30, 2025, we had a total of $2.7 million in letters of credit outstanding for office space. These irrevocable letters of credit are expected to remain in effect, in some cases, until 2029.</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 material off-balance sheet arrangements as of June 30, 2025 exclusive of items described above and indemnifications of officers, directors and employees for certain events or occurrences while the officer, director or employee is, or was, serving at our request in such capacity.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six months ended June 30, 2025 as compared to the critical accounting policies and estimates disclosed in our Annual Report on Form 10-K for the year ended December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the consolidated financial statements appearing elsewhere in this Quarterly Report on Form 10-Q.</w:t>
      </w:r>
    </w:p>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foreign currency risks related to our revenue, cost of revenue, and operating expenses denominated in currencies other than the U.S. dollar. Since we translate foreign currencies into U.S. dollars for financial reporting purposes, currency fluctuations can have an impact on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experienced and will continue to experience fluctuations in our net (loss) income as a result of transaction gains or losses related to revaluing monetary assets and liabilities that are denominated in currencies other than the functional currency of the entities in which they are recorded. Our hedging program allows us to mitigate foreign exchange impacts, such as exposure to currency exchange rates in connection with significant transactions denominated in currencies other than the U.S. dollar, by entering into derivatives transactions such as foreign exchange forwards. See Note 6 in the notes to the consolidated financial statements appearing elsewhere in this Quarterly Report on Form 10-Q for impact of the hedging program to our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Our cash and cash equivalents and short- and long-term investments are subject to market risk due to changes in interest rates. Fixed rate securities may have their market value adversely affected due to a rise in interest rates. As our short- and long-term investments are classified as available-for-sale, no gains or losses are recognized in our condensed consolidated statements of operations due to changes in interest rates unless such securities are sold prior to maturity or the decline in fair value is caused by expected credit losses. As of June 30, 2025, a hypothetical increase of 100-basis points in interest rates would not have a material impact on the value of our cash and cash equivalents or short- and long-term investments in our condensed consolidated financial statements. This estimate is based on a sensitivity model that measures market value changes when changes in interest rates occur. We do not currently hedge our interest rate exposure and do not enter into financial instruments for trading or speculative purposes. </w:t>
      </w:r>
    </w:p>
    <w:p>
      <w:pPr>
        <w:pStyle w:val="TextBody"/>
        <w:bidi w:val="0"/>
        <w:spacing w:before="240" w:after="283"/>
        <w:jc w:val="left"/>
        <w:rPr>
          <w:rFonts w:ascii="Times New Roman" w:hAnsi="Times New Roman"/>
          <w:color w:val="000000"/>
          <w:sz w:val="20"/>
        </w:rPr>
      </w:pPr>
      <w:bookmarkStart w:id="12" w:name="item_4_controls_procedures"/>
      <w:bookmarkEnd w:id="12"/>
      <w:r>
        <w:rPr>
          <w:rFonts w:ascii="Times New Roman" w:hAnsi="Times New Roman"/>
          <w:color w:val="000000"/>
          <w:sz w:val="20"/>
        </w:rPr>
        <w:t>Item 4. Controls and Procedures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Evaluation of Disclosure Controls and Procedures</w:t>
      </w:r>
      <w:r>
        <w:rPr>
          <w:rFonts w:ascii="Times New Roman" w:hAnsi="Times New Roman"/>
          <w:color w:val="000000"/>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Changes in Internal Control Over Financial Reporting</w:t>
      </w:r>
      <w:r>
        <w:rPr>
          <w:rFonts w:ascii="Times New Roman" w:hAnsi="Times New Roman"/>
          <w:color w:val="000000"/>
          <w:sz w:val="20"/>
        </w:rPr>
        <w:t xml:space="preserve">.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Inherent Limitations of Internal Controls</w:t>
      </w:r>
      <w:r>
        <w:rPr>
          <w:rFonts w:ascii="Times New Roman" w:hAnsi="Times New Roman"/>
          <w:color w:val="000000"/>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left"/>
        <w:rPr/>
      </w:pPr>
      <w:r>
        <w:rPr/>
        <w:t> </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and consumption-based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invoiced as a liability on our consolidated balance sheets.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market in which we operate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rFonts w:ascii="Times New Roman" w:hAnsi="Times New Roman"/>
          <w:color w:val="000000"/>
          <w:sz w:val="20"/>
        </w:rPr>
      </w:pPr>
      <w:r>
        <w:rPr>
          <w:rFonts w:ascii="Times New Roman" w:hAnsi="Times New Roman"/>
          <w:color w:val="000000"/>
          <w:sz w:val="20"/>
        </w:rPr>
        <w:t>We face intense competition from other software companies in the market we operate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service software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 customer platform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 </w:t>
      </w:r>
    </w:p>
    <w:p>
      <w:pPr>
        <w:pStyle w:val="TextBody"/>
        <w:bidi w:val="0"/>
        <w:jc w:val="left"/>
        <w:rPr>
          <w:rFonts w:ascii="Times New Roman" w:hAnsi="Times New Roman"/>
          <w:sz w:val="20"/>
        </w:rPr>
      </w:pPr>
      <w:r>
        <w:rPr>
          <w:rFonts w:ascii="Times New Roman" w:hAnsi="Times New Roman"/>
          <w:b/>
          <w:i/>
          <w:color w:val="000000"/>
          <w:sz w:val="20"/>
        </w:rPr>
        <w:t>We have experienced rapid growth and organizational change in recent periods and expect growth of headcount and operations over the long-term. If we fail to manage growth and organizational change effectively, we may be unable to execute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plan, maintain high levels of service or address competitive challenges adequately.</w:t>
      </w:r>
    </w:p>
    <w:p>
      <w:pPr>
        <w:pStyle w:val="TextBody"/>
        <w:bidi w:val="0"/>
        <w:jc w:val="left"/>
        <w:rPr>
          <w:rFonts w:ascii="Times New Roman" w:hAnsi="Times New Roman"/>
          <w:color w:val="000000"/>
          <w:sz w:val="20"/>
        </w:rPr>
      </w:pPr>
      <w:r>
        <w:rPr>
          <w:rFonts w:ascii="Times New Roman" w:hAnsi="Times New Roman"/>
          <w:color w:val="000000"/>
          <w:sz w:val="20"/>
        </w:rPr>
        <w:t>Our headcount and operations continue to grow. For example, we had 8,723 full-time employees as of June 30, 2025 and 8,246 as of December 31, 2024.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many of our employees work remotely from geographic areas across jurisdictions where we have offices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customer platform capabilities could harm our ability to increase our customer base and achieve broader market acceptance of our platform.</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customer platform capabilities, including our sales force and third-party channel partners. We will continue to dedicate significant resources to sales and marketing programs. The effectiveness of our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thought leadership position, our business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maintaining our thought leadership position in the customer platform space is an important element in attracting new customers. We devote significant resources to develop and maintain our thought leadership position, with a focus on identifying and interpreting emerging trends, shaping and guiding industry dialog and creating and sharing the best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marketing, sales, services, operations, commerce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development of the HubSpot brand is critical to achieving widespread awareness of our existing and future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and even if they do, any increased revenue may not offset the expenses we incurred in building our brand. If we fail to successfully promote and maintain our brand,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rFonts w:ascii="Times New Roman" w:hAnsi="Times New Roman"/>
          <w:color w:val="000000"/>
          <w:sz w:val="20"/>
        </w:rPr>
      </w:pPr>
      <w:r>
        <w:rPr>
          <w:rFonts w:ascii="Times New Roman" w:hAnsi="Times New Roman"/>
          <w:color w:val="000000"/>
          <w:sz w:val="20"/>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marketing software and related applications at lower prices, more efficiently, more conveniently or more securely, such technologies could adversely affect our ability to compete.</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jc w:val="left"/>
        <w:rPr>
          <w:rFonts w:ascii="Times New Roman" w:hAnsi="Times New Roman"/>
          <w:sz w:val="20"/>
        </w:rPr>
      </w:pPr>
      <w:r>
        <w:rPr>
          <w:rFonts w:ascii="Times New Roman" w:hAnsi="Times New Roman"/>
          <w:b/>
          <w:i/>
          <w:color w:val="000000"/>
          <w:sz w:val="20"/>
        </w:rPr>
        <w:t>Our ability to introduce new products and features, including new products and features that utilize AI,</w:t>
      </w:r>
      <w:r>
        <w:rPr>
          <w:rFonts w:ascii="Times New Roman" w:hAnsi="Times New Roman"/>
          <w:color w:val="000000"/>
          <w:sz w:val="20"/>
        </w:rPr>
        <w:t xml:space="preserve"> </w:t>
      </w:r>
      <w:r>
        <w:rPr>
          <w:rFonts w:ascii="Times New Roman" w:hAnsi="Times New Roman"/>
          <w:b/>
          <w:i/>
          <w:color w:val="000000"/>
          <w:sz w:val="20"/>
        </w:rPr>
        <w:t>is dependent on adequate research and development resources. If we do not adequately fund our research and development efforts, we may not be able to compete effectively and our business and operating results may be harmed.</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The development of next-generation solutions that utilize new and advanced features, including AI and machine learning, such as Breeze, involves making predictions regarding the willingness of the market to adopt such technologies over legacy solutions. The Company may be required to commit significant resources to developing new products, software and services, such as Breeze, before knowing whether such investment will result in products or services that the market will accept.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rFonts w:ascii="Times New Roman" w:hAnsi="Times New Roman"/>
          <w:color w:val="000000"/>
          <w:sz w:val="20"/>
        </w:rPr>
      </w:pPr>
      <w:r>
        <w:rPr>
          <w:rFonts w:ascii="Times New Roman" w:hAnsi="Times New Roman"/>
          <w:color w:val="000000"/>
          <w:sz w:val="20"/>
        </w:rPr>
        <w:t>Uncertainty around new and emerging AI applications such as generative AI content creation, including Breeze, may require additional investment in the development or acquisition of proprietary datasets, machine learning models and systems to test for accuracy, bias and other variables, which are often complex. Development of new approaches and processes to provide attribution or remuneration to content creators and building and/or integrating systems that enable creatives to have greater control over the use of their work in the development of AI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continue to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rFonts w:ascii="Times New Roman" w:hAnsi="Times New Roman"/>
          <w:color w:val="000000"/>
          <w:sz w:val="20"/>
        </w:rPr>
      </w:pPr>
      <w:r>
        <w:rPr>
          <w:rFonts w:ascii="Times New Roman" w:hAnsi="Times New Roman"/>
          <w:color w:val="000000"/>
          <w:sz w:val="20"/>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jc w:val="left"/>
        <w:rPr>
          <w:rFonts w:ascii="Times New Roman" w:hAnsi="Times New Roman"/>
          <w:color w:val="000000"/>
          <w:sz w:val="20"/>
        </w:rPr>
      </w:pPr>
      <w:r>
        <w:rPr>
          <w:rFonts w:ascii="Times New Roman" w:hAnsi="Times New Roman"/>
          <w:color w:val="000000"/>
          <w:sz w:val="20"/>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the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during the acquisition process, including data handling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 </w:t>
      </w:r>
    </w:p>
    <w:p>
      <w:pPr>
        <w:pStyle w:val="TextBody"/>
        <w:bidi w:val="0"/>
        <w:spacing w:before="0" w:after="160"/>
        <w:jc w:val="both"/>
        <w:rPr>
          <w:rFonts w:ascii="Times New Roman" w:hAnsi="Times New Roman"/>
          <w:sz w:val="20"/>
        </w:rPr>
      </w:pPr>
      <w:r>
        <w:rPr>
          <w:rFonts w:ascii="Times New Roman" w:hAnsi="Times New Roman"/>
          <w:b/>
          <w:i/>
          <w:color w:val="000000"/>
          <w:sz w:val="20"/>
        </w:rPr>
        <w:t>We are subject to risks associated with our strategic investments, including partial or complete loss of invested capital. Significant changes in the fair value of this portfolio, including changes in the valuation of our investments in privately held companies, could negatively impact our financial results.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made, and expect in the future to make, strategic investments in privately held companies and private limited partnerships. While we invest in companies that we believe have the potential to transform their industries, improve customer experiences, help us expand our solution ecosystem or support other corporate initiatives, we may still experience unforeseen brand or reputational harm associated with our investments. We may also experience challenges from regulatory authorities in connection with our investments, including from antitrust authorities who are increasingly scrutinizing technology investments, and which may lead to unforeseen expenditures or which may block, delay or impose undesirable conditions on transactions involving our investment portfolio. Our investments range from early-stage companies to more mature companies with established revenue streams and business models. Many such companies generate net losses and the market for their products, services or technologies may be slow to develop, and, therefore, they are dependent on the availability of later rounds of financing from banks or investors on favorable terms to continue their operations. Investments in early-stage companies are inherently speculative, as these companies may not yet be revenue-generating and could still be in the process of developing their products and services at the time of our investment. The financial success of our investment in any company or partnership is typically dependent on a liquidity event, such as a public offering, acquisition or other favorable market event reflecting appreciation to the cost of our initial investment. In certain cases, our ability to sell these investments may be impacted by contractual obligations to hold the securities for a set period of time after a public offering. All of our investments are subject to a risk of partial or total loss of invested capital.</w:t>
      </w:r>
    </w:p>
    <w:p>
      <w:pPr>
        <w:pStyle w:val="TextBody"/>
        <w:bidi w:val="0"/>
        <w:jc w:val="left"/>
        <w:rPr>
          <w:rFonts w:ascii="Times New Roman" w:hAnsi="Times New Roman"/>
          <w:color w:val="000000"/>
          <w:sz w:val="20"/>
        </w:rPr>
      </w:pPr>
      <w:r>
        <w:rPr>
          <w:rFonts w:ascii="Times New Roman" w:hAnsi="Times New Roman"/>
          <w:color w:val="000000"/>
          <w:sz w:val="20"/>
        </w:rPr>
        <w:t>We may experience future volatility in our consolidated statements of operations due to changes in market prices, observable price changes and impairments of our strategic investments. The resulting gains or losses could be material depending on market conditions and events, particularly in periods with economic uncertainty, inflation, geopolitical conflict, volatile public equity markets or unsettled global market conditions.</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rFonts w:ascii="Times New Roman" w:hAnsi="Times New Roman"/>
          <w:color w:val="000000"/>
          <w:sz w:val="20"/>
        </w:rPr>
      </w:pPr>
      <w:r>
        <w:rPr>
          <w:rFonts w:ascii="Times New Roman" w:hAnsi="Times New Roman"/>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 including tariffs or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 including changes in trade policies, including trade wars, tariffs or other trade restrictions or the threat of such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political instability or terrorist activities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Employee Matters</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works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rFonts w:ascii="Times New Roman" w:hAnsi="Times New Roman"/>
          <w:color w:val="000000"/>
          <w:sz w:val="20"/>
        </w:rPr>
      </w:pPr>
      <w:r>
        <w:rPr>
          <w:rFonts w:ascii="Times New Roman" w:hAnsi="Times New Roman"/>
          <w:color w:val="000000"/>
          <w:sz w:val="20"/>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our customer platform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worldwide. Many of the companies with which we compete for experienced personnel have greater resources than we do. Other companies that continue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rFonts w:ascii="Times New Roman" w:hAnsi="Times New Roman"/>
          <w:b/>
          <w:i/>
          <w:color w:val="000000"/>
          <w:sz w:val="20"/>
        </w:rPr>
      </w:pPr>
      <w:r>
        <w:rPr>
          <w:rFonts w:ascii="Times New Roman" w:hAnsi="Times New Roman"/>
          <w:b/>
          <w:i/>
          <w:color w:val="000000"/>
          <w:sz w:val="20"/>
        </w:rPr>
        <w:br/>
        <w:t>We are exposed to fluctuations in currency exchange rates that could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We face exposure to movements in currency exchange rates, which may cause our revenue and operating results to differ materially from expectations. As we have expanded our international operations, our exposure to exchange rate fluctuations has increased.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trade issues, such as trade wars, tariffs or other trade restrictions or the threat of such actions. Moreover, the potential for a U.S. federal government shutdown resulting from budgetary decisions, a prolonged continuing resolution, breach of the federal debt ceiling, or a potential U.S. sovereign default may increase uncertainty and volatility in the global economy and financial markets.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conflicts between Russia and Ukraine and in Israel, Gaza, and Iran. The effects of such conflicts,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rFonts w:ascii="Times New Roman" w:hAnsi="Times New Roman"/>
          <w:color w:val="000000"/>
          <w:sz w:val="20"/>
        </w:rPr>
      </w:pPr>
      <w:r>
        <w:rPr>
          <w:rFonts w:ascii="Times New Roman" w:hAnsi="Times New Roman"/>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rFonts w:ascii="Times New Roman" w:hAnsi="Times New Roman"/>
          <w:color w:val="000000"/>
          <w:sz w:val="20"/>
        </w:rPr>
      </w:pPr>
      <w:r>
        <w:rPr>
          <w:rFonts w:ascii="Times New Roman" w:hAnsi="Times New Roman"/>
          <w:color w:val="000000"/>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jc w:val="left"/>
        <w:rPr>
          <w:rFonts w:ascii="Times New Roman" w:hAnsi="Times New Roman"/>
          <w:b/>
          <w:i/>
          <w:color w:val="000000"/>
          <w:sz w:val="20"/>
        </w:rPr>
      </w:pPr>
      <w:r>
        <w:rPr>
          <w:rFonts w:ascii="Times New Roman" w:hAnsi="Times New Roman"/>
          <w:b/>
          <w:i/>
          <w:color w:val="000000"/>
          <w:sz w:val="20"/>
        </w:rPr>
        <w:t>Economic uncertainty may lead to decreased demand for our products and services and otherwise harm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Impacts of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rFonts w:ascii="Times New Roman" w:hAnsi="Times New Roman"/>
          <w:color w:val="000000"/>
          <w:sz w:val="20"/>
        </w:rPr>
      </w:pPr>
      <w:r>
        <w:rPr>
          <w:rFonts w:ascii="Times New Roman" w:hAnsi="Times New Roman"/>
          <w:color w:val="000000"/>
          <w:sz w:val="20"/>
        </w:rPr>
        <w:t>Economic weakness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jc w:val="left"/>
        <w:rPr>
          <w:rFonts w:ascii="Times New Roman" w:hAnsi="Times New Roman"/>
          <w:sz w:val="20"/>
        </w:rPr>
      </w:pPr>
      <w:r>
        <w:rPr>
          <w:rFonts w:ascii="Times New Roman" w:hAnsi="Times New Roman"/>
          <w:b/>
          <w:i/>
          <w:color w:val="000000"/>
          <w:sz w:val="20"/>
        </w:rPr>
        <w:br/>
        <w:t>Interruptions or delays in service from our third-party data center providers could impair our ability to deliver our platform to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customers, resulting in customer dissatisfaction, damage to our reputation, loss of customers, limited growth and reduction in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(“AWS”)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jc w:val="left"/>
        <w:rPr>
          <w:rFonts w:ascii="Times New Roman" w:hAnsi="Times New Roman"/>
          <w:color w:val="000000"/>
          <w:sz w:val="20"/>
        </w:rPr>
      </w:pPr>
      <w:r>
        <w:rPr>
          <w:rFonts w:ascii="Times New Roman" w:hAnsi="Times New Roman"/>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Similarly, security vulnerabilities or data breaches with our third-party providers could impact the security and availability of our platform.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 </w:t>
      </w:r>
    </w:p>
    <w:p>
      <w:pPr>
        <w:pStyle w:val="TextBody"/>
        <w:bidi w:val="0"/>
        <w:jc w:val="left"/>
        <w:rPr>
          <w:rFonts w:ascii="Times New Roman" w:hAnsi="Times New Roman"/>
          <w:color w:val="000000"/>
          <w:sz w:val="20"/>
        </w:rPr>
      </w:pPr>
      <w:r>
        <w:rPr>
          <w:rFonts w:ascii="Times New Roman" w:hAnsi="Times New Roman"/>
          <w:color w:val="000000"/>
          <w:sz w:val="20"/>
        </w:rPr>
        <w:t xml:space="preserve">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From time to time, we find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operating cost is from our third-party data hosting and transmission services, including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rFonts w:ascii="Times New Roman" w:hAnsi="Times New Roman"/>
          <w:color w:val="000000"/>
          <w:sz w:val="20"/>
        </w:rPr>
      </w:pPr>
      <w:r>
        <w:rPr>
          <w:rFonts w:ascii="Times New Roman" w:hAnsi="Times New Roman"/>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rFonts w:ascii="Times New Roman" w:hAnsi="Times New Roman"/>
          <w:color w:val="000000"/>
          <w:sz w:val="20"/>
        </w:rPr>
      </w:pPr>
      <w:r>
        <w:rPr>
          <w:rFonts w:ascii="Times New Roman" w:hAnsi="Times New Roman"/>
          <w:color w:val="000000"/>
          <w:sz w:val="20"/>
        </w:rPr>
        <w:t>Select functionality of our customer platform depends on our ability to deliver data, including search engine results and social media updates, provided by unaffiliated third parties, such as Meta, Google, LinkedIn and X.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rFonts w:ascii="Times New Roman" w:hAnsi="Times New Roman"/>
          <w:color w:val="000000"/>
          <w:sz w:val="20"/>
        </w:rPr>
      </w:pPr>
      <w:r>
        <w:rPr>
          <w:rFonts w:ascii="Times New Roman" w:hAnsi="Times New Roman"/>
          <w:color w:val="000000"/>
          <w:sz w:val="20"/>
        </w:rPr>
        <w:t xml:space="preserve">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rFonts w:ascii="Times New Roman" w:hAnsi="Times New Roman"/>
          <w:color w:val="000000"/>
          <w:sz w:val="20"/>
        </w:rPr>
      </w:pPr>
      <w:r>
        <w:rPr>
          <w:rFonts w:ascii="Times New Roman" w:hAnsi="Times New Roman"/>
          <w:color w:val="000000"/>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limited access restricted via just-in-time-access controls and least privilege access models to our databases, which store our customer data, and to our APIs to facilitate our rapid pace of product development and to support our customers. If such access, unauthorized access or our own operations, cause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further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supply chain attacks, business email compromises, computer malware, viruses, social engineering (including phishing), and other compromises are prevalent in our industry, the industries of certain of our service providers and our customers' industries. We have in the past experienced threats and security incidents related to our data and systems, and we may in the future experience other threats, compromises, breaches, or incidents.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with the expansion of remote work and resource access,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incidents, or compromises by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parties seeking unauthorized access to our or our customers' data, systems, or infrastructure, or to disrupt our operations or ability to provide our services. </w:t>
      </w:r>
    </w:p>
    <w:p>
      <w:pPr>
        <w:pStyle w:val="TextBody"/>
        <w:bidi w:val="0"/>
        <w:jc w:val="left"/>
        <w:rPr>
          <w:rFonts w:ascii="Times New Roman" w:hAnsi="Times New Roman"/>
          <w:color w:val="000000"/>
          <w:sz w:val="20"/>
        </w:rPr>
      </w:pPr>
      <w:r>
        <w:rPr>
          <w:rFonts w:ascii="Times New Roman" w:hAnsi="Times New Roman"/>
          <w:color w:val="000000"/>
          <w:sz w:val="20"/>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pStyle w:val="TextBody"/>
        <w:bidi w:val="0"/>
        <w:jc w:val="left"/>
        <w:rPr>
          <w:rFonts w:ascii="Times New Roman" w:hAnsi="Times New Roman"/>
          <w:color w:val="000000"/>
          <w:sz w:val="20"/>
        </w:rPr>
      </w:pPr>
      <w:r>
        <w:rPr>
          <w:rFonts w:ascii="Times New Roman" w:hAnsi="Times New Roman"/>
          <w:color w:val="000000"/>
          <w:sz w:val="20"/>
        </w:rPr>
        <w:t>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security incidents, including unauthorized access and transfers of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br/>
        <w:t>Our business may suffer if it is alleged or determined that our technology infringes the intellectual property rights of others.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regardless of their merit, can be time 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In our subscription agreements with customers, we agree to indemnify them against claims by a third party alleging infringement of a valid patent, registered copyright or registered trademark. Customers can also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copyrights and patents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cybersecurity, and online safety are rapidly evolving, and changes to such laws and regulations could require us to change features of our platform or restrict our customers’ ability to collect and use email addresses, page viewing data and other personal data, which may reduce demand for our platform or inhibit our improvement and development of our platform or its features, including AI models. Our failure to comply with federal, state and foreign privacy and cybersecurity laws and regulations could harm our ability to successfully operate our business and pursue our business goals.</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as amended by the California Privacy Rights Act (collective, the “CCPA”), among other things, requires covered companies to provide disclosures to California residents and afford such individuals the ability to opt out of the sales or sharing of their personal data. New and proposed regulations implementing the CCPA continue to evolve the standards of protection required by the CCPA. In addition to increasing our potential exposure to regulatory enforcement, the CCPA also provides for violations and a limited private right of action, which may increase our exposure to civil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Recently, plaintiffs’ attorneys have initiated a wave of demand letters, claims and class action lawsuits alleging companies’ use of online trackers, such as cookies and pixels, constitutes a violation of state wiretapping laws, primarily the California Invasion of Privacy Act (CIPA). So far, most of these claims have settled outside the courthouse, though a risk of costly litigation now exists for business practices that are very common.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landscape of privacy and cybersecurity regulation in the U.S. is increasingly complex. Numerous states have passed comprehensive privacy and data security laws, which impose obligations on covered businesses similar – but not identical – to those under the CCPA, and some states have passed privacy and cybersecurity laws governing specific sectors, technologies, or categories of personal data, such as laws regulating health data, children’s data, and online chatbots. Many of those states have also passed – or proposed to pass – laws and regulations that amend the standard of protection required by such laws. A number of other states have proposed similar privacy legislation, and the U.S. Congress has considered – and may reintroduce – federal privacy and cybersecurity legislation that may or may not preempt some or all of such U.S. state privacy laws, and may provide a private right of action. Through executive and legislative action, the federal government has also taken steps to restrict data transactions involving persons affiliated with China, Russia, Venezuela, and other countries of concern. For example, Executive Order 14117 on "Preventing Access to Americans' Bulk Sensitive Personal Data and United States Government-Related Data by Countries of Concern" as implemented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Department of Justice regulations issued in December 2024, prohibits data brokerage transactions involving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The evolving complexity of privacy and data security legislation in the U.S. may complicate our compliance efforts and further increase our risk of regulatory enforcement, penalties and litigation.</w:t>
      </w:r>
    </w:p>
    <w:p>
      <w:pPr>
        <w:pStyle w:val="TextBody"/>
        <w:bidi w:val="0"/>
        <w:jc w:val="left"/>
        <w:rPr>
          <w:rFonts w:ascii="Times New Roman" w:hAnsi="Times New Roman"/>
          <w:color w:val="000000"/>
          <w:sz w:val="20"/>
        </w:rPr>
      </w:pPr>
      <w:r>
        <w:rPr>
          <w:rFonts w:ascii="Times New Roman" w:hAnsi="Times New Roman"/>
          <w:color w:val="000000"/>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and AI services, we collect, process and share personal data, such as business contact information or other personal data individuals make available in their professional capacity. We may be subject to additional requirements under privacy and data protection laws that could lead to additional compliance costs, regulatory scrutiny,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rFonts w:ascii="Times New Roman" w:hAnsi="Times New Roman"/>
          <w:color w:val="000000"/>
          <w:sz w:val="20"/>
        </w:rPr>
      </w:pPr>
      <w:r>
        <w:rPr>
          <w:rFonts w:ascii="Times New Roman" w:hAnsi="Times New Roman"/>
          <w:color w:val="000000"/>
          <w:sz w:val="20"/>
        </w:rPr>
        <w:t xml:space="preserve">Until the remaining legal uncertainties regarding SCCs, DPF and other transfer mechanisms are settled, we will continue to face uncertainty as to whether our customers will be permitted to transfer personal data to the United States for processing by us as part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platform services. Our customers may view data transfer mechanisms as being too costly, too burdensome, too legally uncertain or otherwise objectionable and therefore decide not to do business with us.</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jc w:val="left"/>
        <w:rPr>
          <w:rFonts w:ascii="Times New Roman" w:hAnsi="Times New Roman"/>
          <w:color w:val="000000"/>
          <w:sz w:val="20"/>
        </w:rPr>
      </w:pPr>
      <w:r>
        <w:rPr>
          <w:rFonts w:ascii="Times New Roman" w:hAnsi="Times New Roman"/>
          <w:color w:val="000000"/>
          <w:sz w:val="20"/>
        </w:rPr>
        <w:t>We currently use and integrate AI technologies into our business processes and services. Development, use, and deployment of these technologies present risks and challenges that could affect our business. If we enable or use solutions that draw controversy due to perceived or actual negative societal impact or otherwise cause harm, we may experience brand or reputational harm, competitive harm, legal liability, and defensive costs and expenses.</w:t>
      </w:r>
    </w:p>
    <w:p>
      <w:pPr>
        <w:pStyle w:val="TextBody"/>
        <w:bidi w:val="0"/>
        <w:jc w:val="left"/>
        <w:rPr>
          <w:rFonts w:ascii="Times New Roman" w:hAnsi="Times New Roman"/>
          <w:color w:val="000000"/>
          <w:sz w:val="20"/>
        </w:rPr>
      </w:pPr>
      <w:r>
        <w:rPr>
          <w:rFonts w:ascii="Times New Roman" w:hAnsi="Times New Roman"/>
          <w:color w:val="000000"/>
          <w:sz w:val="20"/>
        </w:rPr>
        <w:t>A growing number of legislators and regulators are adopting laws and regulations addressing, and have focused enforcement efforts on the development and adoption of AI technologies and use of such technologies in compliance with ethical standards and societal expectations. Several states, including Colorado, California, and Texas passed laws that will take effect in 2026 to regulate various uses of AI, including to make consequential decisions, and to require companies to disclose sources of training data for AI technologies, among other requirements. In addition, U.S. states and the federal government have a wide variety of measures to 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 A proposed 10-year federal moratorium on the enforcement of certain state AI laws, which was included in the Trump Administration’s budget reconciliation bill was excluded from the One Big Beautiful Bill Act (“OBBBA”). This, in turn, may further stimulate AI regulation in the states, contributing to a complicated legislative patchwork.</w:t>
      </w:r>
    </w:p>
    <w:p>
      <w:pPr>
        <w:pStyle w:val="TextBody"/>
        <w:bidi w:val="0"/>
        <w:jc w:val="left"/>
        <w:rPr>
          <w:rFonts w:ascii="Times New Roman" w:hAnsi="Times New Roman"/>
          <w:color w:val="000000"/>
          <w:sz w:val="20"/>
        </w:rPr>
      </w:pPr>
      <w:r>
        <w:rPr>
          <w:rFonts w:ascii="Times New Roman" w:hAnsi="Times New Roman"/>
          <w:color w:val="000000"/>
          <w:sz w:val="20"/>
        </w:rPr>
        <w:t>Outside the U.S., lawmaking and regulation relating to AI is proceeding at a similar pace. In Europe, for example, the EU’s Artificial Intelligence Act (“AI Act”) entered into force on August 1, 2024 and, with some exceptions,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that are governed by the AI Act or other emerging regulations,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pStyle w:val="TextBody"/>
        <w:bidi w:val="0"/>
        <w:jc w:val="left"/>
        <w:rPr>
          <w:rFonts w:ascii="Times New Roman" w:hAnsi="Times New Roman"/>
          <w:color w:val="000000"/>
          <w:sz w:val="20"/>
        </w:rPr>
      </w:pPr>
      <w:r>
        <w:rPr>
          <w:rFonts w:ascii="Times New Roman" w:hAnsi="Times New Roman"/>
          <w:color w:val="000000"/>
          <w:sz w:val="20"/>
        </w:rPr>
        <w:t xml:space="preserve">The rapid evolution of AI technologies and regulatory frameworks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vendors have in turn incorporated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rFonts w:ascii="Times New Roman" w:hAnsi="Times New Roman"/>
          <w:color w:val="000000"/>
          <w:sz w:val="20"/>
        </w:rPr>
      </w:pPr>
      <w:r>
        <w:rPr>
          <w:rFonts w:ascii="Times New Roman" w:hAnsi="Times New Roman"/>
          <w:color w:val="000000"/>
          <w:sz w:val="20"/>
        </w:rPr>
        <w:t>As a provider of a cloud-based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apply or new statutes or regulations may be adopted in the future, any of which could expose us to further liability and increase our costs of doing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end-to-end payment solution, as well as our Stripe payment processing integration (“Payments”),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the senders of commercial emails and text messages, website owners and other activities, and could impact the use of our customer platform and potentially subject us to regulatory enforcement or private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and could impair our attractiveness to customers, which would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contractual terms to satisfy customer and regulatory requirements, or could cause the demand for and sales of our customer platform to decrease and adversely impact our financial results.</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0"/>
        </w:rPr>
        <w:t>Risks Related to Taxation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For example, on July 4, 2025, President Donald Trump signed the OBBBA into law. Key tax provisions include the restoration of 100% bonus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immediate expensing for domestic research and experimental expenditures, changes to the Section 163(j) interest limitations, updates to GILTI and FDII rules, amendments to energy credits, and expanded Section 162(m) aggregation requirements. The Company is currently evaluating the impact of these and other provisions of the OBBBA on the Company’s business.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rFonts w:ascii="Times New Roman" w:hAnsi="Times New Roman"/>
          <w:sz w:val="20"/>
        </w:rPr>
      </w:pPr>
      <w:r>
        <w:rPr>
          <w:rFonts w:ascii="Times New Roman" w:hAnsi="Times New Roman"/>
          <w:color w:val="000000"/>
          <w:sz w:val="20"/>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w:t>
      </w:r>
      <w:r>
        <w:rPr>
          <w:rFonts w:ascii="Times New Roman" w:hAnsi="Times New Roman"/>
          <w:color w:val="1D1C1D"/>
          <w:sz w:val="20"/>
        </w:rPr>
        <w:t>New global tax developments may have a material impact to our business, cash flows, or financial results. Such developments, may include certain Organization for Economic Co-operation and Development's proposals including the implementation of global minimum tax under the Pillar Two model rules, the European Commission’s and certain major jurisdictions’ heightened interest in and taxation of companies participating in the digital economy.</w:t>
      </w:r>
      <w:r>
        <w:rPr>
          <w:rFonts w:ascii="Times New Roman" w:hAnsi="Times New Roman"/>
          <w:color w:val="000000"/>
          <w:sz w:val="20"/>
        </w:rPr>
        <w:t xml:space="preserv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December 31, 2024, we had $640.0 million of U.S. federal and $723.7 million of state net operating loss carryforwards. U.S. federal net operating losses generated in taxable years beginning after December 31, 2017 have an indefinite carryforward and state net operating losses begin to expire in 2027. The state net operating loss carryforwards could expire unused and be unavailable to offset future income tax liabilities, which could adversely affect our profitability. In addition, under Section 382 and Section 383 of the Internal Revenue Code of 1986,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or other transactions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become consistently profitable or maintain or increase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net losses of $25.1 million for the six months ended June 30, 2025 and net losses of $8.5 million for the six months ended June 30, 2024. As of June 30, 2025 we had an accumulated deficit of $824.9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and general and administrative operations, the development and enhancement of our customer platform, scaling our data center infrastructure and services capabilities and expanding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10-Q, and unforeseen expenses, difficulties, complications and delays and other unknown events. If we are unable to achieve and sustain profitability, the market price of our common stock may decrease significantly.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June 30, 2025, we have invested $10.3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rFonts w:ascii="Times New Roman" w:hAnsi="Times New Roman"/>
          <w:color w:val="000000"/>
          <w:sz w:val="20"/>
        </w:rPr>
      </w:pPr>
      <w:r>
        <w:rPr>
          <w:rFonts w:ascii="Times New Roman" w:hAnsi="Times New Roman"/>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customer platform, increasing our existing customers’ use of our customer platform and providing our customers with excellent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 including economic sanctions, trade policy changes and restrictions, trade wars, tariffs, or the threat posed by such actions.</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services after the expiration of their contractual subscription period and some customers have elected not to renew. In addition, our customers may renew for fewer subscriptions, renew for shorter contract lengths or switch to lower cost offerings of our services. It is difficult to predict attrition rates given our varied customer base. Our attrition rates may increase or fluctuate as a result of various factors, including customer dissatisfaction with our services, customers’ spending levels, mix of customer base, competition, pricing increases or changes in the macroeconomic environment. If customers do not renew their subscriptions, do not purchase additional features or enhanced subscriptions or if attrition rates increase our operating results in future reporting periods may be significantly below the expectations of the public market, equity research analysts or investors, which could harm the price of our common stock.</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June 30, 2025. The market price of our common stock may fluctuate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our Notes or any other equity or equity-linked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and political stability.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cannot guarantee that our share repurchase program will be fully consummated or will enhance long-term stockholder value, and share repurchases could increase the volatility of the trading price of our common stock and diminish our cash reserves.</w:t>
      </w:r>
    </w:p>
    <w:p>
      <w:pPr>
        <w:pStyle w:val="TextBody"/>
        <w:bidi w:val="0"/>
        <w:jc w:val="left"/>
        <w:rPr>
          <w:rFonts w:ascii="Times New Roman" w:hAnsi="Times New Roman"/>
          <w:color w:val="000000"/>
          <w:sz w:val="20"/>
        </w:rPr>
      </w:pPr>
      <w:r>
        <w:rPr>
          <w:rFonts w:ascii="Times New Roman" w:hAnsi="Times New Roman"/>
          <w:color w:val="000000"/>
          <w:sz w:val="20"/>
        </w:rPr>
        <w:t>In May 2025, our Board of Directors authorized a share repurchase program under which we are authorized to purchase up to $500.0 million of our common stock from time to time (the “2025 Share Repurchase Program”). As of the date of filing of this report, a total of $250.0 million remained available for repurchase under the share repurchase program. Repurchases under the 2025 Share Repurchase Program are made in the open market, through privately negotiated transactions or other means, including pursuant to 10b5-1 plans, and in compliance with applicable securities laws and other requirements. The timing, manner, price, and amount of the 2025 Share Repurchase Program is subject to the discretion of our management. The 2025 Share Repurchase Program does not obligate us to acquire a specified number of shares, and may be suspended, modified, or terminated at any time, without prior notice. There can be no assurance that we will repurchase shares at favorable prices. Further, our share repurchases could affect the trading price of our common stock, increase its volatility, reduce our cash reserves, and may be suspended or terminated at any time, which may result in a lower market valuation of our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jc w:val="left"/>
        <w:rPr>
          <w:rFonts w:ascii="Times New Roman" w:hAnsi="Times New Roman"/>
          <w:color w:val="000000"/>
          <w:sz w:val="20"/>
        </w:rPr>
      </w:pPr>
      <w:r>
        <w:rPr>
          <w:rFonts w:ascii="Times New Roman" w:hAnsi="Times New Roman"/>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jc w:val="left"/>
        <w:rPr>
          <w:rFonts w:ascii="Times New Roman" w:hAnsi="Times New Roman"/>
          <w:color w:val="000000"/>
          <w:sz w:val="20"/>
        </w:rPr>
      </w:pPr>
      <w:r>
        <w:rPr>
          <w:rFonts w:ascii="Times New Roman" w:hAnsi="Times New Roman"/>
          <w:color w:val="000000"/>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While we have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of directors without stockholder approval and may contain voting, liquidation, dividend and other rights superior to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of directors,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majority vote of the holders of our outstanding common stock to amend specified provisions of our charter documents.</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jc w:val="left"/>
        <w:rPr>
          <w:rFonts w:ascii="Times New Roman" w:hAnsi="Times New Roman"/>
          <w:b/>
          <w:color w:val="000000"/>
          <w:sz w:val="20"/>
        </w:rPr>
      </w:pPr>
      <w:r>
        <w:rPr>
          <w:rFonts w:ascii="Times New Roman" w:hAnsi="Times New Roman"/>
          <w:b/>
          <w:color w:val="000000"/>
          <w:sz w:val="20"/>
        </w:rPr>
        <w:t>General Risks</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adequate funds are not available on acceptable terms, we may be unable to invest in future growth opportunities, which could seriously harm our business and operating results. If we incur debt, the debt holders could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regional epidemics or a global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harms our business and results of operations, many of the other risks described in this “Risk Factors” section, may be heightened. </w:t>
      </w:r>
    </w:p>
    <w:p>
      <w:pPr>
        <w:pStyle w:val="TextBody"/>
        <w:bidi w:val="0"/>
        <w:jc w:val="left"/>
        <w:rPr>
          <w:rFonts w:ascii="Times New Roman" w:hAnsi="Times New Roman"/>
          <w:b/>
          <w:i/>
          <w:color w:val="000000"/>
          <w:sz w:val="20"/>
        </w:rPr>
      </w:pPr>
      <w:r>
        <w:rPr>
          <w:rFonts w:ascii="Times New Roman" w:hAnsi="Times New Roman"/>
          <w:b/>
          <w:i/>
          <w:color w:val="000000"/>
          <w:sz w:val="20"/>
        </w:rPr>
        <w:t>Climate change may have a long-term impact on our business</w:t>
      </w:r>
    </w:p>
    <w:p>
      <w:pPr>
        <w:pStyle w:val="TextBody"/>
        <w:bidi w:val="0"/>
        <w:jc w:val="left"/>
        <w:rPr>
          <w:rFonts w:ascii="Times New Roman" w:hAnsi="Times New Roman"/>
          <w:color w:val="000000"/>
          <w:sz w:val="20"/>
        </w:rPr>
      </w:pPr>
      <w:r>
        <w:rPr>
          <w:rFonts w:ascii="Times New Roman" w:hAnsi="Times New Roman"/>
          <w:color w:val="000000"/>
          <w:sz w:val="20"/>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of our employees,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new disclosure requirements from regulators.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 repurchases of the Company’s common stock for the three months ended June 30, 2025 were as follows (in thousands, except share data):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9"/>
        <w:gridCol w:w="236"/>
        <w:gridCol w:w="1268"/>
        <w:gridCol w:w="146"/>
        <w:gridCol w:w="334"/>
        <w:gridCol w:w="1073"/>
        <w:gridCol w:w="146"/>
        <w:gridCol w:w="397"/>
        <w:gridCol w:w="2126"/>
        <w:gridCol w:w="146"/>
        <w:gridCol w:w="610"/>
        <w:gridCol w:w="2268"/>
        <w:gridCol w:w="196"/>
      </w:tblGrid>
      <w:tr>
        <w:trPr/>
        <w:tc>
          <w:tcPr>
            <w:tcW w:w="12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5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of Shares that May Yet Be Purchased Under the Program </w:t>
            </w:r>
            <w:r>
              <w:rPr>
                <w:rFonts w:ascii="Times New Roman" w:hAnsi="Times New Roman"/>
                <w:b/>
                <w:color w:val="000000"/>
                <w:sz w:val="11"/>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2025 to June 30, 2025</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Average price paid per share includes costs associated with the repurchases. </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In May 2025, the Company’s Board of Directors authorized a share repurchase program for the repurchase of shares of the Company’s common stock, in an aggregate amount of up to $500 million over a period of up to 12 months. All repurchases under the program are made in the open market pursuant to 10b5-1 plans. Refer to Note 14 to the condensed consolidated financial statements contained within this Quarterly Report on Form 10-Q for additional information related to our share repurchases. </w:t>
      </w:r>
    </w:p>
    <w:p>
      <w:pPr>
        <w:pStyle w:val="TextBody"/>
        <w:bidi w:val="0"/>
        <w:jc w:val="left"/>
        <w:rPr/>
      </w:pPr>
      <w:r>
        <w:rPr/>
        <w:t> </w:t>
      </w:r>
    </w:p>
    <w:p>
      <w:pPr>
        <w:pStyle w:val="TextBody"/>
        <w:bidi w:val="0"/>
        <w:jc w:val="left"/>
        <w:rPr>
          <w:rFonts w:ascii="Times New Roman" w:hAnsi="Times New Roman"/>
          <w:sz w:val="20"/>
        </w:rPr>
      </w:pPr>
      <w:bookmarkStart w:id="17" w:name="item_3_defaults_on_senior_securities"/>
      <w:bookmarkEnd w:id="17"/>
      <w:r>
        <w:rPr>
          <w:rFonts w:ascii="Times New Roman" w:hAnsi="Times New Roman"/>
          <w:b/>
          <w:color w:val="000000"/>
          <w:sz w:val="20"/>
        </w:rPr>
        <w:t>Item 3. Defaults 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describes contracts, instructions or written plans for the sale or purchase of our securities adopted by our directors and certain officers in the three months ended June 30, 2025, each of which is intended to satisfy the affirmative defense conditions of Exchange Act Rule 10b5-1(c), referred to as Rule 10b5-1 trading plans.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4"/>
        <w:gridCol w:w="1589"/>
        <w:gridCol w:w="3004"/>
        <w:gridCol w:w="1495"/>
        <w:gridCol w:w="1593"/>
      </w:tblGrid>
      <w:tr>
        <w:trPr/>
        <w:tc>
          <w:tcPr>
            <w:tcW w:w="252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2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 Taken</w:t>
            </w:r>
          </w:p>
        </w:tc>
        <w:tc>
          <w:tcPr>
            <w:tcW w:w="3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 Trading Arrangement</w:t>
            </w:r>
          </w:p>
        </w:tc>
        <w:tc>
          <w:tcPr>
            <w:tcW w:w="1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Duration of Trading Arrangement</w:t>
            </w:r>
          </w:p>
        </w:tc>
        <w:tc>
          <w:tcPr>
            <w:tcW w:w="1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 of Securities</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Dharmesh Shah (Co-Founder and Chief Technology Officer)</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(May 13, 2025)</w:t>
            </w:r>
          </w:p>
        </w:tc>
        <w:tc>
          <w:tcPr>
            <w:tcW w:w="3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 days</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94,000 shares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or incorporated by reference into this Report.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1"/>
        <w:gridCol w:w="5114"/>
        <w:gridCol w:w="1131"/>
        <w:gridCol w:w="586"/>
        <w:gridCol w:w="860"/>
        <w:gridCol w:w="736"/>
        <w:gridCol w:w="797"/>
      </w:tblGrid>
      <w:tr>
        <w:trPr/>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511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left"/>
              <w:rPr>
                <w:sz w:val="4"/>
                <w:szCs w:val="4"/>
              </w:rPr>
            </w:pPr>
            <w:r>
              <w:rPr>
                <w:sz w:val="4"/>
                <w:szCs w:val="4"/>
              </w:rPr>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1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Eighth Amended and Restated Certificate of Incorporation dated June 4, 2025.</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Sixth Amended and Restated By-laws of HubSpot, Inc.</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9/26/2014</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Executive Severance Plan, effective April 10, 2025</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05/08/2025</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w:anchor="hubs-ex10_2.htm">
              <w:r>
                <w:rPr>
                  <w:rStyle w:val="InternetLink"/>
                  <w:rFonts w:ascii="Times New Roman" w:hAnsi="Times New Roman"/>
                  <w:color w:val="0000FF"/>
                  <w:sz w:val="20"/>
                  <w:u w:val="single"/>
                </w:rPr>
                <w:t>Non-Employee Director Compensation Policy (as amended and currently in effect)</w:t>
              </w:r>
            </w:hyperlink>
          </w:p>
        </w:tc>
        <w:tc>
          <w:tcPr>
            <w:tcW w:w="11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w:anchor="hubs-ex10_3.htm">
              <w:r>
                <w:rPr>
                  <w:rStyle w:val="InternetLink"/>
                  <w:rFonts w:ascii="Times New Roman" w:hAnsi="Times New Roman"/>
                  <w:color w:val="0000FF"/>
                  <w:sz w:val="20"/>
                  <w:u w:val="single"/>
                </w:rPr>
                <w:t>Form of Restricted Stock Unit Award Agreement for Non-Employee Directors</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Chief Financial Officer Pursuant to Section 302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114" w:type="dxa"/>
            <w:tcBorders/>
            <w:tcMar>
              <w:top w:w="0" w:type="dxa"/>
              <w:left w:w="0" w:type="dxa"/>
              <w:bottom w:w="0" w:type="dxa"/>
              <w:right w:w="0" w:type="dxa"/>
            </w:tcMar>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Chief Executive Officer and Chief Financial Officer Pursuant to Section 906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1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1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1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jc w:val="left"/>
              <w:rPr>
                <w:rFonts w:ascii="Times New Roman" w:hAnsi="Times New Roman"/>
                <w:sz w:val="20"/>
              </w:rPr>
            </w:pPr>
            <w:r>
              <w:rPr>
                <w:rFonts w:ascii="Times New Roman" w:hAnsi="Times New Roman"/>
                <w:i/>
                <w:color w:val="000000"/>
                <w:sz w:val="20"/>
              </w:rPr>
              <w:t>(Principal Financial and Accounting</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Officer and Authorized Signatory)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August 6,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bookmarkStart w:id="22" w:name="hubs-ex10_2.htm"/>
      <w:bookmarkStart w:id="23" w:name="kshubsex10_2"/>
      <w:bookmarkEnd w:id="22"/>
      <w:bookmarkEnd w:id="23"/>
      <w:r>
        <w:rPr/>
        <w:drawing>
          <wp:inline distT="0" distB="0" distL="0" distR="0">
            <wp:extent cx="9144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914400" cy="257175"/>
                    </a:xfrm>
                    <a:prstGeom prst="rect">
                      <a:avLst/>
                    </a:prstGeom>
                  </pic:spPr>
                </pic:pic>
              </a:graphicData>
            </a:graphic>
          </wp:inline>
        </w:drawing>
      </w:r>
      <w:r>
        <w:br w:type="page"/>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AMENDED AND RESTATED NON-EMPLOYEE DIRECTOR COMPENSATION POLICY</w:t>
      </w:r>
    </w:p>
    <w:p>
      <w:pPr>
        <w:pStyle w:val="TextBody"/>
        <w:bidi w:val="0"/>
        <w:spacing w:before="240" w:after="283"/>
        <w:jc w:val="left"/>
        <w:rPr>
          <w:rFonts w:ascii="Times New Roman" w:hAnsi="Times New Roman"/>
          <w:sz w:val="20"/>
        </w:rPr>
      </w:pPr>
      <w:r>
        <w:rPr>
          <w:rFonts w:ascii="Times New Roman" w:hAnsi="Times New Roman"/>
          <w:color w:val="000000"/>
          <w:sz w:val="20"/>
        </w:rPr>
        <w:t>The purpose of this Amended and Restated Non-Employee Director Compensation Policy (the “</w:t>
      </w:r>
      <w:r>
        <w:rPr>
          <w:rFonts w:ascii="Times New Roman" w:hAnsi="Times New Roman"/>
          <w:b/>
          <w:color w:val="000000"/>
          <w:sz w:val="20"/>
        </w:rPr>
        <w:t>Policy</w:t>
      </w:r>
      <w:r>
        <w:rPr>
          <w:rFonts w:ascii="Times New Roman" w:hAnsi="Times New Roman"/>
          <w:color w:val="000000"/>
          <w:sz w:val="20"/>
        </w:rPr>
        <w:t>”) of HubSpot, Inc. (the “</w:t>
      </w:r>
      <w:r>
        <w:rPr>
          <w:rFonts w:ascii="Times New Roman" w:hAnsi="Times New Roman"/>
          <w:b/>
          <w:color w:val="000000"/>
          <w:sz w:val="20"/>
        </w:rPr>
        <w:t>Company</w:t>
      </w:r>
      <w:r>
        <w:rPr>
          <w:rFonts w:ascii="Times New Roman" w:hAnsi="Times New Roman"/>
          <w:color w:val="000000"/>
          <w:sz w:val="20"/>
        </w:rPr>
        <w:t>”), is to provide a total compensation package that enables the Company to attract and retain, on a long-term basis, high-caliber directors who are not employees or officers of the Company or its subsidiaries (“</w:t>
      </w:r>
      <w:r>
        <w:rPr>
          <w:rFonts w:ascii="Times New Roman" w:hAnsi="Times New Roman"/>
          <w:b/>
          <w:color w:val="000000"/>
          <w:sz w:val="20"/>
        </w:rPr>
        <w:t>Outside Directors</w:t>
      </w:r>
      <w:r>
        <w:rPr>
          <w:rFonts w:ascii="Times New Roman" w:hAnsi="Times New Roman"/>
          <w:color w:val="000000"/>
          <w:sz w:val="20"/>
        </w:rPr>
        <w:t>”). This Policy will become effective as of June 1, 2025 (the “Effective Date”). In furtherance of the purpose stated above, all Outside Directors shall be paid compensation for services provided to the Company as set forth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Cash Retainers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Annual Retainer for Board Membership</w:t>
      </w:r>
      <w:r>
        <w:rPr>
          <w:rFonts w:ascii="Times New Roman" w:hAnsi="Times New Roman"/>
          <w:color w:val="000000"/>
          <w:sz w:val="20"/>
        </w:rPr>
        <w:t>: $50,000 for general availability and participation in meetings and conference calls of the Board of Directors the (“</w:t>
      </w:r>
      <w:r>
        <w:rPr>
          <w:rFonts w:ascii="Times New Roman" w:hAnsi="Times New Roman"/>
          <w:b/>
          <w:color w:val="000000"/>
          <w:sz w:val="20"/>
        </w:rPr>
        <w:t>Board</w:t>
      </w:r>
      <w:r>
        <w:rPr>
          <w:rFonts w:ascii="Times New Roman" w:hAnsi="Times New Roman"/>
          <w:color w:val="000000"/>
          <w:sz w:val="20"/>
        </w:rPr>
        <w:t>”), to be paid quarterly in advance. No additional compensation will be paid for attending individual meetings of the Board.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Retainer for Independent Chairperson:</w:t>
      </w:r>
      <w:r>
        <w:rPr>
          <w:rFonts w:ascii="Times New Roman" w:hAnsi="Times New Roman"/>
          <w:color w:val="000000"/>
          <w:sz w:val="20"/>
        </w:rPr>
        <w:t xml:space="preserve"> $75,000 to be paid quarterly, in advance.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Retainer for Lead Independent Director</w:t>
      </w:r>
      <w:r>
        <w:rPr>
          <w:rFonts w:ascii="Times New Roman" w:hAnsi="Times New Roman"/>
          <w:color w:val="000000"/>
          <w:sz w:val="20"/>
        </w:rPr>
        <w:t>: $25,000 to be paid quarterly, in advance.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Additional Retainers for Committee Membership to be paid quarterly, in advance:</w:t>
      </w:r>
    </w:p>
    <w:tbl>
      <w:tblPr>
        <w:tblW w:w="7283" w:type="dxa"/>
        <w:jc w:val="left"/>
        <w:tblInd w:w="0" w:type="dxa"/>
        <w:tblLayout w:type="fixed"/>
        <w:tblCellMar>
          <w:top w:w="28" w:type="dxa"/>
          <w:left w:w="28" w:type="dxa"/>
          <w:bottom w:w="28" w:type="dxa"/>
          <w:right w:w="28" w:type="dxa"/>
        </w:tblCellMar>
      </w:tblPr>
      <w:tblGrid>
        <w:gridCol w:w="5756"/>
        <w:gridCol w:w="109"/>
        <w:gridCol w:w="211"/>
        <w:gridCol w:w="676"/>
        <w:gridCol w:w="531"/>
      </w:tblGrid>
      <w:tr>
        <w:trPr/>
        <w:tc>
          <w:tcPr>
            <w:tcW w:w="5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5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75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Audit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5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75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Audit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31" w:type="dxa"/>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75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Compensation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75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Compensation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531" w:type="dxa"/>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75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Nominating and Corporate Governance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5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75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Nominating and Corporate Governance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Chairperson retainers are in addition to member retainers. No equity retainers shall be paid as compensation for committee membership. No additional compensation will be paid for attending individual committee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Directors shall be entitled to retain any retainer fees paid in advance with respect to the quarter in which the Outside Director ceases to be a director or ceases to serve on a committee, as committee Chair or as Lead Independent Director.</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Equity Retainers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equity grants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On the date of each annual meeting of stockholders of the Company (each, an “</w:t>
      </w:r>
      <w:r>
        <w:rPr>
          <w:rFonts w:ascii="Times New Roman" w:hAnsi="Times New Roman"/>
          <w:b/>
          <w:color w:val="000000"/>
          <w:sz w:val="20"/>
        </w:rPr>
        <w:t>Annual Meeting</w:t>
      </w:r>
      <w:r>
        <w:rPr>
          <w:rFonts w:ascii="Times New Roman" w:hAnsi="Times New Roman"/>
          <w:color w:val="000000"/>
          <w:sz w:val="20"/>
        </w:rPr>
        <w:t>”), each Outside Director will receive an annual equity award (the “</w:t>
      </w:r>
      <w:r>
        <w:rPr>
          <w:rFonts w:ascii="Times New Roman" w:hAnsi="Times New Roman"/>
          <w:b/>
          <w:color w:val="000000"/>
          <w:sz w:val="20"/>
        </w:rPr>
        <w:t>Annual Grant</w:t>
      </w:r>
      <w:r>
        <w:rPr>
          <w:rFonts w:ascii="Times New Roman" w:hAnsi="Times New Roman"/>
          <w:color w:val="000000"/>
          <w:sz w:val="20"/>
        </w:rPr>
        <w:t>”) with a Value of $250,000. Annual Grants will be in the form of restricted stock units (“</w:t>
      </w:r>
      <w:r>
        <w:rPr>
          <w:rFonts w:ascii="Times New Roman" w:hAnsi="Times New Roman"/>
          <w:b/>
          <w:color w:val="000000"/>
          <w:sz w:val="20"/>
        </w:rPr>
        <w:t>RSUs</w:t>
      </w:r>
      <w:r>
        <w:rPr>
          <w:rFonts w:ascii="Times New Roman" w:hAnsi="Times New Roman"/>
          <w:color w:val="000000"/>
          <w:sz w:val="20"/>
        </w:rPr>
        <w:t>”). Annual Grants will vest in equal quarterly installments over a one-year period from the grant date, with the final installment vesting on the earlier of (i) the first anniversary of the date of grant or (ii) the date of the next Annual Meeting following the date of grant, provided, however, that all vesting shall cease if the Outside Director ceases to serve as a member of the Board, unless the Board determines that the circumstances warrant continuation of vesting. Newly elected Outside Directors will receive a pro-rated Annual Grant in connection with their appointment or election to the Board</w:t>
      </w:r>
    </w:p>
    <w:p>
      <w:pPr>
        <w:pStyle w:val="TextBody"/>
        <w:bidi w:val="0"/>
        <w:jc w:val="right"/>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914400" cy="257175"/>
                    </a:xfrm>
                    <a:prstGeom prst="rect">
                      <a:avLst/>
                    </a:prstGeom>
                  </pic:spPr>
                </pic:pic>
              </a:graphicData>
            </a:graphic>
          </wp:inline>
        </w:drawing>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Value</w:t>
      </w:r>
      <w:r>
        <w:rPr>
          <w:rFonts w:ascii="Times New Roman" w:hAnsi="Times New Roman"/>
          <w:color w:val="000000"/>
          <w:sz w:val="20"/>
        </w:rPr>
        <w:t>: For purposes of this Policy, “</w:t>
      </w:r>
      <w:r>
        <w:rPr>
          <w:rFonts w:ascii="Times New Roman" w:hAnsi="Times New Roman"/>
          <w:b/>
          <w:color w:val="000000"/>
          <w:sz w:val="20"/>
        </w:rPr>
        <w:t>Value</w:t>
      </w:r>
      <w:r>
        <w:rPr>
          <w:rFonts w:ascii="Times New Roman" w:hAnsi="Times New Roman"/>
          <w:color w:val="000000"/>
          <w:sz w:val="20"/>
        </w:rPr>
        <w:t>” means with respect to RSUs, the product of (A) the 30-trading day trailing average of the closing price of one share of the Company’s common stock on the New York Stock Exchange (or such other market on which the Company’s common stock is then principally listed) on the grant date, and (B) the aggregate number of shares of common stock underlying such award.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Acceleration of Equity Awards</w:t>
      </w:r>
      <w:r>
        <w:rPr>
          <w:rFonts w:ascii="Times New Roman" w:hAnsi="Times New Roman"/>
          <w:color w:val="000000"/>
          <w:sz w:val="20"/>
        </w:rPr>
        <w:t>: All unvested equity awards held by Outside Directors will accelerate and immediately vest if the Outside Director’s service relationship ends within three months prior to or twelve months following a Sale Event (as defined in the Company’s 2024 Stock Option and Incentive Plan).</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reimburse all reasonable out-of-pocket expenses incurred by non-employee directors in attending meetings of the Board or any Committee.</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Last reviewed and amended: June 4, 2025</w:t>
      </w:r>
    </w:p>
    <w:p>
      <w:pPr>
        <w:pStyle w:val="TextBody"/>
        <w:bidi w:val="0"/>
        <w:spacing w:before="0" w:after="24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24" w:name="hubs-ex10_3.htm"/>
      <w:bookmarkStart w:id="25" w:name="kshubsex10_3"/>
      <w:bookmarkEnd w:id="24"/>
      <w:bookmarkEnd w:id="25"/>
      <w:r>
        <w:rPr>
          <w:rFonts w:ascii="Times New Roman" w:hAnsi="Times New Roman"/>
          <w:b/>
          <w:color w:val="000000"/>
          <w:sz w:val="20"/>
        </w:rPr>
        <w:t>Exhibit 10.3</w:t>
      </w:r>
      <w:r>
        <w:br w:type="page"/>
      </w:r>
    </w:p>
    <w:p>
      <w:pPr>
        <w:pStyle w:val="TextBody"/>
        <w:bidi w:val="0"/>
        <w:jc w:val="left"/>
        <w:rPr/>
      </w:pPr>
      <w:r>
        <w:rPr/>
        <w:t>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RESTRICTED STOCK UNIT AWARD AGREEMENT FOR NON-EMPLOYEE DIRECTORS</w:t>
      </w:r>
    </w:p>
    <w:p>
      <w:pPr>
        <w:pStyle w:val="TextBody"/>
        <w:bidi w:val="0"/>
        <w:jc w:val="center"/>
        <w:rPr>
          <w:rFonts w:ascii="Times New Roman" w:hAnsi="Times New Roman"/>
          <w:b/>
          <w:color w:val="000000"/>
          <w:sz w:val="24"/>
        </w:rPr>
      </w:pPr>
      <w:r>
        <w:rPr>
          <w:rFonts w:ascii="Times New Roman" w:hAnsi="Times New Roman"/>
          <w:b/>
          <w:color w:val="000000"/>
          <w:sz w:val="24"/>
        </w:rPr>
        <w:t>UNDER THE HUBSPOT, INC.</w:t>
        <w:br/>
        <w:t>2024 STOCK OPTION AND INCENTIVE PLAN</w:t>
      </w:r>
    </w:p>
    <w:p>
      <w:pPr>
        <w:pStyle w:val="TextBody"/>
        <w:bidi w:val="0"/>
        <w:spacing w:before="158"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Name of Grantee: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No. of Restricted Stock Units: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Vesting Commencement Date:</w:t>
      </w:r>
    </w:p>
    <w:p>
      <w:pPr>
        <w:pStyle w:val="TextBody"/>
        <w:bidi w:val="0"/>
        <w:spacing w:before="208"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Pursuant to the HubSpot, Inc. 2024 Stock Option and Incentive Plan as amended through the date hereof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Restricted Stock Unit Award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an award of the number of Restricted Stock Units listed above (an “</w:t>
      </w:r>
      <w:r>
        <w:rPr>
          <w:rFonts w:ascii="Times New Roman" w:hAnsi="Times New Roman"/>
          <w:b/>
          <w:i/>
          <w:color w:val="000000"/>
          <w:sz w:val="24"/>
        </w:rPr>
        <w:t>Award</w:t>
      </w:r>
      <w:r>
        <w:rPr>
          <w:rFonts w:ascii="Times New Roman" w:hAnsi="Times New Roman"/>
          <w:color w:val="000000"/>
          <w:sz w:val="20"/>
        </w:rPr>
        <w:t>”</w:t>
      </w:r>
      <w:r>
        <w:rPr>
          <w:rFonts w:ascii="Times New Roman" w:hAnsi="Times New Roman"/>
          <w:color w:val="000000"/>
          <w:sz w:val="24"/>
        </w:rPr>
        <w:t>) to the Grantee named above. Each Restricted Stock Unit shall relate to one share of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Vesting of Restricted Stock Units</w:t>
      </w:r>
      <w:r>
        <w:rPr>
          <w:rFonts w:ascii="Times New Roman" w:hAnsi="Times New Roman"/>
          <w:color w:val="000000"/>
          <w:sz w:val="24"/>
        </w:rPr>
        <w:t>. Except as set forth below, the restrictions and conditions of Paragraph 1 of this Agreement shall lapse in equal quarterly installments over a one-year period from the date of grant, with the restrictions and conditions of Paragraph 1 of this Agreement lapsing with respect to the final installment on the first anniversary of such grant date (or, if earlier, immediately prior to the Company’s next annual meeting of stockholders following the grant date) so long as the Grantee remains in a Service Relationship through the applicable vesting date. The Administrator may at any time accelerate the vesting schedule specified in this Paragraph 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Notwithstanding the foregoing, in the event that the Grantee’s Service Relationship terminates due to the Grantee’s death, the Restricted Stock Units shall be deemed fully vested and nonforfeitable upon the date of the Grantee’s death.</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39" w:after="283"/>
        <w:jc w:val="left"/>
        <w:rPr/>
      </w:pPr>
      <w:r>
        <w:rPr>
          <w:rFonts w:ascii="Times New Roman" w:hAnsi="Times New Roman"/>
          <w:color w:val="000000"/>
          <w:sz w:val="24"/>
          <w:u w:val="single"/>
        </w:rPr>
        <w:t>Termination of Service Relationship</w:t>
      </w:r>
      <w:r>
        <w:rPr>
          <w:rFonts w:ascii="Times New Roman" w:hAnsi="Times New Roman"/>
          <w:color w:val="000000"/>
          <w:sz w:val="24"/>
        </w:rPr>
        <w:t>. Except as set forth above, if the Grantee’s Service Relationship terminates for any reason (including due to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pPr>
      <w:r>
        <w:rPr>
          <w:rFonts w:ascii="Times New Roman" w:hAnsi="Times New Roman"/>
          <w:color w:val="000000"/>
          <w:sz w:val="24"/>
          <w:u w:val="single"/>
        </w:rPr>
        <w:t>Issuance of Shares</w:t>
      </w:r>
      <w:r>
        <w:rPr>
          <w:rFonts w:ascii="Times New Roman" w:hAnsi="Times New Roman"/>
          <w:color w:val="000000"/>
          <w:sz w:val="24"/>
        </w:rPr>
        <w:t>. As soon as practicable following each vesting date specified in Paragraph 2 (each such date, a “</w:t>
      </w:r>
      <w:r>
        <w:rPr>
          <w:rFonts w:ascii="Times New Roman" w:hAnsi="Times New Roman"/>
          <w:b/>
          <w:i/>
          <w:color w:val="000000"/>
          <w:sz w:val="24"/>
        </w:rPr>
        <w:t>Vesting Date</w:t>
      </w:r>
      <w:r>
        <w:rPr>
          <w:color w:val="000000"/>
        </w:rPr>
        <w:t>”</w:t>
      </w:r>
      <w:r>
        <w:rPr>
          <w:rFonts w:ascii="Times New Roman" w:hAnsi="Times New Roman"/>
          <w:color w:val="000000"/>
          <w:sz w:val="24"/>
        </w:rPr>
        <w:t>) (but in no event later than two and one-half months after the end of the year in which the Vesting Date occurs), the Company shall issue to the Grantee (or in the event of the Grantee’s death, the Grantee’s designated beneficiary or the Grantee’s estate or legal heirs if the Grantee has not designated a beneficiary) the number of Shares equal to the aggregate number of Restricted Stock Units that have vested pursuant to Paragraph 2 of this Agreement on such Vesting Date and the Grantee shall thereafter have all the rights of a stockholder of the Company with respect to such Shares. No fractional Shares shall be issued.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pP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 The Grantee shall, not later than the date as of which of this Award becomes includable in the gross income of the Grantee for income tax purposes, pay to the Company or its Affiliates, or make arrangements satisfactory to the Administrator for payment of, any U.S. federal, state or local, and non-U.S. or other taxes of any kind required by law to be withheld by the Company or its Affiliates with respect to the Award. The Administrator may require that the Company’s or Affiliate’s tax withholding obligation be satisfied, in whole or in part, by (i) the Company withholding from Shares to be issued pursuant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subject to the Award are immediately sold and proceeds from such sale are remitted to the Company in an amount that would satisfy the withholding amount due.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pPr>
      <w:r>
        <w:rPr>
          <w:rFonts w:ascii="Times New Roman" w:hAnsi="Times New Roman"/>
          <w:color w:val="000000"/>
          <w:sz w:val="24"/>
          <w:u w:val="single"/>
        </w:rPr>
        <w:t>Section 409A of the Code.</w:t>
      </w:r>
      <w:r>
        <w:rPr>
          <w:color w:val="000000"/>
        </w:rPr>
        <w:t xml:space="preserve"> </w:t>
      </w:r>
      <w:r>
        <w:rPr>
          <w:rFonts w:ascii="Times New Roman" w:hAnsi="Times New Roman"/>
          <w:color w:val="000000"/>
          <w:sz w:val="24"/>
        </w:rPr>
        <w:t>This Agreement shall be interpreted in such a manner that all provisions relating to the settlement of the Award are exempt from the requirements of Section 409A as “short-term deferrals” as described in 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pPr>
      <w:r>
        <w:rPr>
          <w:rFonts w:ascii="Times New Roman" w:hAnsi="Times New Roman"/>
          <w:color w:val="000000"/>
          <w:sz w:val="24"/>
          <w:u w:val="single"/>
        </w:rPr>
        <w:t>No Obligation to Continue Service Relationship</w:t>
      </w:r>
      <w:r>
        <w:rPr>
          <w:rFonts w:ascii="Times New Roman" w:hAnsi="Times New Roman"/>
          <w:color w:val="000000"/>
          <w:sz w:val="24"/>
        </w:rPr>
        <w:t>. Neither the Company nor any Affiliate is obligated by or as a result of the Plan or this Agreement to continue the Grantee’s Service Relationship and neither the Plan nor this Agreement shall interfere in any way with the right of the Company or any Affiliate to terminate the Grantee’s Service Relationship at any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pP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1" w:after="283"/>
        <w:jc w:val="left"/>
        <w:rPr/>
      </w:pPr>
      <w:r>
        <w:rPr>
          <w:rFonts w:ascii="Times New Roman" w:hAnsi="Times New Roman"/>
          <w:color w:val="000000"/>
          <w:sz w:val="24"/>
          <w:u w:val="single"/>
        </w:rPr>
        <w:t>Data Privacy Consent</w:t>
      </w:r>
      <w:r>
        <w:rPr>
          <w:rFonts w:ascii="Times New Roman" w:hAnsi="Times New Roman"/>
          <w:color w:val="000000"/>
          <w:sz w:val="24"/>
        </w:rPr>
        <w:t>. In order to administer the Plan and this Agreement and to implement or structure future equity grants, the Company, its subsidiaries and affiliates and certain agents thereof (together, the “</w:t>
      </w:r>
      <w:r>
        <w:rPr>
          <w:rFonts w:ascii="Times New Roman" w:hAnsi="Times New Roman"/>
          <w:b/>
          <w:i/>
          <w:color w:val="000000"/>
          <w:sz w:val="24"/>
        </w:rPr>
        <w:t>Relevant Companies</w:t>
      </w:r>
      <w:r>
        <w:rPr>
          <w:color w:val="000000"/>
        </w:rPr>
        <w:t>”</w:t>
      </w:r>
      <w:r>
        <w:rPr>
          <w:rFonts w:ascii="Times New Roman" w:hAnsi="Times New Roman"/>
          <w:color w:val="000000"/>
          <w:sz w:val="24"/>
        </w:rPr>
        <w:t xml:space="preserve">) may process any and all personal or professional data, including but not limited to Social Security or other identification number, home address and telephone number, date of birth and other information that is necessary or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left"/>
        <w:rPr/>
      </w:pPr>
      <w:r>
        <w:rPr/>
        <w:t> </w:t>
      </w:r>
    </w:p>
    <w:p>
      <w:pPr>
        <w:pStyle w:val="TextBody"/>
        <w:bidi w:val="0"/>
        <w:spacing w:before="241" w:after="283"/>
        <w:jc w:val="left"/>
        <w:rPr/>
      </w:pPr>
      <w:r>
        <w:rPr>
          <w:rFonts w:ascii="Times New Roman" w:hAnsi="Times New Roman"/>
          <w:color w:val="000000"/>
          <w:sz w:val="24"/>
        </w:rPr>
        <w:t>desirable for the administration of the Plan and/or this Agreement (the “</w:t>
      </w:r>
      <w:r>
        <w:rPr>
          <w:rFonts w:ascii="Times New Roman" w:hAnsi="Times New Roman"/>
          <w:b/>
          <w:i/>
          <w:color w:val="000000"/>
          <w:sz w:val="24"/>
        </w:rPr>
        <w:t>Relevant Information</w:t>
      </w:r>
      <w:r>
        <w:rPr>
          <w:color w:val="000000"/>
        </w:rPr>
        <w:t>”</w:t>
      </w:r>
      <w:r>
        <w:rPr>
          <w:rFonts w:ascii="Times New Roman" w:hAnsi="Times New Roman"/>
          <w:color w:val="000000"/>
          <w:sz w:val="24"/>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1" w:after="283"/>
        <w:jc w:val="left"/>
        <w:rPr/>
      </w:pP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1" w:after="283"/>
        <w:jc w:val="left"/>
        <w:rPr/>
      </w:pPr>
      <w:r>
        <w:rPr>
          <w:rFonts w:ascii="Times New Roman" w:hAnsi="Times New Roman"/>
          <w:color w:val="000000"/>
          <w:sz w:val="24"/>
          <w:u w:val="single"/>
        </w:rPr>
        <w:t>Clawback</w:t>
      </w:r>
      <w:r>
        <w:rPr>
          <w:rFonts w:ascii="Times New Roman" w:hAnsi="Times New Roman"/>
          <w:color w:val="000000"/>
          <w:sz w:val="24"/>
        </w:rPr>
        <w:t>. The Grantee acknowledges and agrees that this Award is subject in all respects to the Company’s Compensation Recovery Policy (the “</w:t>
      </w:r>
      <w:r>
        <w:rPr>
          <w:rFonts w:ascii="Times New Roman" w:hAnsi="Times New Roman"/>
          <w:b/>
          <w:i/>
          <w:color w:val="000000"/>
          <w:sz w:val="24"/>
        </w:rPr>
        <w:t>Clawback Policy</w:t>
      </w:r>
      <w:r>
        <w:rPr>
          <w:color w:val="000000"/>
        </w:rPr>
        <w:t>”</w:t>
      </w:r>
      <w:r>
        <w:rPr>
          <w:rFonts w:ascii="Times New Roman" w:hAnsi="Times New Roman"/>
          <w:color w:val="000000"/>
          <w:sz w:val="24"/>
        </w:rPr>
        <w:t>), to the extent applicable, including the Company’s ability to recoup Erroneously Awarded Compensation (as defined in the Clawback Policy) thereunder. Any action by the Company to recover Erroneously 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This Paragraph 12 is a material term of this Agreement.</w:t>
      </w:r>
    </w:p>
    <w:p>
      <w:pPr>
        <w:pStyle w:val="Heading1"/>
        <w:bidi w:val="0"/>
        <w:spacing w:before="240" w:after="283"/>
        <w:jc w:val="left"/>
        <w:rPr>
          <w:rFonts w:ascii="Times New Roman" w:hAnsi="Times New Roman"/>
          <w:b/>
          <w:color w:val="000000"/>
          <w:sz w:val="24"/>
        </w:rPr>
      </w:pPr>
      <w:r>
        <w:rPr>
          <w:rFonts w:ascii="Times New Roman" w:hAnsi="Times New Roman"/>
          <w:b/>
          <w:color w:val="000000"/>
          <w:sz w:val="24"/>
        </w:rPr>
        <w:t>HUBSPOT, INC.</w:t>
      </w:r>
    </w:p>
    <w:p>
      <w:pPr>
        <w:pStyle w:val="TextBody"/>
        <w:bidi w:val="0"/>
        <w:jc w:val="left"/>
        <w:rPr/>
      </w:pPr>
      <w:r>
        <w:rPr/>
        <w:t> </w:t>
      </w:r>
    </w:p>
    <w:p>
      <w:pPr>
        <w:pStyle w:val="TextBody"/>
        <w:bidi w:val="0"/>
        <w:spacing w:before="168"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By: Title:</w:t>
      </w:r>
      <w:r>
        <w:rPr>
          <w:rFonts w:ascii="Times New Roman" w:hAnsi="Times New Roman"/>
          <w:color w:val="000000"/>
          <w:sz w:val="20"/>
        </w:rPr>
        <w:t xml:space="preserve"> </w:t>
      </w:r>
    </w:p>
    <w:p>
      <w:pPr>
        <w:pStyle w:val="TextBody"/>
        <w:bidi w:val="0"/>
        <w:spacing w:before="204"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left"/>
        <w:rPr/>
      </w:pPr>
      <w:r>
        <w:rPr/>
        <w:t> </w:t>
      </w:r>
    </w:p>
    <w:p>
      <w:pPr>
        <w:pStyle w:val="TextBody"/>
        <w:bidi w:val="0"/>
        <w:spacing w:before="168" w:after="283"/>
        <w:jc w:val="left"/>
        <w:rPr/>
      </w:pPr>
      <w:r>
        <w:rPr/>
        <w:t> </w:t>
      </w:r>
    </w:p>
    <w:p>
      <w:pPr>
        <w:pStyle w:val="Heading1"/>
        <w:bidi w:val="0"/>
        <w:jc w:val="left"/>
        <w:rPr/>
      </w:pPr>
      <w:r>
        <w:rPr/>
        <w:t> </w:t>
      </w:r>
    </w:p>
    <w:tbl>
      <w:tblPr>
        <w:tblW w:w="5466" w:type="dxa"/>
        <w:jc w:val="left"/>
        <w:tblInd w:w="0" w:type="dxa"/>
        <w:tblLayout w:type="fixed"/>
        <w:tblCellMar>
          <w:top w:w="28" w:type="dxa"/>
          <w:left w:w="28" w:type="dxa"/>
          <w:bottom w:w="28" w:type="dxa"/>
          <w:right w:w="28" w:type="dxa"/>
        </w:tblCellMar>
      </w:tblPr>
      <w:tblGrid>
        <w:gridCol w:w="2851"/>
        <w:gridCol w:w="109"/>
        <w:gridCol w:w="2506"/>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Heading1"/>
              <w:bidi w:val="0"/>
              <w:spacing w:before="240" w:after="283"/>
              <w:jc w:val="left"/>
              <w:rPr>
                <w:rFonts w:ascii="Times New Roman" w:hAnsi="Times New Roman"/>
                <w:sz w:val="24"/>
              </w:rPr>
            </w:pPr>
            <w:r>
              <w:rPr>
                <w:rFonts w:ascii="Times New Roman" w:hAnsi="Times New Roman"/>
                <w:b/>
                <w:color w:val="000000"/>
                <w:sz w:val="24"/>
              </w:rPr>
              <w:t xml:space="preserve">Dated: </w:t>
            </w:r>
            <w:r>
              <w:rPr>
                <w:rFonts w:ascii="Times New Roman" w:hAnsi="Times New Roman"/>
                <w:color w:val="000000"/>
                <w:sz w:val="24"/>
              </w:rPr>
              <w:t>&lt;Acceptance Date&gt;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4"/>
              </w:rPr>
            </w:pPr>
            <w:r>
              <w:rPr>
                <w:rFonts w:ascii="Times New Roman" w:hAnsi="Times New Roman"/>
                <w:color w:val="000000"/>
                <w:sz w:val="24"/>
              </w:rPr>
              <w:t>&lt;Electronic Signature&gt;</w:t>
            </w:r>
          </w:p>
        </w:tc>
      </w:tr>
      <w:tr>
        <w:trPr/>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4"/>
              </w:rPr>
            </w:pPr>
            <w:r>
              <w:rPr>
                <w:rFonts w:ascii="Times New Roman" w:hAnsi="Times New Roman"/>
                <w:color w:val="000000"/>
                <w:sz w:val="24"/>
              </w:rPr>
              <w:t>&lt;Participant Name&gt;</w:t>
            </w:r>
          </w:p>
        </w:tc>
      </w:tr>
    </w:tbl>
    <w:p>
      <w:pPr>
        <w:pStyle w:val="TextBody"/>
        <w:bidi w:val="0"/>
        <w:jc w:val="left"/>
        <w:rPr/>
      </w:pPr>
      <w:r>
        <w:rPr/>
        <w:t>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hubs-ex31_1.htm"/>
      <w:bookmarkStart w:id="27" w:name="kshubs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hubs-ex31_2.htm"/>
      <w:bookmarkStart w:id="29" w:name="kshub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hubs-ex32_1.htm"/>
      <w:bookmarkStart w:id="31" w:name="kshub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Quarterly Report on Form 10-Q of HubSpot, Inc. for the period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Quarterly Report on Form 10-Q of HubSpot, Inc. for the period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095017025084424/hubs-ex3_1.htm" TargetMode="External"/><Relationship Id="rId3" Type="http://schemas.openxmlformats.org/officeDocument/2006/relationships/hyperlink" Target="https://www.sec.gov/Archives/edgar/data/1404655/000095017025084424/hubs-ex3_2.htm" TargetMode="External"/><Relationship Id="rId4" Type="http://schemas.openxmlformats.org/officeDocument/2006/relationships/hyperlink" Target="https://www.sec.gov/Archives/edgar/data/1404655/000119312514353746/d697256dex41.htm" TargetMode="External"/><Relationship Id="rId5" Type="http://schemas.openxmlformats.org/officeDocument/2006/relationships/hyperlink" Target="https://www.sec.gov/Archives/edgar/data/1404655/000095017025053284/hubs-ex10_execsevplan.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45923</Words>
  <Characters>253896</Characters>
  <CharactersWithSpaces>301064</CharactersWithSpaces>
  <Paragraphs>8297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