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153035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3120" w:type="dxa"/>
        <w:tblCellMar>
          <w:top w:w="0" w:type="dxa"/>
          <w:left w:w="0" w:type="dxa"/>
          <w:bottom w:w="0" w:type="dxa"/>
          <w:right w:w="0" w:type="dxa"/>
        </w:tblCellMar>
      </w:tblPr>
      <w:tr>
        <w:trPr>
          <w:trHeight w:val="184"/>
        </w:trPr>
        <w:tc>
          <w:tcPr>
            <w:tcW w:w="308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80" w:type="dxa"/>
            <w:vAlign w:val="bottom"/>
          </w:tcPr>
          <w:p>
            <w:pPr>
              <w:ind w:left="40"/>
              <w:spacing w:after="0"/>
              <w:rPr>
                <w:sz w:val="20"/>
                <w:szCs w:val="20"/>
                <w:color w:val="auto"/>
              </w:rPr>
            </w:pPr>
            <w:r>
              <w:rPr>
                <w:rFonts w:ascii="Arial" w:cs="Arial" w:eastAsia="Arial" w:hAnsi="Arial"/>
                <w:sz w:val="16"/>
                <w:szCs w:val="16"/>
                <w:b w:val="1"/>
                <w:bCs w:val="1"/>
                <w:color w:val="auto"/>
                <w:w w:val="98"/>
              </w:rPr>
              <w:t>TO</w:t>
            </w:r>
          </w:p>
        </w:tc>
      </w:tr>
      <w:tr>
        <w:trPr>
          <w:trHeight w:val="312"/>
        </w:trPr>
        <w:tc>
          <w:tcPr>
            <w:tcW w:w="4160" w:type="dxa"/>
            <w:vAlign w:val="bottom"/>
            <w:gridSpan w:val="3"/>
          </w:tcPr>
          <w:p>
            <w:pPr>
              <w:ind w:left="1000"/>
              <w:spacing w:after="0"/>
              <w:rPr>
                <w:sz w:val="20"/>
                <w:szCs w:val="20"/>
                <w:color w:val="auto"/>
              </w:rPr>
            </w:pPr>
            <w:r>
              <w:rPr>
                <w:rFonts w:ascii="Arial" w:cs="Arial" w:eastAsia="Arial" w:hAnsi="Arial"/>
                <w:sz w:val="16"/>
                <w:szCs w:val="16"/>
                <w:b w:val="1"/>
                <w:bCs w:val="1"/>
                <w:color w:val="auto"/>
              </w:rPr>
              <w:t>COMMISSION FILE NUMBER 001-36680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140970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506"/>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5"/>
          </w:tcPr>
          <w:p>
            <w:pPr>
              <w:jc w:val="center"/>
              <w:ind w:right="520"/>
              <w:spacing w:after="0"/>
              <w:rPr>
                <w:sz w:val="20"/>
                <w:szCs w:val="20"/>
                <w:color w:val="auto"/>
              </w:rPr>
            </w:pPr>
            <w:r>
              <w:rPr>
                <w:rFonts w:ascii="Arial" w:cs="Arial" w:eastAsia="Arial" w:hAnsi="Arial"/>
                <w:sz w:val="40"/>
                <w:szCs w:val="40"/>
                <w:b w:val="1"/>
                <w:bCs w:val="1"/>
                <w:color w:val="auto"/>
                <w:w w:val="91"/>
              </w:rPr>
              <w:t>HubSpot, Inc.</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80" w:type="dxa"/>
            <w:vAlign w:val="bottom"/>
            <w:gridSpan w:val="7"/>
          </w:tcPr>
          <w:p>
            <w:pPr>
              <w:jc w:val="center"/>
              <w:ind w:left="349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vMerge w:val="restart"/>
          </w:tcPr>
          <w:p>
            <w:pPr>
              <w:jc w:val="center"/>
              <w:ind w:left="1359"/>
              <w:spacing w:after="0"/>
              <w:rPr>
                <w:sz w:val="20"/>
                <w:szCs w:val="20"/>
                <w:color w:val="auto"/>
              </w:rPr>
            </w:pPr>
            <w:r>
              <w:rPr>
                <w:rFonts w:ascii="Arial" w:cs="Arial" w:eastAsia="Arial" w:hAnsi="Arial"/>
                <w:sz w:val="16"/>
                <w:szCs w:val="16"/>
                <w:b w:val="1"/>
                <w:bCs w:val="1"/>
                <w:color w:val="auto"/>
                <w:w w:val="91"/>
              </w:rPr>
              <w:t>Delaware</w:t>
            </w:r>
          </w:p>
        </w:tc>
        <w:tc>
          <w:tcPr>
            <w:tcW w:w="42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60" w:type="dxa"/>
            <w:vAlign w:val="bottom"/>
            <w:vMerge w:val="restart"/>
          </w:tcPr>
          <w:p>
            <w:pPr>
              <w:jc w:val="center"/>
              <w:ind w:right="1859"/>
              <w:spacing w:after="0"/>
              <w:rPr>
                <w:sz w:val="20"/>
                <w:szCs w:val="20"/>
                <w:color w:val="auto"/>
              </w:rPr>
            </w:pPr>
            <w:r>
              <w:rPr>
                <w:rFonts w:ascii="Arial" w:cs="Arial" w:eastAsia="Arial" w:hAnsi="Arial"/>
                <w:sz w:val="16"/>
                <w:szCs w:val="16"/>
                <w:b w:val="1"/>
                <w:bCs w:val="1"/>
                <w:color w:val="auto"/>
                <w:w w:val="91"/>
              </w:rPr>
              <w:t>20-2632791</w:t>
            </w:r>
          </w:p>
        </w:tc>
        <w:tc>
          <w:tcPr>
            <w:tcW w:w="0" w:type="dxa"/>
            <w:vAlign w:val="bottom"/>
          </w:tcPr>
          <w:p>
            <w:pPr>
              <w:spacing w:after="0"/>
              <w:rPr>
                <w:sz w:val="1"/>
                <w:szCs w:val="1"/>
                <w:color w:val="auto"/>
              </w:rPr>
            </w:pPr>
          </w:p>
        </w:tc>
      </w:tr>
      <w:tr>
        <w:trPr>
          <w:trHeight w:val="433"/>
        </w:trPr>
        <w:tc>
          <w:tcPr>
            <w:tcW w:w="40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jc w:val="center"/>
              <w:ind w:left="1359"/>
              <w:spacing w:after="0"/>
              <w:rPr>
                <w:sz w:val="20"/>
                <w:szCs w:val="20"/>
                <w:color w:val="auto"/>
              </w:rPr>
            </w:pPr>
            <w:r>
              <w:rPr>
                <w:rFonts w:ascii="Arial" w:cs="Arial" w:eastAsia="Arial" w:hAnsi="Arial"/>
                <w:sz w:val="16"/>
                <w:szCs w:val="16"/>
                <w:b w:val="1"/>
                <w:bCs w:val="1"/>
                <w:color w:val="auto"/>
                <w:w w:val="92"/>
              </w:rPr>
              <w:t>(State or other jurisdiction of</w:t>
            </w:r>
          </w:p>
        </w:tc>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60" w:type="dxa"/>
            <w:vAlign w:val="bottom"/>
          </w:tcPr>
          <w:p>
            <w:pPr>
              <w:jc w:val="center"/>
              <w:ind w:right="1859"/>
              <w:spacing w:after="0"/>
              <w:rPr>
                <w:sz w:val="20"/>
                <w:szCs w:val="20"/>
                <w:color w:val="auto"/>
              </w:rPr>
            </w:pPr>
            <w:r>
              <w:rPr>
                <w:rFonts w:ascii="Arial" w:cs="Arial" w:eastAsia="Arial" w:hAnsi="Arial"/>
                <w:sz w:val="16"/>
                <w:szCs w:val="16"/>
                <w:b w:val="1"/>
                <w:bCs w:val="1"/>
                <w:color w:val="auto"/>
                <w:w w:val="96"/>
              </w:rPr>
              <w:t>(I.R.S. Employer</w:t>
            </w:r>
          </w:p>
        </w:tc>
        <w:tc>
          <w:tcPr>
            <w:tcW w:w="0" w:type="dxa"/>
            <w:vAlign w:val="bottom"/>
          </w:tcPr>
          <w:p>
            <w:pPr>
              <w:spacing w:after="0"/>
              <w:rPr>
                <w:sz w:val="1"/>
                <w:szCs w:val="1"/>
                <w:color w:val="auto"/>
              </w:rPr>
            </w:pPr>
          </w:p>
        </w:tc>
      </w:tr>
      <w:tr>
        <w:trPr>
          <w:trHeight w:val="210"/>
        </w:trPr>
        <w:tc>
          <w:tcPr>
            <w:tcW w:w="4080" w:type="dxa"/>
            <w:vAlign w:val="bottom"/>
            <w:gridSpan w:val="2"/>
          </w:tcPr>
          <w:p>
            <w:pPr>
              <w:jc w:val="center"/>
              <w:ind w:left="1359"/>
              <w:spacing w:after="0"/>
              <w:rPr>
                <w:sz w:val="20"/>
                <w:szCs w:val="20"/>
                <w:color w:val="auto"/>
              </w:rPr>
            </w:pPr>
            <w:r>
              <w:rPr>
                <w:rFonts w:ascii="Arial" w:cs="Arial" w:eastAsia="Arial" w:hAnsi="Arial"/>
                <w:sz w:val="16"/>
                <w:szCs w:val="16"/>
                <w:b w:val="1"/>
                <w:bCs w:val="1"/>
                <w:color w:val="auto"/>
                <w:w w:val="92"/>
              </w:rPr>
              <w:t>incorporation or organization)</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jc w:val="center"/>
              <w:ind w:right="1859"/>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310"/>
        </w:trPr>
        <w:tc>
          <w:tcPr>
            <w:tcW w:w="4080" w:type="dxa"/>
            <w:vAlign w:val="bottom"/>
            <w:gridSpan w:val="2"/>
          </w:tcPr>
          <w:p>
            <w:pPr>
              <w:jc w:val="center"/>
              <w:ind w:left="1339"/>
              <w:spacing w:after="0"/>
              <w:rPr>
                <w:sz w:val="20"/>
                <w:szCs w:val="20"/>
                <w:color w:val="auto"/>
              </w:rPr>
            </w:pPr>
            <w:r>
              <w:rPr>
                <w:rFonts w:ascii="Arial" w:cs="Arial" w:eastAsia="Arial" w:hAnsi="Arial"/>
                <w:sz w:val="16"/>
                <w:szCs w:val="16"/>
                <w:b w:val="1"/>
                <w:bCs w:val="1"/>
                <w:color w:val="auto"/>
                <w:w w:val="91"/>
              </w:rPr>
              <w:t>25 First Street</w:t>
            </w: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jc w:val="center"/>
              <w:ind w:left="1339"/>
              <w:spacing w:after="0"/>
              <w:rPr>
                <w:sz w:val="20"/>
                <w:szCs w:val="20"/>
                <w:color w:val="auto"/>
              </w:rPr>
            </w:pPr>
            <w:r>
              <w:rPr>
                <w:rFonts w:ascii="Arial" w:cs="Arial" w:eastAsia="Arial" w:hAnsi="Arial"/>
                <w:sz w:val="16"/>
                <w:szCs w:val="16"/>
                <w:b w:val="1"/>
                <w:bCs w:val="1"/>
                <w:color w:val="auto"/>
                <w:w w:val="89"/>
              </w:rPr>
              <w:t>Cambridge, Massachusetts</w:t>
            </w:r>
          </w:p>
        </w:tc>
        <w:tc>
          <w:tcPr>
            <w:tcW w:w="266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02141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gridSpan w:val="2"/>
          </w:tcPr>
          <w:p>
            <w:pPr>
              <w:ind w:left="1320"/>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420" w:type="dxa"/>
            <w:vAlign w:val="bottom"/>
          </w:tcPr>
          <w:p>
            <w:pPr>
              <w:spacing w:after="0"/>
              <w:rPr>
                <w:sz w:val="18"/>
                <w:szCs w:val="18"/>
                <w:color w:val="auto"/>
              </w:rPr>
            </w:pPr>
          </w:p>
        </w:tc>
        <w:tc>
          <w:tcPr>
            <w:tcW w:w="3180" w:type="dxa"/>
            <w:vAlign w:val="bottom"/>
            <w:gridSpan w:val="4"/>
          </w:tcPr>
          <w:p>
            <w:pPr>
              <w:ind w:left="1280"/>
              <w:spacing w:after="0"/>
              <w:rPr>
                <w:sz w:val="20"/>
                <w:szCs w:val="20"/>
                <w:color w:val="auto"/>
              </w:rPr>
            </w:pPr>
            <w:r>
              <w:rPr>
                <w:rFonts w:ascii="Arial" w:cs="Arial" w:eastAsia="Arial" w:hAnsi="Arial"/>
                <w:sz w:val="16"/>
                <w:szCs w:val="16"/>
                <w:b w:val="1"/>
                <w:bCs w:val="1"/>
                <w:color w:val="auto"/>
              </w:rPr>
              <w:t>(Zip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3"/>
              </w:rPr>
              <w:t>(888) 482-7768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80" w:type="dxa"/>
            <w:vAlign w:val="bottom"/>
            <w:gridSpan w:val="7"/>
          </w:tcPr>
          <w:p>
            <w:pPr>
              <w:jc w:val="center"/>
              <w:ind w:left="349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680" w:type="dxa"/>
            <w:vAlign w:val="bottom"/>
            <w:gridSpan w:val="7"/>
          </w:tcPr>
          <w:p>
            <w:pPr>
              <w:jc w:val="center"/>
              <w:ind w:left="347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4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Title of each class</w:t>
            </w:r>
          </w:p>
        </w:tc>
        <w:tc>
          <w:tcPr>
            <w:tcW w:w="420" w:type="dxa"/>
            <w:vAlign w:val="bottom"/>
          </w:tcPr>
          <w:p>
            <w:pPr>
              <w:spacing w:after="0"/>
              <w:rPr>
                <w:sz w:val="24"/>
                <w:szCs w:val="24"/>
                <w:color w:val="auto"/>
              </w:rPr>
            </w:pPr>
          </w:p>
        </w:tc>
        <w:tc>
          <w:tcPr>
            <w:tcW w:w="3180" w:type="dxa"/>
            <w:vAlign w:val="bottom"/>
            <w:gridSpan w:val="4"/>
          </w:tcPr>
          <w:p>
            <w:pPr>
              <w:jc w:val="center"/>
              <w:ind w:right="900"/>
              <w:spacing w:after="0"/>
              <w:rPr>
                <w:sz w:val="20"/>
                <w:szCs w:val="20"/>
                <w:color w:val="auto"/>
              </w:rPr>
            </w:pPr>
            <w:r>
              <w:rPr>
                <w:rFonts w:ascii="Arial" w:cs="Arial" w:eastAsia="Arial" w:hAnsi="Arial"/>
                <w:sz w:val="16"/>
                <w:szCs w:val="16"/>
                <w:b w:val="1"/>
                <w:bCs w:val="1"/>
                <w:color w:val="auto"/>
                <w:w w:val="91"/>
              </w:rPr>
              <w:t>Trading Symbol(s)</w:t>
            </w:r>
          </w:p>
        </w:tc>
        <w:tc>
          <w:tcPr>
            <w:tcW w:w="356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6"/>
              </w:rPr>
              <w:t>HUBS</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ind w:firstLine="509"/>
        <w:spacing w:after="0" w:line="19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80" w:firstLine="509"/>
        <w:spacing w:after="0" w:line="20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300" w:firstLine="509"/>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7"/>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194" w:lineRule="exact"/>
        <w:rPr>
          <w:sz w:val="24"/>
          <w:szCs w:val="24"/>
          <w:color w:val="auto"/>
        </w:rPr>
      </w:pPr>
    </w:p>
    <w:p>
      <w:pPr>
        <w:jc w:val="both"/>
        <w:ind w:right="8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04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47,249,897 shares of the registrant’s Common Stock issued and outstanding as of October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40" w:type="dxa"/>
            <w:vAlign w:val="bottom"/>
            <w:gridSpan w:val="11"/>
          </w:tcPr>
          <w:p>
            <w:pPr>
              <w:jc w:val="center"/>
              <w:ind w:right="4040"/>
              <w:spacing w:after="0"/>
              <w:rPr>
                <w:sz w:val="20"/>
                <w:szCs w:val="20"/>
                <w:color w:val="auto"/>
              </w:rPr>
            </w:pPr>
            <w:r>
              <w:rPr>
                <w:rFonts w:ascii="Arial" w:cs="Arial" w:eastAsia="Arial" w:hAnsi="Arial"/>
                <w:sz w:val="18"/>
                <w:szCs w:val="18"/>
                <w:b w:val="1"/>
                <w:bCs w:val="1"/>
                <w:color w:val="auto"/>
                <w:w w:val="98"/>
              </w:rPr>
              <w:t>HUBSPOT, INC.</w:t>
            </w:r>
          </w:p>
        </w:tc>
        <w:tc>
          <w:tcPr>
            <w:tcW w:w="48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40" w:type="dxa"/>
            <w:vAlign w:val="bottom"/>
            <w:gridSpan w:val="11"/>
          </w:tcPr>
          <w:p>
            <w:pPr>
              <w:jc w:val="center"/>
              <w:ind w:right="4040"/>
              <w:spacing w:after="0"/>
              <w:rPr>
                <w:sz w:val="20"/>
                <w:szCs w:val="20"/>
                <w:color w:val="auto"/>
              </w:rPr>
            </w:pPr>
            <w:r>
              <w:rPr>
                <w:rFonts w:ascii="Arial" w:cs="Arial" w:eastAsia="Arial" w:hAnsi="Arial"/>
                <w:sz w:val="18"/>
                <w:szCs w:val="18"/>
                <w:b w:val="1"/>
                <w:bCs w:val="1"/>
                <w:color w:val="auto"/>
                <w:w w:val="89"/>
              </w:rPr>
              <w:t>Table of Contents</w:t>
            </w:r>
          </w:p>
        </w:tc>
        <w:tc>
          <w:tcPr>
            <w:tcW w:w="4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340" w:type="dxa"/>
            <w:vAlign w:val="bottom"/>
            <w:gridSpan w:val="12"/>
          </w:tcPr>
          <w:p>
            <w:pPr>
              <w:jc w:val="center"/>
              <w:ind w:right="3920"/>
              <w:spacing w:after="0"/>
              <w:rPr>
                <w:rFonts w:ascii="Arial" w:cs="Arial" w:eastAsia="Arial" w:hAnsi="Arial"/>
                <w:sz w:val="18"/>
                <w:szCs w:val="18"/>
                <w:b w:val="1"/>
                <w:bCs w:val="1"/>
                <w:color w:val="0000FF"/>
                <w:w w:val="94"/>
              </w:rPr>
            </w:pPr>
            <w:hyperlink w:anchor="page5">
              <w:r>
                <w:rPr>
                  <w:rFonts w:ascii="Arial" w:cs="Arial" w:eastAsia="Arial" w:hAnsi="Arial"/>
                  <w:sz w:val="18"/>
                  <w:szCs w:val="18"/>
                  <w:b w:val="1"/>
                  <w:bCs w:val="1"/>
                  <w:color w:val="0000FF"/>
                  <w:w w:val="94"/>
                </w:rPr>
                <w:t>Part I — Financial Information</w:t>
              </w:r>
            </w:hyperlink>
          </w:p>
        </w:tc>
        <w:tc>
          <w:tcPr>
            <w:tcW w:w="4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Consolidated Financial Statements:</w:t>
              </w:r>
            </w:hyperlink>
          </w:p>
        </w:tc>
        <w:tc>
          <w:tcPr>
            <w:tcW w:w="4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58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Consolidated Balance Sheets as of September 30, 2021 and December 31,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58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Consolidated Statements of Operations for the Three and Nine Months Ended September 30, 2021 and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580" w:type="dxa"/>
            <w:vAlign w:val="bottom"/>
            <w:gridSpan w:val="18"/>
          </w:tcPr>
          <w:p>
            <w:pPr>
              <w:spacing w:after="0"/>
              <w:rPr>
                <w:rFonts w:ascii="Arial" w:cs="Arial" w:eastAsia="Arial" w:hAnsi="Arial"/>
                <w:sz w:val="18"/>
                <w:szCs w:val="18"/>
                <w:color w:val="0000FF"/>
                <w:w w:val="92"/>
              </w:rPr>
            </w:pPr>
            <w:hyperlink w:anchor="page7">
              <w:r>
                <w:rPr>
                  <w:rFonts w:ascii="Arial" w:cs="Arial" w:eastAsia="Arial" w:hAnsi="Arial"/>
                  <w:sz w:val="18"/>
                  <w:szCs w:val="18"/>
                  <w:color w:val="0000FF"/>
                  <w:w w:val="92"/>
                </w:rPr>
                <w:t>Unaudited Consolidated Statements of Comprehensive Loss for the Three and Nine Months Ended September 30, 2021 and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58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Unaudited Consolidated Statements of Cash Flows for the Nine Months Ended September 30, 2021 and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58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58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1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40" w:type="dxa"/>
            <w:vAlign w:val="bottom"/>
            <w:gridSpan w:val="11"/>
          </w:tcPr>
          <w:p>
            <w:pPr>
              <w:jc w:val="center"/>
              <w:ind w:right="4020"/>
              <w:spacing w:after="0"/>
              <w:rPr>
                <w:rFonts w:ascii="Arial" w:cs="Arial" w:eastAsia="Arial" w:hAnsi="Arial"/>
                <w:sz w:val="18"/>
                <w:szCs w:val="18"/>
                <w:b w:val="1"/>
                <w:bCs w:val="1"/>
                <w:color w:val="0000FF"/>
                <w:w w:val="96"/>
              </w:rPr>
            </w:pPr>
            <w:hyperlink w:anchor="page35">
              <w:r>
                <w:rPr>
                  <w:rFonts w:ascii="Arial" w:cs="Arial" w:eastAsia="Arial" w:hAnsi="Arial"/>
                  <w:sz w:val="18"/>
                  <w:szCs w:val="18"/>
                  <w:b w:val="1"/>
                  <w:bCs w:val="1"/>
                  <w:color w:val="0000FF"/>
                  <w:w w:val="96"/>
                </w:rPr>
                <w:t>Part II — Other Information</w:t>
              </w:r>
            </w:hyperlink>
          </w:p>
        </w:tc>
        <w:tc>
          <w:tcPr>
            <w:tcW w:w="48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gridSpan w:val="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2220" w:type="dxa"/>
            <w:vAlign w:val="bottom"/>
            <w:tcBorders>
              <w:top w:val="single" w:sz="8" w:color="0000FF"/>
            </w:tcBorders>
            <w:gridSpan w:val="4"/>
          </w:tcPr>
          <w:p>
            <w:pPr>
              <w:spacing w:after="0"/>
              <w:rPr>
                <w:sz w:val="24"/>
                <w:szCs w:val="24"/>
                <w:color w:val="auto"/>
              </w:rPr>
            </w:pPr>
          </w:p>
        </w:tc>
        <w:tc>
          <w:tcPr>
            <w:tcW w:w="402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58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Default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73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8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8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0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18"/>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Signatures</w:t>
              </w:r>
            </w:hyperlink>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63"/>
        </w:trPr>
        <w:tc>
          <w:tcPr>
            <w:tcW w:w="20" w:type="dxa"/>
            <w:vAlign w:val="bottom"/>
            <w:tcBorders>
              <w:top w:val="single" w:sz="8" w:color="0000EE"/>
            </w:tcBorders>
          </w:tcPr>
          <w:p>
            <w:pPr>
              <w:spacing w:after="0"/>
              <w:rPr>
                <w:sz w:val="22"/>
                <w:szCs w:val="22"/>
                <w:color w:val="auto"/>
              </w:rPr>
            </w:pPr>
          </w:p>
        </w:tc>
        <w:tc>
          <w:tcPr>
            <w:tcW w:w="7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EX-31.1</w:t>
            </w:r>
          </w:p>
        </w:tc>
        <w:tc>
          <w:tcPr>
            <w:tcW w:w="400" w:type="dxa"/>
            <w:vAlign w:val="bottom"/>
          </w:tcPr>
          <w:p>
            <w:pPr>
              <w:spacing w:after="0"/>
              <w:rPr>
                <w:sz w:val="22"/>
                <w:szCs w:val="22"/>
                <w:color w:val="auto"/>
              </w:rPr>
            </w:pPr>
          </w:p>
        </w:tc>
        <w:tc>
          <w:tcPr>
            <w:tcW w:w="9580" w:type="dxa"/>
            <w:vAlign w:val="bottom"/>
            <w:gridSpan w:val="18"/>
          </w:tcPr>
          <w:p>
            <w:pPr>
              <w:spacing w:after="0"/>
              <w:rPr>
                <w:sz w:val="20"/>
                <w:szCs w:val="20"/>
                <w:color w:val="auto"/>
              </w:rPr>
            </w:pPr>
            <w:r>
              <w:rPr>
                <w:rFonts w:ascii="Arial" w:cs="Arial" w:eastAsia="Arial" w:hAnsi="Arial"/>
                <w:sz w:val="18"/>
                <w:szCs w:val="18"/>
                <w:color w:val="auto"/>
              </w:rPr>
              <w:t>CERTIFICATION OF THE CEO PURSUANT TO SECTION 302</w:t>
            </w:r>
          </w:p>
        </w:tc>
        <w:tc>
          <w:tcPr>
            <w:tcW w:w="48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EX-31.2</w:t>
            </w:r>
          </w:p>
        </w:tc>
        <w:tc>
          <w:tcPr>
            <w:tcW w:w="9580" w:type="dxa"/>
            <w:vAlign w:val="bottom"/>
            <w:gridSpan w:val="18"/>
          </w:tcPr>
          <w:p>
            <w:pPr>
              <w:spacing w:after="0"/>
              <w:rPr>
                <w:sz w:val="20"/>
                <w:szCs w:val="20"/>
                <w:color w:val="auto"/>
              </w:rPr>
            </w:pPr>
            <w:r>
              <w:rPr>
                <w:rFonts w:ascii="Arial" w:cs="Arial" w:eastAsia="Arial" w:hAnsi="Arial"/>
                <w:sz w:val="18"/>
                <w:szCs w:val="18"/>
                <w:color w:val="auto"/>
              </w:rPr>
              <w:t>CERTIFICATION OF THE CFO PURSUANT TO SECTION 302</w:t>
            </w:r>
          </w:p>
        </w:tc>
        <w:tc>
          <w:tcPr>
            <w:tcW w:w="4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EX-32.1</w:t>
            </w:r>
          </w:p>
        </w:tc>
        <w:tc>
          <w:tcPr>
            <w:tcW w:w="9580" w:type="dxa"/>
            <w:vAlign w:val="bottom"/>
            <w:gridSpan w:val="18"/>
          </w:tcPr>
          <w:p>
            <w:pPr>
              <w:spacing w:after="0"/>
              <w:rPr>
                <w:sz w:val="20"/>
                <w:szCs w:val="20"/>
                <w:color w:val="auto"/>
              </w:rPr>
            </w:pPr>
            <w:r>
              <w:rPr>
                <w:rFonts w:ascii="Arial" w:cs="Arial" w:eastAsia="Arial" w:hAnsi="Arial"/>
                <w:sz w:val="18"/>
                <w:szCs w:val="18"/>
                <w:color w:val="auto"/>
              </w:rPr>
              <w:t>CERTIFICATION OF THE CEO AND CFO PURSUANT TO SECTION 906</w:t>
            </w:r>
          </w:p>
        </w:tc>
        <w:tc>
          <w:tcPr>
            <w:tcW w:w="480" w:type="dxa"/>
            <w:vAlign w:val="bottom"/>
          </w:tcPr>
          <w:p>
            <w:pPr>
              <w:spacing w:after="0"/>
              <w:rPr>
                <w:sz w:val="21"/>
                <w:szCs w:val="21"/>
                <w:color w:val="auto"/>
              </w:rPr>
            </w:pPr>
          </w:p>
        </w:tc>
      </w:tr>
      <w:tr>
        <w:trPr>
          <w:trHeight w:val="12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94"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9" w:lineRule="exact"/>
        <w:rPr>
          <w:sz w:val="20"/>
          <w:szCs w:val="20"/>
          <w:color w:val="auto"/>
        </w:rPr>
      </w:pPr>
    </w:p>
    <w:p>
      <w:pPr>
        <w:ind w:left="960" w:right="280"/>
        <w:spacing w:after="0" w:line="349" w:lineRule="auto"/>
        <w:rPr>
          <w:sz w:val="20"/>
          <w:szCs w:val="20"/>
          <w:color w:val="auto"/>
        </w:rPr>
      </w:pPr>
      <w:r>
        <w:rPr>
          <w:rFonts w:ascii="Arial" w:cs="Arial" w:eastAsia="Arial" w:hAnsi="Arial"/>
          <w:sz w:val="18"/>
          <w:szCs w:val="18"/>
          <w:color w:val="auto"/>
        </w:rPr>
        <w:t>our future financial performance, including our expectations regarding our revenue, cost of revenue, gross margin and operating expenses; maintaining and expanding our customer base and increasing our average subscription revenue per customer; the impact of competition in our industry and innovation by our competitors;</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anticipated growth and expectations regarding our ability to manage our future growth;</w:t>
      </w:r>
    </w:p>
    <w:p>
      <w:pPr>
        <w:spacing w:after="0" w:line="90"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our expectations regarding the potential impact of the COVID-19 pandemic on our business, operations, and the markets in which we and our partners and customers operate;</w:t>
      </w:r>
    </w:p>
    <w:p>
      <w:pPr>
        <w:spacing w:after="0" w:line="21" w:lineRule="exact"/>
        <w:rPr>
          <w:sz w:val="20"/>
          <w:szCs w:val="20"/>
          <w:color w:val="auto"/>
        </w:rPr>
      </w:pPr>
    </w:p>
    <w:p>
      <w:pPr>
        <w:ind w:left="960" w:right="380"/>
        <w:spacing w:after="0" w:line="293" w:lineRule="auto"/>
        <w:rPr>
          <w:sz w:val="20"/>
          <w:szCs w:val="20"/>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predictions about industry and market trends;</w:t>
      </w:r>
    </w:p>
    <w:p>
      <w:pPr>
        <w:spacing w:after="0" w:line="90" w:lineRule="exact"/>
        <w:rPr>
          <w:sz w:val="20"/>
          <w:szCs w:val="20"/>
          <w:color w:val="auto"/>
        </w:rPr>
      </w:pPr>
    </w:p>
    <w:p>
      <w:pPr>
        <w:ind w:left="960" w:right="380"/>
        <w:spacing w:after="0" w:line="323" w:lineRule="auto"/>
        <w:rPr>
          <w:sz w:val="20"/>
          <w:szCs w:val="20"/>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ind w:left="960"/>
        <w:spacing w:after="0"/>
        <w:rPr>
          <w:sz w:val="20"/>
          <w:szCs w:val="20"/>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04" w:lineRule="exact"/>
        <w:rPr>
          <w:sz w:val="20"/>
          <w:szCs w:val="20"/>
          <w:color w:val="auto"/>
        </w:rPr>
      </w:pPr>
    </w:p>
    <w:p>
      <w:pPr>
        <w:ind w:left="960" w:right="720"/>
        <w:spacing w:after="0" w:line="349" w:lineRule="auto"/>
        <w:rPr>
          <w:sz w:val="20"/>
          <w:szCs w:val="20"/>
          <w:color w:val="auto"/>
        </w:rPr>
      </w:pPr>
      <w:r>
        <w:rPr>
          <w:rFonts w:ascii="Arial" w:cs="Arial" w:eastAsia="Arial" w:hAnsi="Arial"/>
          <w:sz w:val="18"/>
          <w:szCs w:val="18"/>
          <w:color w:val="auto"/>
        </w:rPr>
        <w:t>the impact of our corporate culture and our ability to attract, hire and retain necessary qualified employees to expand our operations; the anticipated effect on our business of litigation to which we are or may become a party; our ability to successfully acquire and integrate companies and assets;</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plans regarding declaring or paying cash dividends in the foreseeable future; and</w:t>
      </w:r>
    </w:p>
    <w:p>
      <w:pPr>
        <w:spacing w:after="0" w:line="90"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142"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4" w:lineRule="exact"/>
        <w:rPr>
          <w:sz w:val="20"/>
          <w:szCs w:val="20"/>
          <w:color w:val="auto"/>
        </w:rPr>
      </w:pPr>
    </w:p>
    <w:p>
      <w:pPr>
        <w:jc w:val="both"/>
        <w:ind w:right="60" w:firstLine="509"/>
        <w:spacing w:after="0" w:line="329"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40" w:lineRule="exact"/>
        <w:rPr>
          <w:sz w:val="20"/>
          <w:szCs w:val="20"/>
          <w:color w:val="auto"/>
        </w:rPr>
      </w:pPr>
    </w:p>
    <w:p>
      <w:pPr>
        <w:ind w:right="440" w:firstLine="509"/>
        <w:spacing w:after="0" w:line="279"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5"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In this Quarterly Report on Form 10-Q, the terms “HubSpot,” “we,” “us,” and “our” refer to HubSpot, Inc. and its subsidiaries, unless the context indicates otherwise.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Risk Factor Summary</w:t>
      </w:r>
    </w:p>
    <w:p>
      <w:pPr>
        <w:spacing w:after="0" w:line="256" w:lineRule="exact"/>
        <w:rPr>
          <w:sz w:val="20"/>
          <w:szCs w:val="20"/>
          <w:color w:val="auto"/>
        </w:rPr>
      </w:pPr>
    </w:p>
    <w:p>
      <w:pPr>
        <w:ind w:firstLine="749"/>
        <w:spacing w:after="0" w:line="329" w:lineRule="auto"/>
        <w:rPr>
          <w:sz w:val="20"/>
          <w:szCs w:val="20"/>
          <w:color w:val="auto"/>
        </w:rPr>
      </w:pPr>
      <w:r>
        <w:rPr>
          <w:rFonts w:ascii="Arial" w:cs="Arial" w:eastAsia="Arial" w:hAnsi="Arial"/>
          <w:sz w:val="16"/>
          <w:szCs w:val="16"/>
          <w:i w:val="1"/>
          <w:iCs w:val="1"/>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161" w:lineRule="exact"/>
        <w:rPr>
          <w:sz w:val="20"/>
          <w:szCs w:val="20"/>
          <w:color w:val="auto"/>
        </w:rPr>
      </w:pPr>
    </w:p>
    <w:p>
      <w:pPr>
        <w:ind w:left="700" w:right="280"/>
        <w:spacing w:after="0" w:line="282" w:lineRule="auto"/>
        <w:rPr>
          <w:sz w:val="20"/>
          <w:szCs w:val="20"/>
          <w:color w:val="auto"/>
        </w:rPr>
      </w:pPr>
      <w:r>
        <w:rPr>
          <w:rFonts w:ascii="Arial" w:cs="Arial" w:eastAsia="Arial" w:hAnsi="Arial"/>
          <w:sz w:val="17"/>
          <w:szCs w:val="17"/>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ind w:left="700" w:right="160"/>
        <w:spacing w:after="0" w:line="266" w:lineRule="auto"/>
        <w:rPr>
          <w:sz w:val="20"/>
          <w:szCs w:val="20"/>
          <w:color w:val="auto"/>
        </w:rPr>
      </w:pPr>
      <w:r>
        <w:rPr>
          <w:rFonts w:ascii="Arial" w:cs="Arial" w:eastAsia="Arial" w:hAnsi="Arial"/>
          <w:sz w:val="18"/>
          <w:szCs w:val="18"/>
          <w:color w:val="auto"/>
        </w:rPr>
        <w:t>We are dependent upon customer renewals, the addition of new customers, increased revenue from existing customers and the continued growth of the market for a CRM Platform.</w:t>
      </w:r>
    </w:p>
    <w:p>
      <w:pPr>
        <w:ind w:left="700" w:right="260"/>
        <w:spacing w:after="0" w:line="266" w:lineRule="auto"/>
        <w:rPr>
          <w:sz w:val="20"/>
          <w:szCs w:val="20"/>
          <w:color w:val="auto"/>
        </w:rPr>
      </w:pPr>
      <w:r>
        <w:rPr>
          <w:rFonts w:ascii="Arial" w:cs="Arial" w:eastAsia="Arial" w:hAnsi="Arial"/>
          <w:sz w:val="18"/>
          <w:szCs w:val="18"/>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ind w:left="700" w:right="160"/>
        <w:spacing w:after="0" w:line="266" w:lineRule="auto"/>
        <w:rPr>
          <w:sz w:val="20"/>
          <w:szCs w:val="20"/>
          <w:color w:val="auto"/>
        </w:rPr>
      </w:pPr>
      <w:r>
        <w:rPr>
          <w:rFonts w:ascii="Arial" w:cs="Arial" w:eastAsia="Arial" w:hAnsi="Arial"/>
          <w:sz w:val="18"/>
          <w:szCs w:val="18"/>
          <w:color w:val="auto"/>
        </w:rPr>
        <w:t>Failure to effectively develop and expand our marketing, sales, customer service, and content management capabilities could harm our ability to increase our customer base and achieve broader market acceptance of our platform.</w:t>
      </w:r>
    </w:p>
    <w:p>
      <w:pPr>
        <w:ind w:left="700" w:right="800"/>
        <w:spacing w:after="0" w:line="266" w:lineRule="auto"/>
        <w:rPr>
          <w:sz w:val="20"/>
          <w:szCs w:val="20"/>
          <w:color w:val="auto"/>
        </w:rPr>
      </w:pPr>
      <w:r>
        <w:rPr>
          <w:rFonts w:ascii="Arial" w:cs="Arial" w:eastAsia="Arial" w:hAnsi="Arial"/>
          <w:sz w:val="18"/>
          <w:szCs w:val="18"/>
          <w:color w:val="auto"/>
        </w:rPr>
        <w:t>If we fail to adapt and respond effectively to rapidly changing technology, evolving industry standards and changing customer needs or requirements, our CRM Platform may become less competitive.</w:t>
      </w:r>
    </w:p>
    <w:p>
      <w:pPr>
        <w:ind w:left="700" w:right="240"/>
        <w:spacing w:after="0" w:line="299" w:lineRule="auto"/>
        <w:rPr>
          <w:sz w:val="20"/>
          <w:szCs w:val="20"/>
          <w:color w:val="auto"/>
        </w:rPr>
      </w:pPr>
      <w:r>
        <w:rPr>
          <w:rFonts w:ascii="Arial" w:cs="Arial" w:eastAsia="Arial" w:hAnsi="Arial"/>
          <w:sz w:val="16"/>
          <w:szCs w:val="16"/>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 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 w:lineRule="exact"/>
        <w:rPr>
          <w:sz w:val="20"/>
          <w:szCs w:val="20"/>
          <w:color w:val="auto"/>
        </w:rPr>
      </w:pPr>
    </w:p>
    <w:p>
      <w:pPr>
        <w:ind w:left="700" w:right="240"/>
        <w:spacing w:after="0" w:line="266" w:lineRule="auto"/>
        <w:rPr>
          <w:sz w:val="20"/>
          <w:szCs w:val="20"/>
          <w:color w:val="auto"/>
        </w:rPr>
      </w:pPr>
      <w:r>
        <w:rPr>
          <w:rFonts w:ascii="Arial" w:cs="Arial" w:eastAsia="Arial" w:hAnsi="Arial"/>
          <w:sz w:val="18"/>
          <w:szCs w:val="18"/>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ind w:left="700" w:right="480"/>
        <w:spacing w:after="0" w:line="266" w:lineRule="auto"/>
        <w:rPr>
          <w:sz w:val="20"/>
          <w:szCs w:val="20"/>
          <w:color w:val="auto"/>
        </w:rPr>
      </w:pPr>
      <w:r>
        <w:rPr>
          <w:rFonts w:ascii="Arial" w:cs="Arial" w:eastAsia="Arial" w:hAnsi="Arial"/>
          <w:sz w:val="18"/>
          <w:szCs w:val="18"/>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 We have a history of losses and may not achieve profitability in the future.</w:t>
      </w:r>
    </w:p>
    <w:p>
      <w:pPr>
        <w:ind w:left="700" w:right="220"/>
        <w:spacing w:after="0" w:line="266" w:lineRule="auto"/>
        <w:rPr>
          <w:sz w:val="20"/>
          <w:szCs w:val="20"/>
          <w:color w:val="auto"/>
        </w:rPr>
      </w:pPr>
      <w:r>
        <w:rPr>
          <w:rFonts w:ascii="Arial" w:cs="Arial" w:eastAsia="Arial" w:hAnsi="Arial"/>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ind w:left="700" w:right="820"/>
        <w:spacing w:after="0" w:line="266" w:lineRule="auto"/>
        <w:rPr>
          <w:sz w:val="20"/>
          <w:szCs w:val="20"/>
          <w:color w:val="auto"/>
        </w:rPr>
      </w:pPr>
      <w:r>
        <w:rPr>
          <w:rFonts w:ascii="Arial" w:cs="Arial" w:eastAsia="Arial" w:hAnsi="Arial"/>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ind w:left="700"/>
        <w:spacing w:after="0"/>
        <w:rPr>
          <w:sz w:val="20"/>
          <w:szCs w:val="20"/>
          <w:color w:val="auto"/>
        </w:rPr>
      </w:pPr>
      <w:r>
        <w:rPr>
          <w:rFonts w:ascii="Arial" w:cs="Arial" w:eastAsia="Arial" w:hAnsi="Arial"/>
          <w:sz w:val="18"/>
          <w:szCs w:val="18"/>
          <w:color w:val="auto"/>
        </w:rPr>
        <w:t>Our ability to raise capital in the future may be limited, and our failure to raise capital when needed could prevent us from growing.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288,334</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378,123</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882,340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873,073</w:t>
            </w:r>
          </w:p>
        </w:tc>
        <w:tc>
          <w:tcPr>
            <w:tcW w:w="100" w:type="dxa"/>
            <w:vAlign w:val="bottom"/>
          </w:tcPr>
          <w:p>
            <w:pPr>
              <w:spacing w:after="0"/>
              <w:rPr>
                <w:sz w:val="21"/>
                <w:szCs w:val="21"/>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 net of allowance for doubtful accounts of $1,441 and</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$1,993 at September 30, 2021 and December 31, 2020, respectively</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126,673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126,433</w:t>
            </w:r>
          </w:p>
        </w:tc>
        <w:tc>
          <w:tcPr>
            <w:tcW w:w="100" w:type="dxa"/>
            <w:vAlign w:val="bottom"/>
            <w:shd w:val="clear" w:color="auto" w:fill="CFF0FC"/>
          </w:tcPr>
          <w:p>
            <w:pPr>
              <w:spacing w:after="0"/>
              <w:rPr>
                <w:sz w:val="21"/>
                <w:szCs w:val="21"/>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Deferred commission expense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57,475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44,576</w:t>
            </w:r>
          </w:p>
        </w:tc>
        <w:tc>
          <w:tcPr>
            <w:tcW w:w="100" w:type="dxa"/>
            <w:vAlign w:val="bottom"/>
          </w:tcPr>
          <w:p>
            <w:pPr>
              <w:spacing w:after="0"/>
              <w:rPr>
                <w:sz w:val="21"/>
                <w:szCs w:val="21"/>
                <w:color w:val="auto"/>
              </w:rPr>
            </w:pPr>
          </w:p>
        </w:tc>
      </w:tr>
      <w:tr>
        <w:trPr>
          <w:trHeight w:val="26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56,242</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1,411,064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1,456,921</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114,738</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30,697</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94,727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101,123</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development costs, net</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37,982</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24,943</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285,273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275,893</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commission expense, net of current portion</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37,642</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28,296</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25,570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11,075</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shd w:val="clear" w:color="auto" w:fill="CFF0FC"/>
          </w:tcPr>
          <w:p>
            <w:pPr>
              <w:spacing w:after="0"/>
              <w:rPr>
                <w:sz w:val="22"/>
                <w:szCs w:val="22"/>
                <w:color w:val="auto"/>
              </w:rPr>
            </w:pP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47,404</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31,318</w:t>
            </w:r>
          </w:p>
        </w:tc>
        <w:tc>
          <w:tcPr>
            <w:tcW w:w="100" w:type="dxa"/>
            <w:vAlign w:val="bottom"/>
          </w:tcPr>
          <w:p>
            <w:pPr>
              <w:spacing w:after="0"/>
              <w:rPr>
                <w:sz w:val="22"/>
                <w:szCs w:val="22"/>
                <w:color w:val="auto"/>
              </w:rPr>
            </w:pP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2,065,475</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1,973,366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1,944</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 costs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64,319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44,054</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64,691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37,184</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Convertible senior notes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25,216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30,020</w:t>
            </w:r>
          </w:p>
        </w:tc>
        <w:tc>
          <w:tcPr>
            <w:tcW w:w="100" w:type="dxa"/>
            <w:vAlign w:val="bottom"/>
          </w:tcPr>
          <w:p>
            <w:pPr>
              <w:spacing w:after="0"/>
              <w:rPr>
                <w:sz w:val="21"/>
                <w:szCs w:val="21"/>
                <w:color w:val="auto"/>
              </w:rPr>
            </w:pPr>
          </w:p>
        </w:tc>
      </w:tr>
      <w:tr>
        <w:trPr>
          <w:trHeight w:val="26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372,381</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549,820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445,501</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289,536</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279,664</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3,498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11,833</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shd w:val="clear" w:color="auto" w:fill="CFF0FC"/>
          </w:tcPr>
          <w:p>
            <w:pPr>
              <w:spacing w:after="0"/>
              <w:rPr>
                <w:sz w:val="22"/>
                <w:szCs w:val="22"/>
                <w:color w:val="auto"/>
              </w:rPr>
            </w:pP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378,795</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471,099</w:t>
            </w:r>
          </w:p>
        </w:tc>
        <w:tc>
          <w:tcPr>
            <w:tcW w:w="100" w:type="dxa"/>
            <w:vAlign w:val="bottom"/>
          </w:tcPr>
          <w:p>
            <w:pPr>
              <w:spacing w:after="0"/>
              <w:rPr>
                <w:sz w:val="22"/>
                <w:szCs w:val="22"/>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1,233,482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1,210,711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1,375,982</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1,241,167</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(544,627 )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(483,161 )</w:t>
            </w: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831,993</w:t>
            </w:r>
          </w:p>
        </w:tc>
        <w:tc>
          <w:tcPr>
            <w:tcW w:w="28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762,655</w:t>
            </w:r>
          </w:p>
        </w:tc>
        <w:tc>
          <w:tcPr>
            <w:tcW w:w="100" w:type="dxa"/>
            <w:vAlign w:val="bottom"/>
            <w:tcBorders>
              <w:top w:val="single" w:sz="8" w:color="CFF0FC"/>
            </w:tcBorders>
          </w:tcPr>
          <w:p>
            <w:pPr>
              <w:spacing w:after="0"/>
              <w:rPr>
                <w:sz w:val="21"/>
                <w:szCs w:val="21"/>
                <w:color w:val="auto"/>
              </w:rPr>
            </w:pP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2,065,475</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1,973,366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-5320030</wp:posOffset>
            </wp:positionV>
            <wp:extent cx="1803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-5320030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-3676650</wp:posOffset>
            </wp:positionV>
            <wp:extent cx="180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-3659505</wp:posOffset>
            </wp:positionV>
            <wp:extent cx="180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-2345055</wp:posOffset>
            </wp:positionV>
            <wp:extent cx="180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-2345055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-1350645</wp:posOffset>
            </wp:positionV>
            <wp:extent cx="1803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-1350645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-365125</wp:posOffset>
            </wp:positionV>
            <wp:extent cx="1803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1803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1803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For the Nine Months Ended September</w:t>
            </w:r>
          </w:p>
        </w:tc>
      </w:tr>
      <w:tr>
        <w:trPr>
          <w:trHeight w:val="192"/>
        </w:trPr>
        <w:tc>
          <w:tcPr>
            <w:tcW w:w="5440" w:type="dxa"/>
            <w:vAlign w:val="bottom"/>
          </w:tcPr>
          <w:p>
            <w:pPr>
              <w:spacing w:after="0"/>
              <w:rPr>
                <w:sz w:val="16"/>
                <w:szCs w:val="16"/>
                <w:color w:val="auto"/>
              </w:rPr>
            </w:pPr>
          </w:p>
        </w:tc>
        <w:tc>
          <w:tcPr>
            <w:tcW w:w="31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28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4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328,975</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221,058</w:t>
            </w:r>
          </w:p>
        </w:tc>
        <w:tc>
          <w:tcPr>
            <w:tcW w:w="220" w:type="dxa"/>
            <w:vAlign w:val="bottom"/>
          </w:tcPr>
          <w:p>
            <w:pPr>
              <w:spacing w:after="0"/>
              <w:rPr>
                <w:sz w:val="21"/>
                <w:szCs w:val="21"/>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899,661</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608,702</w:t>
            </w:r>
          </w:p>
        </w:tc>
        <w:tc>
          <w:tcPr>
            <w:tcW w:w="100" w:type="dxa"/>
            <w:vAlign w:val="bottom"/>
          </w:tcPr>
          <w:p>
            <w:pPr>
              <w:spacing w:after="0"/>
              <w:rPr>
                <w:sz w:val="21"/>
                <w:szCs w:val="21"/>
                <w:color w:val="auto"/>
              </w:rPr>
            </w:pPr>
          </w:p>
        </w:tc>
      </w:tr>
      <w:tr>
        <w:trPr>
          <w:trHeight w:val="263"/>
        </w:trPr>
        <w:tc>
          <w:tcPr>
            <w:tcW w:w="5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Professional services and other</w:t>
            </w: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10,220</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31,688</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40" w:type="dxa"/>
            <w:vAlign w:val="bottom"/>
          </w:tcPr>
          <w:p>
            <w:pPr>
              <w:ind w:left="5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339,195</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228,385</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931,349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630,961</w:t>
            </w:r>
          </w:p>
        </w:tc>
        <w:tc>
          <w:tcPr>
            <w:tcW w:w="100" w:type="dxa"/>
            <w:vAlign w:val="bottom"/>
          </w:tcPr>
          <w:p>
            <w:pPr>
              <w:spacing w:after="0"/>
              <w:rPr>
                <w:sz w:val="21"/>
                <w:szCs w:val="21"/>
                <w:color w:val="auto"/>
              </w:rPr>
            </w:pPr>
          </w:p>
        </w:tc>
      </w:tr>
      <w:tr>
        <w:trPr>
          <w:trHeight w:val="250"/>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44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57,547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33,181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152,533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93,316</w:t>
            </w:r>
          </w:p>
        </w:tc>
        <w:tc>
          <w:tcPr>
            <w:tcW w:w="100" w:type="dxa"/>
            <w:vAlign w:val="bottom"/>
          </w:tcPr>
          <w:p>
            <w:pPr>
              <w:spacing w:after="0"/>
              <w:rPr>
                <w:sz w:val="21"/>
                <w:szCs w:val="21"/>
                <w:color w:val="auto"/>
              </w:rPr>
            </w:pPr>
          </w:p>
        </w:tc>
      </w:tr>
      <w:tr>
        <w:trPr>
          <w:trHeight w:val="263"/>
        </w:trPr>
        <w:tc>
          <w:tcPr>
            <w:tcW w:w="5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Professional services and other</w:t>
            </w: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12,059</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9,422</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40" w:type="dxa"/>
            <w:vAlign w:val="bottom"/>
          </w:tcPr>
          <w:p>
            <w:pPr>
              <w:ind w:left="56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69,606</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187,218</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119,664</w:t>
            </w:r>
          </w:p>
        </w:tc>
        <w:tc>
          <w:tcPr>
            <w:tcW w:w="100" w:type="dxa"/>
            <w:vAlign w:val="bottom"/>
          </w:tcPr>
          <w:p>
            <w:pPr>
              <w:spacing w:after="0"/>
              <w:rPr>
                <w:sz w:val="21"/>
                <w:szCs w:val="21"/>
                <w:color w:val="auto"/>
              </w:rPr>
            </w:pPr>
          </w:p>
        </w:tc>
      </w:tr>
      <w:tr>
        <w:trPr>
          <w:trHeight w:val="250"/>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269,589</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185,782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744,131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511,297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78,473</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54,456</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218,973</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150,026</w:t>
            </w: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170,016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119,299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468,836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324,230</w:t>
            </w:r>
          </w:p>
        </w:tc>
        <w:tc>
          <w:tcPr>
            <w:tcW w:w="100" w:type="dxa"/>
            <w:vAlign w:val="bottom"/>
          </w:tcPr>
          <w:p>
            <w:pPr>
              <w:spacing w:after="0"/>
              <w:rPr>
                <w:sz w:val="21"/>
                <w:szCs w:val="21"/>
                <w:color w:val="auto"/>
              </w:rPr>
            </w:pPr>
          </w:p>
        </w:tc>
      </w:tr>
      <w:tr>
        <w:trPr>
          <w:trHeight w:val="263"/>
        </w:trPr>
        <w:tc>
          <w:tcPr>
            <w:tcW w:w="5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36,027</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27,488</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102,883</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80,228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284,516</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790,692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554,484</w:t>
            </w:r>
          </w:p>
        </w:tc>
        <w:tc>
          <w:tcPr>
            <w:tcW w:w="100" w:type="dxa"/>
            <w:vAlign w:val="bottom"/>
          </w:tcPr>
          <w:p>
            <w:pPr>
              <w:spacing w:after="0"/>
              <w:rPr>
                <w:sz w:val="21"/>
                <w:szCs w:val="21"/>
                <w:color w:val="auto"/>
              </w:rPr>
            </w:pPr>
          </w:p>
        </w:tc>
      </w:tr>
      <w:tr>
        <w:trPr>
          <w:trHeight w:val="250"/>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(14,927 )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(15,461 )</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(46,561 )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(43,187 )</w:t>
            </w:r>
          </w:p>
        </w:tc>
      </w:tr>
      <w:tr>
        <w:trPr>
          <w:trHeight w:val="243"/>
        </w:trPr>
        <w:tc>
          <w:tcPr>
            <w:tcW w:w="54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expense:</w:t>
            </w: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(7,798 )</w:t>
            </w:r>
          </w:p>
        </w:tc>
        <w:tc>
          <w:tcPr>
            <w:tcW w:w="3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(7,062 )</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(24,376 )</w:t>
            </w: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(29,823 )</w:t>
            </w:r>
          </w:p>
        </w:tc>
      </w:tr>
      <w:tr>
        <w:trPr>
          <w:trHeight w:val="263"/>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9,877</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(7 )</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11,064</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(1,152 )</w:t>
            </w:r>
          </w:p>
        </w:tc>
      </w:tr>
      <w:tr>
        <w:trPr>
          <w:trHeight w:val="20"/>
        </w:trPr>
        <w:tc>
          <w:tcPr>
            <w:tcW w:w="5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44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(6,111 )</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(12,266 )</w:t>
            </w: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(23,825 )</w:t>
            </w:r>
          </w:p>
        </w:tc>
      </w:tr>
      <w:tr>
        <w:trPr>
          <w:trHeight w:val="20"/>
        </w:trPr>
        <w:tc>
          <w:tcPr>
            <w:tcW w:w="5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 expense</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(12,618 )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(21,572 )</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(58,827 )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(67,012 )</w:t>
            </w:r>
          </w:p>
        </w:tc>
      </w:tr>
      <w:tr>
        <w:trPr>
          <w:trHeight w:val="257"/>
        </w:trPr>
        <w:tc>
          <w:tcPr>
            <w:tcW w:w="544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(1,117 )</w:t>
            </w:r>
          </w:p>
        </w:tc>
        <w:tc>
          <w:tcPr>
            <w:tcW w:w="3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(926 )</w:t>
            </w:r>
          </w:p>
        </w:tc>
        <w:tc>
          <w:tcPr>
            <w:tcW w:w="2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(2,639 )</w:t>
            </w:r>
          </w:p>
        </w:tc>
        <w:tc>
          <w:tcPr>
            <w:tcW w:w="26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(2,603 )</w:t>
            </w:r>
          </w:p>
        </w:tc>
      </w:tr>
      <w:tr>
        <w:trPr>
          <w:trHeight w:val="20"/>
        </w:trPr>
        <w:tc>
          <w:tcPr>
            <w:tcW w:w="5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(13,735 )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(22,498 )</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(61,466 )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(69,615 )</w:t>
            </w: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(0.29 )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(0.49 )</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(1.57 )</w:t>
            </w: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used in</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5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computing basic and diluted net loss per share: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47,044</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-3845560</wp:posOffset>
            </wp:positionV>
            <wp:extent cx="16319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-3845560</wp:posOffset>
            </wp:positionV>
            <wp:extent cx="1460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-3845560</wp:posOffset>
            </wp:positionV>
            <wp:extent cx="1454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-3845560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-3176905</wp:posOffset>
            </wp:positionV>
            <wp:extent cx="16319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-3176905</wp:posOffset>
            </wp:positionV>
            <wp:extent cx="1460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-3176905</wp:posOffset>
            </wp:positionV>
            <wp:extent cx="14541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-3176905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-2834005</wp:posOffset>
            </wp:positionV>
            <wp:extent cx="16319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-2834005</wp:posOffset>
            </wp:positionV>
            <wp:extent cx="14605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-2834005</wp:posOffset>
            </wp:positionV>
            <wp:extent cx="14541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-2834005</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-2173605</wp:posOffset>
            </wp:positionV>
            <wp:extent cx="16319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-2173605</wp:posOffset>
            </wp:positionV>
            <wp:extent cx="14605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-2173605</wp:posOffset>
            </wp:positionV>
            <wp:extent cx="14541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-2173605</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-1830705</wp:posOffset>
            </wp:positionV>
            <wp:extent cx="16319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-1830705</wp:posOffset>
            </wp:positionV>
            <wp:extent cx="14605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-1830705</wp:posOffset>
            </wp:positionV>
            <wp:extent cx="14541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-1830705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-1170940</wp:posOffset>
            </wp:positionV>
            <wp:extent cx="16319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-1170940</wp:posOffset>
            </wp:positionV>
            <wp:extent cx="14605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-1170940</wp:posOffset>
            </wp:positionV>
            <wp:extent cx="1454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-1170940</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-496570</wp:posOffset>
            </wp:positionV>
            <wp:extent cx="1631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-479425</wp:posOffset>
            </wp:positionV>
            <wp:extent cx="1631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-496570</wp:posOffset>
            </wp:positionV>
            <wp:extent cx="1460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-479425</wp:posOffset>
            </wp:positionV>
            <wp:extent cx="1460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-496570</wp:posOffset>
            </wp:positionV>
            <wp:extent cx="145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-479425</wp:posOffset>
            </wp:positionV>
            <wp:extent cx="1454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04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Three Months Ended September 30,</w:t>
            </w:r>
          </w:p>
        </w:tc>
        <w:tc>
          <w:tcPr>
            <w:tcW w:w="280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(13,735 )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(22,498 )</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(61,466 )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(69,615 )</w:t>
            </w:r>
          </w:p>
        </w:tc>
        <w:tc>
          <w:tcPr>
            <w:tcW w:w="0" w:type="dxa"/>
            <w:vAlign w:val="bottom"/>
          </w:tcPr>
          <w:p>
            <w:pPr>
              <w:spacing w:after="0"/>
              <w:rPr>
                <w:sz w:val="1"/>
                <w:szCs w:val="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(1,600 )</w:t>
            </w: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(3,555 )</w:t>
            </w: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400" w:type="dxa"/>
            <w:vAlign w:val="bottom"/>
          </w:tcPr>
          <w:p>
            <w:pPr>
              <w:ind w:left="200"/>
              <w:spacing w:after="0"/>
              <w:rPr>
                <w:sz w:val="20"/>
                <w:szCs w:val="20"/>
                <w:color w:val="auto"/>
              </w:rPr>
            </w:pPr>
            <w:r>
              <w:rPr>
                <w:rFonts w:ascii="Arial" w:cs="Arial" w:eastAsia="Arial" w:hAnsi="Arial"/>
                <w:sz w:val="18"/>
                <w:szCs w:val="18"/>
                <w:color w:val="auto"/>
              </w:rPr>
              <w:t>Changes in unrealized (loss) gain on investments, net of</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00"/>
              <w:spacing w:after="0"/>
              <w:rPr>
                <w:sz w:val="20"/>
                <w:szCs w:val="20"/>
                <w:color w:val="auto"/>
              </w:rPr>
            </w:pPr>
            <w:r>
              <w:rPr>
                <w:rFonts w:ascii="Arial" w:cs="Arial" w:eastAsia="Arial" w:hAnsi="Arial"/>
                <w:sz w:val="18"/>
                <w:szCs w:val="18"/>
                <w:color w:val="auto"/>
              </w:rPr>
              <w:t>income taxes of ($1) and ($44) for the three and nine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00"/>
              <w:spacing w:after="0"/>
              <w:rPr>
                <w:sz w:val="20"/>
                <w:szCs w:val="20"/>
                <w:color w:val="auto"/>
              </w:rPr>
            </w:pPr>
            <w:r>
              <w:rPr>
                <w:rFonts w:ascii="Arial" w:cs="Arial" w:eastAsia="Arial" w:hAnsi="Arial"/>
                <w:sz w:val="18"/>
                <w:szCs w:val="18"/>
                <w:color w:val="auto"/>
              </w:rPr>
              <w:t>months ended September 30, 2021, and ($15) and ($91)</w:t>
            </w:r>
          </w:p>
        </w:tc>
        <w:tc>
          <w:tcPr>
            <w:tcW w:w="280" w:type="dxa"/>
            <w:vAlign w:val="bottom"/>
          </w:tcPr>
          <w:p>
            <w:pPr>
              <w:spacing w:after="0"/>
              <w:rPr>
                <w:sz w:val="19"/>
                <w:szCs w:val="19"/>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(37 )</w:t>
            </w:r>
          </w:p>
        </w:tc>
        <w:tc>
          <w:tcPr>
            <w:tcW w:w="300" w:type="dxa"/>
            <w:vAlign w:val="bottom"/>
          </w:tcPr>
          <w:p>
            <w:pPr>
              <w:spacing w:after="0"/>
              <w:rPr>
                <w:sz w:val="19"/>
                <w:szCs w:val="19"/>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(279 )</w:t>
            </w:r>
          </w:p>
        </w:tc>
        <w:tc>
          <w:tcPr>
            <w:tcW w:w="280" w:type="dxa"/>
            <w:vAlign w:val="bottom"/>
          </w:tcPr>
          <w:p>
            <w:pPr>
              <w:spacing w:after="0"/>
              <w:rPr>
                <w:sz w:val="19"/>
                <w:szCs w:val="19"/>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(457 )</w:t>
            </w:r>
          </w:p>
        </w:tc>
        <w:tc>
          <w:tcPr>
            <w:tcW w:w="3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00"/>
              <w:spacing w:after="0"/>
              <w:rPr>
                <w:sz w:val="20"/>
                <w:szCs w:val="20"/>
                <w:color w:val="auto"/>
              </w:rPr>
            </w:pPr>
            <w:r>
              <w:rPr>
                <w:rFonts w:ascii="Arial" w:cs="Arial" w:eastAsia="Arial" w:hAnsi="Arial"/>
                <w:sz w:val="18"/>
                <w:szCs w:val="18"/>
                <w:color w:val="auto"/>
              </w:rPr>
              <w:t>for the three and nine months ended September 30, 2020</w:t>
            </w:r>
          </w:p>
        </w:tc>
        <w:tc>
          <w:tcPr>
            <w:tcW w:w="2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(15,372 )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(20,728 )</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(65,478 )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(67,048 )</w:t>
            </w: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1714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1714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1625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625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1543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1543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96"/>
        </w:trPr>
        <w:tc>
          <w:tcPr>
            <w:tcW w:w="8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02"/>
        </w:trPr>
        <w:tc>
          <w:tcPr>
            <w:tcW w:w="8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7"/>
        </w:trPr>
        <w:tc>
          <w:tcPr>
            <w:tcW w:w="81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(61,466 )</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(69,615 )</w:t>
            </w:r>
          </w:p>
        </w:tc>
      </w:tr>
      <w:tr>
        <w:trPr>
          <w:trHeight w:val="190"/>
        </w:trPr>
        <w:tc>
          <w:tcPr>
            <w:tcW w:w="8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and cash equivalents provided</w:t>
            </w: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4"/>
        </w:trPr>
        <w:tc>
          <w:tcPr>
            <w:tcW w:w="81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by operating activities, net of acquisitions</w:t>
            </w: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7"/>
        </w:trPr>
        <w:tc>
          <w:tcPr>
            <w:tcW w:w="812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33,188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27,067</w:t>
            </w:r>
          </w:p>
        </w:tc>
        <w:tc>
          <w:tcPr>
            <w:tcW w:w="80" w:type="dxa"/>
            <w:vAlign w:val="bottom"/>
          </w:tcPr>
          <w:p>
            <w:pPr>
              <w:spacing w:after="0"/>
              <w:rPr>
                <w:sz w:val="17"/>
                <w:szCs w:val="17"/>
                <w:color w:val="auto"/>
              </w:rPr>
            </w:pPr>
          </w:p>
        </w:tc>
      </w:tr>
      <w:tr>
        <w:trPr>
          <w:trHeight w:val="208"/>
        </w:trPr>
        <w:tc>
          <w:tcPr>
            <w:tcW w:w="8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120,847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90,022</w:t>
            </w:r>
          </w:p>
        </w:tc>
        <w:tc>
          <w:tcPr>
            <w:tcW w:w="80" w:type="dxa"/>
            <w:vAlign w:val="bottom"/>
            <w:shd w:val="clear" w:color="auto" w:fill="CFF0FC"/>
          </w:tcPr>
          <w:p>
            <w:pPr>
              <w:spacing w:after="0"/>
              <w:rPr>
                <w:sz w:val="18"/>
                <w:szCs w:val="18"/>
                <w:color w:val="auto"/>
              </w:rPr>
            </w:pPr>
          </w:p>
        </w:tc>
      </w:tr>
      <w:tr>
        <w:trPr>
          <w:trHeight w:val="197"/>
        </w:trPr>
        <w:tc>
          <w:tcPr>
            <w:tcW w:w="8120" w:type="dxa"/>
            <w:vAlign w:val="bottom"/>
          </w:tcPr>
          <w:p>
            <w:pPr>
              <w:ind w:left="380"/>
              <w:spacing w:after="0"/>
              <w:rPr>
                <w:sz w:val="20"/>
                <w:szCs w:val="20"/>
                <w:color w:val="auto"/>
              </w:rPr>
            </w:pPr>
            <w:r>
              <w:rPr>
                <w:rFonts w:ascii="Arial" w:cs="Arial" w:eastAsia="Arial" w:hAnsi="Arial"/>
                <w:sz w:val="14"/>
                <w:szCs w:val="14"/>
                <w:color w:val="auto"/>
              </w:rPr>
              <w:t>Loss on early extinguishment of 2022 Convertible Notes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4,824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10,493</w:t>
            </w:r>
          </w:p>
        </w:tc>
        <w:tc>
          <w:tcPr>
            <w:tcW w:w="80" w:type="dxa"/>
            <w:vAlign w:val="bottom"/>
          </w:tcPr>
          <w:p>
            <w:pPr>
              <w:spacing w:after="0"/>
              <w:rPr>
                <w:sz w:val="17"/>
                <w:szCs w:val="17"/>
                <w:color w:val="auto"/>
              </w:rPr>
            </w:pPr>
          </w:p>
        </w:tc>
      </w:tr>
      <w:tr>
        <w:trPr>
          <w:trHeight w:val="208"/>
        </w:trPr>
        <w:tc>
          <w:tcPr>
            <w:tcW w:w="8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 of 2022 Convertible Notes attributable to the debt discount</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(24,457 )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(48,675 )</w:t>
            </w:r>
          </w:p>
        </w:tc>
      </w:tr>
      <w:tr>
        <w:trPr>
          <w:trHeight w:val="197"/>
        </w:trPr>
        <w:tc>
          <w:tcPr>
            <w:tcW w:w="8120" w:type="dxa"/>
            <w:vAlign w:val="bottom"/>
          </w:tcPr>
          <w:p>
            <w:pPr>
              <w:ind w:left="380"/>
              <w:spacing w:after="0"/>
              <w:rPr>
                <w:sz w:val="20"/>
                <w:szCs w:val="20"/>
                <w:color w:val="auto"/>
              </w:rPr>
            </w:pPr>
            <w:r>
              <w:rPr>
                <w:rFonts w:ascii="Arial" w:cs="Arial" w:eastAsia="Arial" w:hAnsi="Arial"/>
                <w:sz w:val="14"/>
                <w:szCs w:val="14"/>
                <w:color w:val="auto"/>
              </w:rPr>
              <w:t>Gain on termination of operating leases</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(4,276 )</w:t>
            </w:r>
          </w:p>
        </w:tc>
        <w:tc>
          <w:tcPr>
            <w:tcW w:w="3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8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disposal of fixed assets</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8120" w:type="dxa"/>
            <w:vAlign w:val="bottom"/>
          </w:tcPr>
          <w:p>
            <w:pPr>
              <w:ind w:left="380"/>
              <w:spacing w:after="0"/>
              <w:rPr>
                <w:sz w:val="20"/>
                <w:szCs w:val="20"/>
                <w:color w:val="auto"/>
              </w:rPr>
            </w:pPr>
            <w:r>
              <w:rPr>
                <w:rFonts w:ascii="Arial" w:cs="Arial" w:eastAsia="Arial" w:hAnsi="Arial"/>
                <w:sz w:val="14"/>
                <w:szCs w:val="14"/>
                <w:color w:val="auto"/>
              </w:rPr>
              <w:t>Gain on strategic investments</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(11,739 )</w:t>
            </w:r>
          </w:p>
        </w:tc>
        <w:tc>
          <w:tcPr>
            <w:tcW w:w="3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8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Benefit from deferred income taxes</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(1,321 )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(736 )</w:t>
            </w:r>
          </w:p>
        </w:tc>
      </w:tr>
      <w:tr>
        <w:trPr>
          <w:trHeight w:val="197"/>
        </w:trPr>
        <w:tc>
          <w:tcPr>
            <w:tcW w:w="8120" w:type="dxa"/>
            <w:vAlign w:val="bottom"/>
          </w:tcPr>
          <w:p>
            <w:pPr>
              <w:ind w:left="380"/>
              <w:spacing w:after="0"/>
              <w:rPr>
                <w:sz w:val="20"/>
                <w:szCs w:val="20"/>
                <w:color w:val="auto"/>
              </w:rPr>
            </w:pPr>
            <w:r>
              <w:rPr>
                <w:rFonts w:ascii="Arial" w:cs="Arial" w:eastAsia="Arial" w:hAnsi="Arial"/>
                <w:sz w:val="14"/>
                <w:szCs w:val="14"/>
                <w:color w:val="auto"/>
              </w:rPr>
              <w:t>Amortization of debt discount and issuance costs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18,115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18,188</w:t>
            </w:r>
          </w:p>
        </w:tc>
        <w:tc>
          <w:tcPr>
            <w:tcW w:w="80" w:type="dxa"/>
            <w:vAlign w:val="bottom"/>
          </w:tcPr>
          <w:p>
            <w:pPr>
              <w:spacing w:after="0"/>
              <w:rPr>
                <w:sz w:val="17"/>
                <w:szCs w:val="17"/>
                <w:color w:val="auto"/>
              </w:rPr>
            </w:pPr>
          </w:p>
        </w:tc>
      </w:tr>
      <w:tr>
        <w:trPr>
          <w:trHeight w:val="208"/>
        </w:trPr>
        <w:tc>
          <w:tcPr>
            <w:tcW w:w="8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(accretion) of bond discount</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(3,716 )</w:t>
            </w:r>
          </w:p>
        </w:tc>
      </w:tr>
      <w:tr>
        <w:trPr>
          <w:trHeight w:val="197"/>
        </w:trPr>
        <w:tc>
          <w:tcPr>
            <w:tcW w:w="8120" w:type="dxa"/>
            <w:vAlign w:val="bottom"/>
          </w:tcPr>
          <w:p>
            <w:pPr>
              <w:ind w:left="380"/>
              <w:spacing w:after="0"/>
              <w:rPr>
                <w:sz w:val="20"/>
                <w:szCs w:val="20"/>
                <w:color w:val="auto"/>
              </w:rPr>
            </w:pPr>
            <w:r>
              <w:rPr>
                <w:rFonts w:ascii="Arial" w:cs="Arial" w:eastAsia="Arial" w:hAnsi="Arial"/>
                <w:sz w:val="14"/>
                <w:szCs w:val="14"/>
                <w:color w:val="auto"/>
              </w:rPr>
              <w:t>Unrealized currency translation</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(121 )</w:t>
            </w:r>
          </w:p>
        </w:tc>
      </w:tr>
      <w:tr>
        <w:trPr>
          <w:trHeight w:val="208"/>
        </w:trPr>
        <w:tc>
          <w:tcPr>
            <w:tcW w:w="81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assets and liabilities</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6"/>
        </w:trPr>
        <w:tc>
          <w:tcPr>
            <w:tcW w:w="812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(2,249 )</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(380 )</w:t>
            </w:r>
          </w:p>
        </w:tc>
      </w:tr>
      <w:tr>
        <w:trPr>
          <w:trHeight w:val="209"/>
        </w:trPr>
        <w:tc>
          <w:tcPr>
            <w:tcW w:w="81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(7,149 )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(22,596 )</w:t>
            </w:r>
          </w:p>
        </w:tc>
      </w:tr>
      <w:tr>
        <w:trPr>
          <w:trHeight w:val="196"/>
        </w:trPr>
        <w:tc>
          <w:tcPr>
            <w:tcW w:w="8120" w:type="dxa"/>
            <w:vAlign w:val="bottom"/>
          </w:tcPr>
          <w:p>
            <w:pPr>
              <w:ind w:left="560"/>
              <w:spacing w:after="0"/>
              <w:rPr>
                <w:sz w:val="20"/>
                <w:szCs w:val="20"/>
                <w:color w:val="auto"/>
              </w:rPr>
            </w:pPr>
            <w:r>
              <w:rPr>
                <w:rFonts w:ascii="Arial" w:cs="Arial" w:eastAsia="Arial" w:hAnsi="Arial"/>
                <w:sz w:val="14"/>
                <w:szCs w:val="14"/>
                <w:color w:val="auto"/>
              </w:rPr>
              <w:t>Deferred commission expense</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(24,371 )</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(11,351 )</w:t>
            </w:r>
          </w:p>
        </w:tc>
      </w:tr>
      <w:tr>
        <w:trPr>
          <w:trHeight w:val="209"/>
        </w:trPr>
        <w:tc>
          <w:tcPr>
            <w:tcW w:w="81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Right-of-use assets</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26,948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22,582</w:t>
            </w:r>
          </w:p>
        </w:tc>
        <w:tc>
          <w:tcPr>
            <w:tcW w:w="80" w:type="dxa"/>
            <w:vAlign w:val="bottom"/>
            <w:shd w:val="clear" w:color="auto" w:fill="CFF0FC"/>
          </w:tcPr>
          <w:p>
            <w:pPr>
              <w:spacing w:after="0"/>
              <w:rPr>
                <w:sz w:val="18"/>
                <w:szCs w:val="18"/>
                <w:color w:val="auto"/>
              </w:rPr>
            </w:pPr>
          </w:p>
        </w:tc>
      </w:tr>
      <w:tr>
        <w:trPr>
          <w:trHeight w:val="196"/>
        </w:trPr>
        <w:tc>
          <w:tcPr>
            <w:tcW w:w="812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(11,951 )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3,070</w:t>
            </w:r>
          </w:p>
        </w:tc>
        <w:tc>
          <w:tcPr>
            <w:tcW w:w="80" w:type="dxa"/>
            <w:vAlign w:val="bottom"/>
          </w:tcPr>
          <w:p>
            <w:pPr>
              <w:spacing w:after="0"/>
              <w:rPr>
                <w:sz w:val="17"/>
                <w:szCs w:val="17"/>
                <w:color w:val="auto"/>
              </w:rPr>
            </w:pPr>
          </w:p>
        </w:tc>
      </w:tr>
      <w:tr>
        <w:trPr>
          <w:trHeight w:val="209"/>
        </w:trPr>
        <w:tc>
          <w:tcPr>
            <w:tcW w:w="81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expenses and other liabilities</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38,184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13,780</w:t>
            </w:r>
          </w:p>
        </w:tc>
        <w:tc>
          <w:tcPr>
            <w:tcW w:w="80" w:type="dxa"/>
            <w:vAlign w:val="bottom"/>
            <w:shd w:val="clear" w:color="auto" w:fill="CFF0FC"/>
          </w:tcPr>
          <w:p>
            <w:pPr>
              <w:spacing w:after="0"/>
              <w:rPr>
                <w:sz w:val="18"/>
                <w:szCs w:val="18"/>
                <w:color w:val="auto"/>
              </w:rPr>
            </w:pPr>
          </w:p>
        </w:tc>
      </w:tr>
      <w:tr>
        <w:trPr>
          <w:trHeight w:val="196"/>
        </w:trPr>
        <w:tc>
          <w:tcPr>
            <w:tcW w:w="8120" w:type="dxa"/>
            <w:vAlign w:val="bottom"/>
          </w:tcPr>
          <w:p>
            <w:pPr>
              <w:ind w:left="560"/>
              <w:spacing w:after="0"/>
              <w:rPr>
                <w:sz w:val="20"/>
                <w:szCs w:val="20"/>
                <w:color w:val="auto"/>
              </w:rPr>
            </w:pPr>
            <w:r>
              <w:rPr>
                <w:rFonts w:ascii="Arial" w:cs="Arial" w:eastAsia="Arial" w:hAnsi="Arial"/>
                <w:sz w:val="14"/>
                <w:szCs w:val="14"/>
                <w:color w:val="auto"/>
              </w:rPr>
              <w:t>Operating lease liabilities</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(26,422 )</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(21,516 )</w:t>
            </w:r>
          </w:p>
        </w:tc>
      </w:tr>
      <w:tr>
        <w:trPr>
          <w:trHeight w:val="209"/>
        </w:trPr>
        <w:tc>
          <w:tcPr>
            <w:tcW w:w="81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Deferred revenue</w:t>
            </w: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66,825</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21,492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96"/>
        </w:trPr>
        <w:tc>
          <w:tcPr>
            <w:tcW w:w="8120" w:type="dxa"/>
            <w:vAlign w:val="bottom"/>
          </w:tcPr>
          <w:p>
            <w:pPr>
              <w:ind w:left="740"/>
              <w:spacing w:after="0"/>
              <w:rPr>
                <w:sz w:val="20"/>
                <w:szCs w:val="20"/>
                <w:color w:val="auto"/>
              </w:rPr>
            </w:pPr>
            <w:r>
              <w:rPr>
                <w:rFonts w:ascii="Arial" w:cs="Arial" w:eastAsia="Arial" w:hAnsi="Arial"/>
                <w:sz w:val="14"/>
                <w:szCs w:val="14"/>
                <w:color w:val="auto"/>
              </w:rPr>
              <w:t>Net cash and cash equivalents provided by operating activities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143,544</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27,988</w:t>
            </w:r>
          </w:p>
        </w:tc>
        <w:tc>
          <w:tcPr>
            <w:tcW w:w="80" w:type="dxa"/>
            <w:vAlign w:val="bottom"/>
          </w:tcPr>
          <w:p>
            <w:pPr>
              <w:spacing w:after="0"/>
              <w:rPr>
                <w:sz w:val="17"/>
                <w:szCs w:val="17"/>
                <w:color w:val="auto"/>
              </w:rPr>
            </w:pPr>
          </w:p>
        </w:tc>
      </w:tr>
      <w:tr>
        <w:trPr>
          <w:trHeight w:val="196"/>
        </w:trPr>
        <w:tc>
          <w:tcPr>
            <w:tcW w:w="8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6"/>
        </w:trPr>
        <w:tc>
          <w:tcPr>
            <w:tcW w:w="8120" w:type="dxa"/>
            <w:vAlign w:val="bottom"/>
          </w:tcPr>
          <w:p>
            <w:pPr>
              <w:ind w:left="200"/>
              <w:spacing w:after="0"/>
              <w:rPr>
                <w:sz w:val="20"/>
                <w:szCs w:val="20"/>
                <w:color w:val="auto"/>
              </w:rPr>
            </w:pPr>
            <w:r>
              <w:rPr>
                <w:rFonts w:ascii="Arial" w:cs="Arial" w:eastAsia="Arial" w:hAnsi="Arial"/>
                <w:sz w:val="14"/>
                <w:szCs w:val="14"/>
                <w:color w:val="auto"/>
              </w:rPr>
              <w:t>Purchases of investments</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(1,037,331 )</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(1,377,442 )</w:t>
            </w:r>
          </w:p>
        </w:tc>
      </w:tr>
      <w:tr>
        <w:trPr>
          <w:trHeight w:val="209"/>
        </w:trPr>
        <w:tc>
          <w:tcPr>
            <w:tcW w:w="8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Maturities of investments</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940,776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1,013,270</w:t>
            </w:r>
          </w:p>
        </w:tc>
        <w:tc>
          <w:tcPr>
            <w:tcW w:w="80" w:type="dxa"/>
            <w:vAlign w:val="bottom"/>
            <w:shd w:val="clear" w:color="auto" w:fill="CFF0FC"/>
          </w:tcPr>
          <w:p>
            <w:pPr>
              <w:spacing w:after="0"/>
              <w:rPr>
                <w:sz w:val="18"/>
                <w:szCs w:val="18"/>
                <w:color w:val="auto"/>
              </w:rPr>
            </w:pPr>
          </w:p>
        </w:tc>
      </w:tr>
      <w:tr>
        <w:trPr>
          <w:trHeight w:val="196"/>
        </w:trPr>
        <w:tc>
          <w:tcPr>
            <w:tcW w:w="8120" w:type="dxa"/>
            <w:vAlign w:val="bottom"/>
          </w:tcPr>
          <w:p>
            <w:pPr>
              <w:ind w:left="200"/>
              <w:spacing w:after="0"/>
              <w:rPr>
                <w:sz w:val="20"/>
                <w:szCs w:val="20"/>
                <w:color w:val="auto"/>
              </w:rPr>
            </w:pPr>
            <w:r>
              <w:rPr>
                <w:rFonts w:ascii="Arial" w:cs="Arial" w:eastAsia="Arial" w:hAnsi="Arial"/>
                <w:sz w:val="14"/>
                <w:szCs w:val="14"/>
                <w:color w:val="auto"/>
              </w:rPr>
              <w:t>Sale of investments</w:t>
            </w:r>
          </w:p>
        </w:tc>
        <w:tc>
          <w:tcPr>
            <w:tcW w:w="14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10,932</w:t>
            </w:r>
          </w:p>
        </w:tc>
        <w:tc>
          <w:tcPr>
            <w:tcW w:w="80" w:type="dxa"/>
            <w:vAlign w:val="bottom"/>
          </w:tcPr>
          <w:p>
            <w:pPr>
              <w:spacing w:after="0"/>
              <w:rPr>
                <w:sz w:val="17"/>
                <w:szCs w:val="17"/>
                <w:color w:val="auto"/>
              </w:rPr>
            </w:pPr>
          </w:p>
        </w:tc>
      </w:tr>
      <w:tr>
        <w:trPr>
          <w:trHeight w:val="209"/>
        </w:trPr>
        <w:tc>
          <w:tcPr>
            <w:tcW w:w="8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(17,399 )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(27,753 )</w:t>
            </w:r>
          </w:p>
        </w:tc>
      </w:tr>
      <w:tr>
        <w:trPr>
          <w:trHeight w:val="196"/>
        </w:trPr>
        <w:tc>
          <w:tcPr>
            <w:tcW w:w="8120" w:type="dxa"/>
            <w:vAlign w:val="bottom"/>
          </w:tcPr>
          <w:p>
            <w:pPr>
              <w:ind w:left="200"/>
              <w:spacing w:after="0"/>
              <w:rPr>
                <w:sz w:val="20"/>
                <w:szCs w:val="20"/>
                <w:color w:val="auto"/>
              </w:rPr>
            </w:pPr>
            <w:r>
              <w:rPr>
                <w:rFonts w:ascii="Arial" w:cs="Arial" w:eastAsia="Arial" w:hAnsi="Arial"/>
                <w:sz w:val="14"/>
                <w:szCs w:val="14"/>
                <w:color w:val="auto"/>
              </w:rPr>
              <w:t>Acquisition of a business, net of cash acquired</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(16,810 )</w:t>
            </w:r>
          </w:p>
        </w:tc>
        <w:tc>
          <w:tcPr>
            <w:tcW w:w="3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9"/>
        </w:trPr>
        <w:tc>
          <w:tcPr>
            <w:tcW w:w="8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strategic investments</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(10,202 )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(2,000 )</w:t>
            </w:r>
          </w:p>
        </w:tc>
      </w:tr>
      <w:tr>
        <w:trPr>
          <w:trHeight w:val="196"/>
        </w:trPr>
        <w:tc>
          <w:tcPr>
            <w:tcW w:w="8120" w:type="dxa"/>
            <w:vAlign w:val="bottom"/>
          </w:tcPr>
          <w:p>
            <w:pPr>
              <w:ind w:left="200"/>
              <w:spacing w:after="0"/>
              <w:rPr>
                <w:sz w:val="20"/>
                <w:szCs w:val="20"/>
                <w:color w:val="auto"/>
              </w:rPr>
            </w:pPr>
            <w:r>
              <w:rPr>
                <w:rFonts w:ascii="Arial" w:cs="Arial" w:eastAsia="Arial" w:hAnsi="Arial"/>
                <w:sz w:val="14"/>
                <w:szCs w:val="14"/>
                <w:color w:val="auto"/>
              </w:rPr>
              <w:t>Equity method investment</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(3,100 )</w:t>
            </w:r>
          </w:p>
        </w:tc>
        <w:tc>
          <w:tcPr>
            <w:tcW w:w="3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9"/>
        </w:trPr>
        <w:tc>
          <w:tcPr>
            <w:tcW w:w="8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Capitalization of software development costs</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(25,638 )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(15,644 )</w:t>
            </w:r>
          </w:p>
        </w:tc>
      </w:tr>
      <w:tr>
        <w:trPr>
          <w:trHeight w:val="20"/>
        </w:trPr>
        <w:tc>
          <w:tcPr>
            <w:tcW w:w="8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8120" w:type="dxa"/>
            <w:vAlign w:val="bottom"/>
          </w:tcPr>
          <w:p>
            <w:pPr>
              <w:ind w:left="740"/>
              <w:spacing w:after="0"/>
              <w:rPr>
                <w:sz w:val="20"/>
                <w:szCs w:val="20"/>
                <w:color w:val="auto"/>
              </w:rPr>
            </w:pPr>
            <w:r>
              <w:rPr>
                <w:rFonts w:ascii="Arial" w:cs="Arial" w:eastAsia="Arial" w:hAnsi="Arial"/>
                <w:sz w:val="14"/>
                <w:szCs w:val="14"/>
                <w:color w:val="auto"/>
              </w:rPr>
              <w:t>Net cash and cash equivalents used in investing activities</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(169,704 )</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(398,637 )</w:t>
            </w:r>
          </w:p>
        </w:tc>
      </w:tr>
      <w:tr>
        <w:trPr>
          <w:trHeight w:val="196"/>
        </w:trPr>
        <w:tc>
          <w:tcPr>
            <w:tcW w:w="8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7"/>
        </w:trPr>
        <w:tc>
          <w:tcPr>
            <w:tcW w:w="8120" w:type="dxa"/>
            <w:vAlign w:val="bottom"/>
          </w:tcPr>
          <w:p>
            <w:pPr>
              <w:ind w:left="200"/>
              <w:spacing w:after="0"/>
              <w:rPr>
                <w:sz w:val="20"/>
                <w:szCs w:val="20"/>
                <w:color w:val="auto"/>
              </w:rPr>
            </w:pPr>
            <w:r>
              <w:rPr>
                <w:rFonts w:ascii="Arial" w:cs="Arial" w:eastAsia="Arial" w:hAnsi="Arial"/>
                <w:sz w:val="14"/>
                <w:szCs w:val="14"/>
                <w:color w:val="auto"/>
              </w:rPr>
              <w:t>Proceeds from settlement of Convertible Note Hedges related to the 2022 Convertible Notes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362,492</w:t>
            </w:r>
          </w:p>
        </w:tc>
        <w:tc>
          <w:tcPr>
            <w:tcW w:w="80" w:type="dxa"/>
            <w:vAlign w:val="bottom"/>
          </w:tcPr>
          <w:p>
            <w:pPr>
              <w:spacing w:after="0"/>
              <w:rPr>
                <w:sz w:val="17"/>
                <w:szCs w:val="17"/>
                <w:color w:val="auto"/>
              </w:rPr>
            </w:pPr>
          </w:p>
        </w:tc>
      </w:tr>
      <w:tr>
        <w:trPr>
          <w:trHeight w:val="208"/>
        </w:trPr>
        <w:tc>
          <w:tcPr>
            <w:tcW w:w="8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2025 Convertible Notes, net of issuance costs paid of $9.9 million</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450,123</w:t>
            </w:r>
          </w:p>
        </w:tc>
        <w:tc>
          <w:tcPr>
            <w:tcW w:w="80" w:type="dxa"/>
            <w:vAlign w:val="bottom"/>
            <w:shd w:val="clear" w:color="auto" w:fill="CFF0FC"/>
          </w:tcPr>
          <w:p>
            <w:pPr>
              <w:spacing w:after="0"/>
              <w:rPr>
                <w:sz w:val="18"/>
                <w:szCs w:val="18"/>
                <w:color w:val="auto"/>
              </w:rPr>
            </w:pPr>
          </w:p>
        </w:tc>
      </w:tr>
      <w:tr>
        <w:trPr>
          <w:trHeight w:val="197"/>
        </w:trPr>
        <w:tc>
          <w:tcPr>
            <w:tcW w:w="8120" w:type="dxa"/>
            <w:vAlign w:val="bottom"/>
          </w:tcPr>
          <w:p>
            <w:pPr>
              <w:ind w:left="200"/>
              <w:spacing w:after="0"/>
              <w:rPr>
                <w:sz w:val="20"/>
                <w:szCs w:val="20"/>
                <w:color w:val="auto"/>
              </w:rPr>
            </w:pPr>
            <w:r>
              <w:rPr>
                <w:rFonts w:ascii="Arial" w:cs="Arial" w:eastAsia="Arial" w:hAnsi="Arial"/>
                <w:sz w:val="14"/>
                <w:szCs w:val="14"/>
                <w:color w:val="auto"/>
              </w:rPr>
              <w:t>Payments for settlement of Warrants related to the 2022 Convertible Notes</w:t>
            </w:r>
          </w:p>
        </w:tc>
        <w:tc>
          <w:tcPr>
            <w:tcW w:w="14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(327,543 )</w:t>
            </w:r>
          </w:p>
        </w:tc>
      </w:tr>
      <w:tr>
        <w:trPr>
          <w:trHeight w:val="208"/>
        </w:trPr>
        <w:tc>
          <w:tcPr>
            <w:tcW w:w="8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2022 Convertible Notes attributable to the principal</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(80,428 )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(234,366 )</w:t>
            </w:r>
          </w:p>
        </w:tc>
      </w:tr>
      <w:tr>
        <w:trPr>
          <w:trHeight w:val="197"/>
        </w:trPr>
        <w:tc>
          <w:tcPr>
            <w:tcW w:w="8120" w:type="dxa"/>
            <w:vAlign w:val="bottom"/>
          </w:tcPr>
          <w:p>
            <w:pPr>
              <w:ind w:left="200"/>
              <w:spacing w:after="0"/>
              <w:rPr>
                <w:sz w:val="20"/>
                <w:szCs w:val="20"/>
                <w:color w:val="auto"/>
              </w:rPr>
            </w:pPr>
            <w:r>
              <w:rPr>
                <w:rFonts w:ascii="Arial" w:cs="Arial" w:eastAsia="Arial" w:hAnsi="Arial"/>
                <w:sz w:val="14"/>
                <w:szCs w:val="14"/>
                <w:color w:val="auto"/>
              </w:rPr>
              <w:t>Payments for Capped Call Options related to the 2025 Convertible Notes</w:t>
            </w:r>
          </w:p>
        </w:tc>
        <w:tc>
          <w:tcPr>
            <w:tcW w:w="14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(50,600 )</w:t>
            </w:r>
          </w:p>
        </w:tc>
      </w:tr>
      <w:tr>
        <w:trPr>
          <w:trHeight w:val="208"/>
        </w:trPr>
        <w:tc>
          <w:tcPr>
            <w:tcW w:w="8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Employee taxes paid related to the net share settlement of stock-based awards</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(11,728 )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(4,637 )</w:t>
            </w:r>
          </w:p>
        </w:tc>
      </w:tr>
      <w:tr>
        <w:trPr>
          <w:trHeight w:val="197"/>
        </w:trPr>
        <w:tc>
          <w:tcPr>
            <w:tcW w:w="8120" w:type="dxa"/>
            <w:vAlign w:val="bottom"/>
          </w:tcPr>
          <w:p>
            <w:pPr>
              <w:ind w:left="200"/>
              <w:spacing w:after="0"/>
              <w:rPr>
                <w:sz w:val="20"/>
                <w:szCs w:val="20"/>
                <w:color w:val="auto"/>
              </w:rPr>
            </w:pPr>
            <w:r>
              <w:rPr>
                <w:rFonts w:ascii="Arial" w:cs="Arial" w:eastAsia="Arial" w:hAnsi="Arial"/>
                <w:sz w:val="14"/>
                <w:szCs w:val="14"/>
                <w:color w:val="auto"/>
              </w:rPr>
              <w:t>Proceeds related to the issuance of common stock under stock plans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34,124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22,256</w:t>
            </w:r>
          </w:p>
        </w:tc>
        <w:tc>
          <w:tcPr>
            <w:tcW w:w="80" w:type="dxa"/>
            <w:vAlign w:val="bottom"/>
          </w:tcPr>
          <w:p>
            <w:pPr>
              <w:spacing w:after="0"/>
              <w:rPr>
                <w:sz w:val="17"/>
                <w:szCs w:val="17"/>
                <w:color w:val="auto"/>
              </w:rPr>
            </w:pPr>
          </w:p>
        </w:tc>
      </w:tr>
      <w:tr>
        <w:trPr>
          <w:trHeight w:val="208"/>
        </w:trPr>
        <w:tc>
          <w:tcPr>
            <w:tcW w:w="8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Repayments of finance lease obligations</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(28 )</w:t>
            </w:r>
          </w:p>
        </w:tc>
      </w:tr>
      <w:tr>
        <w:trPr>
          <w:trHeight w:val="20"/>
        </w:trPr>
        <w:tc>
          <w:tcPr>
            <w:tcW w:w="8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8120" w:type="dxa"/>
            <w:vAlign w:val="bottom"/>
          </w:tcPr>
          <w:p>
            <w:pPr>
              <w:ind w:left="740"/>
              <w:spacing w:after="0"/>
              <w:rPr>
                <w:sz w:val="20"/>
                <w:szCs w:val="20"/>
                <w:color w:val="auto"/>
              </w:rPr>
            </w:pPr>
            <w:r>
              <w:rPr>
                <w:rFonts w:ascii="Arial" w:cs="Arial" w:eastAsia="Arial" w:hAnsi="Arial"/>
                <w:sz w:val="14"/>
                <w:szCs w:val="14"/>
                <w:color w:val="auto"/>
              </w:rPr>
              <w:t>Net cash and cash equivalents (used in) provided by financing activities</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(57,303 )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217,697</w:t>
            </w:r>
          </w:p>
        </w:tc>
        <w:tc>
          <w:tcPr>
            <w:tcW w:w="80" w:type="dxa"/>
            <w:vAlign w:val="bottom"/>
          </w:tcPr>
          <w:p>
            <w:pPr>
              <w:spacing w:after="0"/>
              <w:rPr>
                <w:sz w:val="17"/>
                <w:szCs w:val="17"/>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(6,326 )</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2,361</w:t>
            </w:r>
          </w:p>
        </w:tc>
        <w:tc>
          <w:tcPr>
            <w:tcW w:w="80" w:type="dxa"/>
            <w:vAlign w:val="bottom"/>
            <w:shd w:val="clear" w:color="auto" w:fill="CFF0FC"/>
          </w:tcPr>
          <w:p>
            <w:pPr>
              <w:spacing w:after="0"/>
              <w:rPr>
                <w:sz w:val="17"/>
                <w:szCs w:val="17"/>
                <w:color w:val="auto"/>
              </w:rPr>
            </w:pPr>
          </w:p>
        </w:tc>
      </w:tr>
      <w:tr>
        <w:trPr>
          <w:trHeight w:val="20"/>
        </w:trPr>
        <w:tc>
          <w:tcPr>
            <w:tcW w:w="8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0"/>
        </w:trPr>
        <w:tc>
          <w:tcPr>
            <w:tcW w:w="812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(89,789 )</w:t>
            </w: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(150,591 )</w:t>
            </w:r>
          </w:p>
        </w:tc>
      </w:tr>
      <w:tr>
        <w:trPr>
          <w:trHeight w:val="208"/>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381,152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278,515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96"/>
        </w:trPr>
        <w:tc>
          <w:tcPr>
            <w:tcW w:w="81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291,363</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127,924</w:t>
            </w:r>
          </w:p>
        </w:tc>
        <w:tc>
          <w:tcPr>
            <w:tcW w:w="80" w:type="dxa"/>
            <w:vAlign w:val="bottom"/>
          </w:tcPr>
          <w:p>
            <w:pPr>
              <w:spacing w:after="0"/>
              <w:rPr>
                <w:sz w:val="17"/>
                <w:szCs w:val="17"/>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8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cash flow disclosure:</w:t>
            </w: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6"/>
        </w:trPr>
        <w:tc>
          <w:tcPr>
            <w:tcW w:w="812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948</w:t>
            </w:r>
          </w:p>
        </w:tc>
        <w:tc>
          <w:tcPr>
            <w:tcW w:w="24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508</w:t>
            </w:r>
          </w:p>
        </w:tc>
        <w:tc>
          <w:tcPr>
            <w:tcW w:w="80" w:type="dxa"/>
            <w:vAlign w:val="bottom"/>
          </w:tcPr>
          <w:p>
            <w:pPr>
              <w:spacing w:after="0"/>
              <w:rPr>
                <w:sz w:val="17"/>
                <w:szCs w:val="17"/>
                <w:color w:val="auto"/>
              </w:rPr>
            </w:pPr>
          </w:p>
        </w:tc>
      </w:tr>
      <w:tr>
        <w:trPr>
          <w:trHeight w:val="209"/>
        </w:trPr>
        <w:tc>
          <w:tcPr>
            <w:tcW w:w="8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income taxes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2,849</w:t>
            </w:r>
          </w:p>
        </w:tc>
        <w:tc>
          <w:tcPr>
            <w:tcW w:w="80" w:type="dxa"/>
            <w:vAlign w:val="bottom"/>
            <w:shd w:val="clear" w:color="auto" w:fill="CFF0FC"/>
          </w:tcPr>
          <w:p>
            <w:pPr>
              <w:spacing w:after="0"/>
              <w:rPr>
                <w:sz w:val="18"/>
                <w:szCs w:val="18"/>
                <w:color w:val="auto"/>
              </w:rPr>
            </w:pPr>
          </w:p>
        </w:tc>
      </w:tr>
      <w:tr>
        <w:trPr>
          <w:trHeight w:val="196"/>
        </w:trPr>
        <w:tc>
          <w:tcPr>
            <w:tcW w:w="812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89,691</w:t>
            </w:r>
          </w:p>
        </w:tc>
        <w:tc>
          <w:tcPr>
            <w:tcW w:w="24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65,013</w:t>
            </w:r>
          </w:p>
        </w:tc>
        <w:tc>
          <w:tcPr>
            <w:tcW w:w="80" w:type="dxa"/>
            <w:vAlign w:val="bottom"/>
          </w:tcPr>
          <w:p>
            <w:pPr>
              <w:spacing w:after="0"/>
              <w:rPr>
                <w:sz w:val="17"/>
                <w:szCs w:val="17"/>
                <w:color w:val="auto"/>
              </w:rPr>
            </w:pPr>
          </w:p>
        </w:tc>
      </w:tr>
      <w:tr>
        <w:trPr>
          <w:trHeight w:val="209"/>
        </w:trPr>
        <w:tc>
          <w:tcPr>
            <w:tcW w:w="8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Right-of-use asset reductions related to operating lease terminations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(46,587 )</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8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for repayment of 2022 Convertible Notes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480,955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330,497</w:t>
            </w:r>
          </w:p>
        </w:tc>
        <w:tc>
          <w:tcPr>
            <w:tcW w:w="80" w:type="dxa"/>
            <w:vAlign w:val="bottom"/>
            <w:shd w:val="clear" w:color="auto" w:fill="CFF0FC"/>
          </w:tcPr>
          <w:p>
            <w:pPr>
              <w:spacing w:after="0"/>
              <w:rPr>
                <w:sz w:val="18"/>
                <w:szCs w:val="18"/>
                <w:color w:val="auto"/>
              </w:rPr>
            </w:pPr>
          </w:p>
        </w:tc>
      </w:tr>
      <w:tr>
        <w:trPr>
          <w:trHeight w:val="196"/>
        </w:trPr>
        <w:tc>
          <w:tcPr>
            <w:tcW w:w="8120" w:type="dxa"/>
            <w:vAlign w:val="bottom"/>
          </w:tcPr>
          <w:p>
            <w:pPr>
              <w:ind w:left="20"/>
              <w:spacing w:after="0"/>
              <w:rPr>
                <w:sz w:val="20"/>
                <w:szCs w:val="20"/>
                <w:color w:val="auto"/>
              </w:rPr>
            </w:pPr>
            <w:r>
              <w:rPr>
                <w:rFonts w:ascii="Arial" w:cs="Arial" w:eastAsia="Arial" w:hAnsi="Arial"/>
                <w:sz w:val="14"/>
                <w:szCs w:val="14"/>
                <w:color w:val="auto"/>
              </w:rPr>
              <w:t>Capital expenditures incurred but not yet paid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3,683</w:t>
            </w:r>
          </w:p>
        </w:tc>
        <w:tc>
          <w:tcPr>
            <w:tcW w:w="24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1,270</w:t>
            </w:r>
          </w:p>
        </w:tc>
        <w:tc>
          <w:tcPr>
            <w:tcW w:w="80" w:type="dxa"/>
            <w:vAlign w:val="bottom"/>
          </w:tcPr>
          <w:p>
            <w:pPr>
              <w:spacing w:after="0"/>
              <w:rPr>
                <w:sz w:val="17"/>
                <w:szCs w:val="17"/>
                <w:color w:val="auto"/>
              </w:rPr>
            </w:pPr>
          </w:p>
        </w:tc>
      </w:tr>
      <w:tr>
        <w:trPr>
          <w:trHeight w:val="209"/>
        </w:trPr>
        <w:tc>
          <w:tcPr>
            <w:tcW w:w="8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 retirement obligations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699</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-4462780</wp:posOffset>
            </wp:positionV>
            <wp:extent cx="15430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-4462780</wp:posOffset>
            </wp:positionV>
            <wp:extent cx="514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-3159760</wp:posOffset>
            </wp:positionV>
            <wp:extent cx="15430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-3159760</wp:posOffset>
            </wp:positionV>
            <wp:extent cx="514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-1856740</wp:posOffset>
            </wp:positionV>
            <wp:extent cx="15430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-1856740</wp:posOffset>
            </wp:positionV>
            <wp:extent cx="5143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-1582420</wp:posOffset>
            </wp:positionV>
            <wp:extent cx="15430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-1582420</wp:posOffset>
            </wp:positionV>
            <wp:extent cx="514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-1316355</wp:posOffset>
            </wp:positionV>
            <wp:extent cx="1543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-1316355</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43"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HubSpot, Inc. (the “Company”) provides a cloud-based customer relationship management (“CRM”) Platform, that enables companies to attract, engage, and delight customers throughout the customer experience. The Company’s CRM Platform comprised of Marketing Hub, Sales Hub, Service Hub, content management system ("CMS") Hub and Operations Hub features integrated applications and tools that enable businesses to create a cohesive and adaptable customer experience.</w:t>
      </w:r>
    </w:p>
    <w:p>
      <w:pPr>
        <w:spacing w:after="0" w:line="185"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 xml:space="preserve">The accompanying unaudited consolidated </w:t>
      </w:r>
      <w:r>
        <w:rPr>
          <w:rFonts w:ascii="Arial" w:cs="Arial" w:eastAsia="Arial" w:hAnsi="Arial"/>
          <w:sz w:val="17"/>
          <w:szCs w:val="17"/>
          <w:color w:val="212529"/>
        </w:rPr>
        <w:t>financial statements have been prepared in accordance with generally accepted accounting principles in</w:t>
      </w:r>
      <w:r>
        <w:rPr>
          <w:rFonts w:ascii="Arial" w:cs="Arial" w:eastAsia="Arial" w:hAnsi="Arial"/>
          <w:sz w:val="17"/>
          <w:szCs w:val="17"/>
          <w:color w:val="auto"/>
        </w:rPr>
        <w:t xml:space="preserve"> </w:t>
      </w:r>
      <w:r>
        <w:rPr>
          <w:rFonts w:ascii="Arial" w:cs="Arial" w:eastAsia="Arial" w:hAnsi="Arial"/>
          <w:sz w:val="17"/>
          <w:szCs w:val="17"/>
          <w:color w:val="212529"/>
        </w:rPr>
        <w:t xml:space="preserve">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Arial" w:cs="Arial" w:eastAsia="Arial" w:hAnsi="Arial"/>
          <w:sz w:val="17"/>
          <w:szCs w:val="17"/>
          <w:color w:val="000000"/>
        </w:rPr>
        <w:t>December 31, 2020, and these consolidated</w:t>
      </w:r>
      <w:r>
        <w:rPr>
          <w:rFonts w:ascii="Arial" w:cs="Arial" w:eastAsia="Arial" w:hAnsi="Arial"/>
          <w:sz w:val="17"/>
          <w:szCs w:val="17"/>
          <w:color w:val="212529"/>
        </w:rPr>
        <w:t xml:space="preserve"> </w:t>
      </w:r>
      <w:r>
        <w:rPr>
          <w:rFonts w:ascii="Arial" w:cs="Arial" w:eastAsia="Arial" w:hAnsi="Arial"/>
          <w:sz w:val="17"/>
          <w:szCs w:val="17"/>
          <w:color w:val="000000"/>
        </w:rPr>
        <w:t>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76"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The results of operations for the interim periods presented are not necessarily indicative of the results to be expected for any subsequent quarter or for the entire year ending December 31, 2021.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85" w:lineRule="exact"/>
        <w:rPr>
          <w:sz w:val="20"/>
          <w:szCs w:val="20"/>
          <w:color w:val="auto"/>
        </w:rPr>
      </w:pPr>
    </w:p>
    <w:p>
      <w:pPr>
        <w:ind w:right="220" w:firstLine="509"/>
        <w:spacing w:after="0" w:line="275"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related notes contained in the Company’s Annual Report on Form 10-K filed with the SEC on February 16, 2021. There have been no changes in the Company’s significant accounting policies from those that were disclosed in the Company’s Annual Report on Form 10-K that have had a material impact on our consolidated financial statements and related notes.</w:t>
      </w:r>
    </w:p>
    <w:p>
      <w:pPr>
        <w:spacing w:after="0" w:line="185"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In March 2020, the World Health Organization (“WHO”) declared the outbreak of a disease caused by a novel strain of the coronavirus (“COVID-19”) to be a global pandemic (the “pandemic”). The Company has assessed the impact of the pandemic, and while the broader implications of the pandemic on the results of operations and overall financial performance remain uncertain, the Company assessed the potential impact on the September 30, 2021 financial statements and determined there were no material adjustments necessary with respect to these consolidated financial statements.</w:t>
      </w:r>
    </w:p>
    <w:p>
      <w:pPr>
        <w:spacing w:after="0" w:line="156"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color w:val="auto"/>
        </w:rPr>
        <w:t>In March 2020, the Coronavirus Aid, Relief, and Economic Security (“CARES”) Act was signed into law by the United States. The CARES Act provides a substantial stimulus and assistance package intended to address the impact of the pandemic, including tax relief and government loans, grants, and investments. In June 2020, the Jobs Support Scheme (“JSS”) was announced by the Singapore government to provide support to employers and help enterprises retain their local employees during the pandemic. In March 2021, the American Rescue Plan was passed to build upon the measures in the CARES Act and provide direct relief to those impacted by the pandemic. The CARES Act, the JSS and the American Rescue Plan did not have a material impact with respect to these consolidated financial statements.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Recent accounting standards not included below are not expected to have a material impact on our consolidated financial position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 w:name="page10"/>
    <w:bookmarkEnd w:id="9"/>
    <w:p>
      <w:pPr>
        <w:ind w:firstLine="509"/>
        <w:spacing w:after="0" w:line="285" w:lineRule="auto"/>
        <w:rPr>
          <w:sz w:val="20"/>
          <w:szCs w:val="20"/>
          <w:color w:val="auto"/>
        </w:rPr>
      </w:pPr>
      <w:r>
        <w:rPr>
          <w:rFonts w:ascii="Arial" w:cs="Arial" w:eastAsia="Arial" w:hAnsi="Arial"/>
          <w:sz w:val="17"/>
          <w:szCs w:val="17"/>
          <w:color w:val="auto"/>
        </w:rPr>
        <w:t>In August 2020, the FASB issued guidance simplifying the accounting for convertible instruments by reducing the number of accounting models for convertible debt instruments and convertible preferred stock. Limiting the accounting models results in fewer embedded conversion features being bifurcated from the host contract and separately recognized as compared with current GAAP. In addition, it eliminates the treasury stock method for calculating diluted earnings per share for convertible instruments and requires the use of the if-converted method. The new standard will be effective for the Company on January 1, 2022, with early adoption permitted. The Company will adopt the standard on January 1, 2022 and currently anticipates adopting the standard using the modified retrospective method, which would result in a cumulative effect adjustment as of the date of adoption. The Company has established a team that is continuing to assess the potential impacts of the standard on its consolidated financial statements and footnote disclosures. The Company currently believes the most significant changes will be related to the recognition of additional convertible senior notes on its consolidated balance sheet. The Company expects interest expense to decrease as it eliminates non-cash interest expense due to the discount created by the separation of the equity component. The Company will also need to assume share settlement of the entire convertible debt instrument under the if-converted method therefore increasing the potentially dilutive common stock equivalents. These changes are being evaluated to determine the potential impact to the financial statements and disclosures.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20" w:firstLine="749"/>
        <w:spacing w:after="0" w:line="279" w:lineRule="auto"/>
        <w:rPr>
          <w:sz w:val="20"/>
          <w:szCs w:val="20"/>
          <w:color w:val="auto"/>
        </w:rPr>
      </w:pPr>
      <w:r>
        <w:rPr>
          <w:rFonts w:ascii="Arial" w:cs="Arial" w:eastAsia="Arial" w:hAnsi="Arial"/>
          <w:sz w:val="18"/>
          <w:szCs w:val="18"/>
          <w:color w:val="auto"/>
        </w:rPr>
        <w:t>The Company provides disaggregation of revenue based on geographic region (Note 16)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293" w:lineRule="exact"/>
        <w:rPr>
          <w:sz w:val="20"/>
          <w:szCs w:val="20"/>
          <w:color w:val="auto"/>
        </w:rPr>
      </w:pPr>
    </w:p>
    <w:p>
      <w:pPr>
        <w:ind w:right="100" w:firstLine="749"/>
        <w:spacing w:after="0" w:line="286" w:lineRule="auto"/>
        <w:rPr>
          <w:sz w:val="20"/>
          <w:szCs w:val="20"/>
          <w:color w:val="auto"/>
        </w:rPr>
      </w:pPr>
      <w:r>
        <w:rPr>
          <w:rFonts w:ascii="Arial" w:cs="Arial" w:eastAsia="Arial" w:hAnsi="Arial"/>
          <w:sz w:val="17"/>
          <w:szCs w:val="17"/>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nine months ended September 30, 2021 increased by $59.4 million resulting from $398.6 million of additional invoicing and was offset by revenue recognized of $339.2 million during the same period. $198.9 million of revenue was recognized during the three months ended September 30, 2021 that was included in deferred revenue at the beginning of the period. $289.8 million of revenue was recognized during the nine months ended September 30, 2021 that was included in deferred revenue at the beginning of the period. As of September 30, 2021, approximately $329.7 million of revenue is expected to be recognized from remaining performance obligations for contracts with original performance obligations that exceed one year. The Company expects to recognize revenue on approximately 93% of these remaining performance obligations over the next 24 months, with the balance recognized thereafter.</w:t>
      </w:r>
    </w:p>
    <w:p>
      <w:pPr>
        <w:spacing w:after="0" w:line="236" w:lineRule="exact"/>
        <w:rPr>
          <w:sz w:val="20"/>
          <w:szCs w:val="20"/>
          <w:color w:val="auto"/>
        </w:rPr>
      </w:pPr>
    </w:p>
    <w:p>
      <w:pPr>
        <w:ind w:right="20" w:firstLine="749"/>
        <w:spacing w:after="0" w:line="293" w:lineRule="auto"/>
        <w:rPr>
          <w:sz w:val="20"/>
          <w:szCs w:val="20"/>
          <w:color w:val="auto"/>
        </w:rPr>
      </w:pPr>
      <w:r>
        <w:rPr>
          <w:rFonts w:ascii="Arial" w:cs="Arial" w:eastAsia="Arial" w:hAnsi="Arial"/>
          <w:sz w:val="18"/>
          <w:szCs w:val="18"/>
          <w:color w:val="auto"/>
        </w:rPr>
        <w:t>Additional contract liabilities of $2.0 million and $1.7 were included in accrued expenses and other current liabilities on the consolidated balance sheet as of September 30, 2021 and December 31, 2020.</w:t>
      </w:r>
    </w:p>
    <w:p>
      <w:pPr>
        <w:spacing w:after="0" w:line="170"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217"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Deferred commission expense during the three months ended September 30, 2021 increased by $6.9 million as a result of deferring incremental costs of obtaining a contract of $24.3 million and was offset by amortization of $17.4 million during the same period. Deferred commission expense during the nine months ended September 30, 2021 increased by $22.2 million as a result of deferring incremental costs of obtaining a contract of $70.9 million and was offset by amortization of $48.7 million during the same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35"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Diluted net loss per share is computed by giving effect to all potential dilutive common stock equivalents outstanding for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ind w:right="120"/>
        <w:spacing w:after="0" w:line="279" w:lineRule="auto"/>
        <w:rPr>
          <w:sz w:val="20"/>
          <w:szCs w:val="20"/>
          <w:color w:val="auto"/>
        </w:rPr>
      </w:pPr>
      <w:r>
        <w:rPr>
          <w:rFonts w:ascii="Arial" w:cs="Arial" w:eastAsia="Arial" w:hAnsi="Arial"/>
          <w:sz w:val="18"/>
          <w:szCs w:val="18"/>
          <w:color w:val="auto"/>
        </w:rPr>
        <w:t>period. For purposes of this calculation, options to purchase common stock, restricted stock units (“RSUs”), shares issued pursuant to the Employee Stock Purchase Plan (“ESPP”), the Warrants (defined in Note 9), the Conversion Option of the 2022 Notes, and the Conversion Option of the 2025 Notes (the “Conversion Options”) (Note 9) are considered to be potential common stock equivalents.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net loss per share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4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88"/>
              </w:rPr>
              <w:t>(13,735 )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(22,498 )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(61,466 )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(69,615 )</w:t>
            </w:r>
          </w:p>
        </w:tc>
        <w:tc>
          <w:tcPr>
            <w:tcW w:w="0" w:type="dxa"/>
            <w:vAlign w:val="bottom"/>
          </w:tcPr>
          <w:p>
            <w:pPr>
              <w:spacing w:after="0"/>
              <w:rPr>
                <w:sz w:val="1"/>
                <w:szCs w:val="1"/>
                <w:color w:val="auto"/>
              </w:rPr>
            </w:pPr>
          </w:p>
        </w:tc>
      </w:tr>
      <w:tr>
        <w:trPr>
          <w:trHeight w:val="230"/>
        </w:trPr>
        <w:tc>
          <w:tcPr>
            <w:tcW w:w="5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47,044</w:t>
            </w:r>
          </w:p>
        </w:tc>
        <w:tc>
          <w:tcPr>
            <w:tcW w:w="26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45,627</w:t>
            </w: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46,752</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44,346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effect of share equivalents resulting from</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 options, RSUs, ESPP, Warrants and the Conversion</w:t>
            </w:r>
          </w:p>
        </w:tc>
        <w:tc>
          <w:tcPr>
            <w:tcW w:w="920" w:type="dxa"/>
            <w:vAlign w:val="bottom"/>
            <w:shd w:val="clear" w:color="auto" w:fill="CFF0FC"/>
          </w:tcPr>
          <w:p>
            <w:pPr>
              <w:spacing w:after="0"/>
              <w:rPr>
                <w:sz w:val="19"/>
                <w:szCs w:val="19"/>
                <w:color w:val="auto"/>
              </w:rPr>
            </w:pPr>
          </w:p>
        </w:tc>
        <w:tc>
          <w:tcPr>
            <w:tcW w:w="8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9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47,044</w:t>
            </w:r>
          </w:p>
        </w:tc>
        <w:tc>
          <w:tcPr>
            <w:tcW w:w="26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45,627</w:t>
            </w:r>
          </w:p>
        </w:tc>
        <w:tc>
          <w:tcPr>
            <w:tcW w:w="18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46,752</w:t>
            </w:r>
          </w:p>
        </w:tc>
        <w:tc>
          <w:tcPr>
            <w:tcW w:w="22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44,346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(0.29 )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(1.31 )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-1002030</wp:posOffset>
            </wp:positionV>
            <wp:extent cx="1625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-985520</wp:posOffset>
            </wp:positionV>
            <wp:extent cx="1625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-1002030</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-985520</wp:posOffset>
            </wp:positionV>
            <wp:extent cx="1200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-982345</wp:posOffset>
            </wp:positionV>
            <wp:extent cx="14605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-365125</wp:posOffset>
            </wp:positionV>
            <wp:extent cx="16256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-365125</wp:posOffset>
            </wp:positionV>
            <wp:extent cx="12001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-365125</wp:posOffset>
            </wp:positionV>
            <wp:extent cx="14605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1625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1625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1460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1460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277"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The Company expects to settle the principal amount of the 2022 Notes and 2025 Notes (collectively, the “Notes”) (Note 9) in cash, and therefore, the Company uses the treasury stock method for calculating any potential dilutive effect of the Warrants and Conversion Options on diluted net income per share, if applicable. As a result, only the amount by which the conversion cost of the Notes, if settled in shares, exceeds the aggregated principal amount of the Notes (the “Conversion Spread”) is considered in the diluted earnings per share computation. The Conversion Spread has a dilutive impact on net income per share when the average market price of the Company’s common stock for a given period of time exceeds the initial conversion price of $94.77 per share for the 2022 Notes and $282.52 for the 2025 Notes. The average stock price for the three months ended September 30, 2021 was $644.26 and for the nine months ended September 30, 2021 was $536.66.</w:t>
      </w:r>
    </w:p>
    <w:p>
      <w:pPr>
        <w:spacing w:after="0" w:line="262"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As the last reported sale price of the Company’s common stock for at least 20 trading days during the period of 30 consecutive trading days ending on the last trading day of the calendar quarter ended September 30, 2021 was equal to or greater than 130% of the conversion price of $94.77 on each applicable trading day, the 2022 Notes are convertible at the option of the holders thereof during the calendar quarter ended December 31, 2021. In the third quarter of 2021, the Company settled $46.4 million of the principal balance of the 2022 Notes in cash. As of October 29, 2021, the Company has received conversion notices for approximately $2.8 million of the principal balance of the 2022 Notes, which will be settled in cash during the quarter ended December 31, 2021. For disclosure purposes, the potentially dilutive effect of the Conversion Spread is calculated and included in the table below.</w:t>
      </w:r>
    </w:p>
    <w:p>
      <w:pPr>
        <w:spacing w:after="0" w:line="244" w:lineRule="exact"/>
        <w:rPr>
          <w:sz w:val="20"/>
          <w:szCs w:val="20"/>
          <w:color w:val="auto"/>
        </w:rPr>
      </w:pPr>
    </w:p>
    <w:p>
      <w:pPr>
        <w:ind w:right="140" w:firstLine="509"/>
        <w:spacing w:after="0" w:line="292" w:lineRule="auto"/>
        <w:rPr>
          <w:sz w:val="20"/>
          <w:szCs w:val="20"/>
          <w:color w:val="auto"/>
        </w:rPr>
      </w:pPr>
      <w:r>
        <w:rPr>
          <w:rFonts w:ascii="Arial" w:cs="Arial" w:eastAsia="Arial" w:hAnsi="Arial"/>
          <w:sz w:val="17"/>
          <w:szCs w:val="17"/>
          <w:color w:val="auto"/>
        </w:rPr>
        <w:t>As the last reported sale price of the Company’s common stock for at least 20 trading days during the period of 30 consecutive trading days ending on the last trading day of the calendar quarter ended September 30, 2021 was equal to or greater than 130% of the conversion price of $282.52 on each applicable trading day, the 2025 Notes are convertible at the option of the holders thereof during the calendar quarter ended December 31, 2021. As of October 29, 2021, the Company has not received any material conversion notices for the 2025 Notes. For disclosure purposes, the potentially dilutive effect of the Conversion Spread is calculated and included in the table below.</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all potentially dilutive common stock equivalents.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As of September 30,</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380" w:type="dxa"/>
            <w:vAlign w:val="bottom"/>
          </w:tcPr>
          <w:p>
            <w:pPr>
              <w:spacing w:after="0"/>
              <w:rPr>
                <w:sz w:val="16"/>
                <w:szCs w:val="16"/>
                <w:color w:val="auto"/>
              </w:rPr>
            </w:pPr>
          </w:p>
        </w:tc>
        <w:tc>
          <w:tcPr>
            <w:tcW w:w="10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3"/>
        </w:trPr>
        <w:tc>
          <w:tcPr>
            <w:tcW w:w="1140" w:type="dxa"/>
            <w:vAlign w:val="bottom"/>
          </w:tcPr>
          <w:p>
            <w:pPr>
              <w:spacing w:after="0"/>
              <w:rPr>
                <w:sz w:val="22"/>
                <w:szCs w:val="22"/>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38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rPr>
              <w:t>717</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RSUs</w:t>
            </w:r>
          </w:p>
        </w:tc>
        <w:tc>
          <w:tcPr>
            <w:tcW w:w="3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tcPr>
          <w:p>
            <w:pPr>
              <w:jc w:val="right"/>
              <w:ind w:right="735"/>
              <w:spacing w:after="0"/>
              <w:rPr>
                <w:sz w:val="20"/>
                <w:szCs w:val="20"/>
                <w:color w:val="auto"/>
              </w:rPr>
            </w:pPr>
            <w:r>
              <w:rPr>
                <w:rFonts w:ascii="Arial" w:cs="Arial" w:eastAsia="Arial" w:hAnsi="Arial"/>
                <w:sz w:val="18"/>
                <w:szCs w:val="18"/>
                <w:color w:val="auto"/>
              </w:rPr>
              <w:t>1,409</w:t>
            </w:r>
          </w:p>
        </w:tc>
        <w:tc>
          <w:tcPr>
            <w:tcW w:w="1040" w:type="dxa"/>
            <w:vAlign w:val="bottom"/>
          </w:tcPr>
          <w:p>
            <w:pPr>
              <w:jc w:val="right"/>
              <w:spacing w:after="0"/>
              <w:rPr>
                <w:sz w:val="20"/>
                <w:szCs w:val="20"/>
                <w:color w:val="auto"/>
              </w:rPr>
            </w:pPr>
            <w:r>
              <w:rPr>
                <w:rFonts w:ascii="Arial" w:cs="Arial" w:eastAsia="Arial" w:hAnsi="Arial"/>
                <w:sz w:val="18"/>
                <w:szCs w:val="18"/>
                <w:color w:val="auto"/>
              </w:rPr>
              <w:t>1,726</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w w:val="92"/>
              </w:rPr>
              <w:t>Conversion Option of the 2022</w:t>
            </w:r>
          </w:p>
        </w:tc>
        <w:tc>
          <w:tcPr>
            <w:tcW w:w="4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Notes and Warrants</w:t>
            </w:r>
          </w:p>
        </w:tc>
        <w:tc>
          <w:tcPr>
            <w:tcW w:w="138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rPr>
              <w:t>1,721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2"/>
              </w:rPr>
              <w:t>Conversion Option of the 2025</w:t>
            </w:r>
          </w:p>
        </w:tc>
        <w:tc>
          <w:tcPr>
            <w:tcW w:w="42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380" w:type="dxa"/>
            <w:vAlign w:val="bottom"/>
          </w:tcPr>
          <w:p>
            <w:pPr>
              <w:jc w:val="right"/>
              <w:ind w:right="735"/>
              <w:spacing w:after="0"/>
              <w:rPr>
                <w:sz w:val="20"/>
                <w:szCs w:val="20"/>
                <w:color w:val="auto"/>
              </w:rPr>
            </w:pPr>
            <w:r>
              <w:rPr>
                <w:rFonts w:ascii="Arial" w:cs="Arial" w:eastAsia="Arial" w:hAnsi="Arial"/>
                <w:sz w:val="18"/>
                <w:szCs w:val="18"/>
                <w:color w:val="auto"/>
              </w:rPr>
              <w:t>747</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3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rPr>
              <w:t>8</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675"/>
        </w:trPr>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80" w:type="dxa"/>
            <w:vAlign w:val="bottom"/>
          </w:tcPr>
          <w:p>
            <w:pPr>
              <w:jc w:val="right"/>
              <w:ind w:right="795"/>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35" w:lineRule="exact"/>
        <w:rPr>
          <w:sz w:val="20"/>
          <w:szCs w:val="20"/>
          <w:color w:val="auto"/>
        </w:rPr>
      </w:pPr>
    </w:p>
    <w:p>
      <w:pPr>
        <w:ind w:right="360" w:firstLine="509"/>
        <w:spacing w:after="0" w:line="329" w:lineRule="auto"/>
        <w:rPr>
          <w:sz w:val="20"/>
          <w:szCs w:val="20"/>
          <w:color w:val="auto"/>
        </w:rPr>
      </w:pPr>
      <w:r>
        <w:rPr>
          <w:rFonts w:ascii="Arial" w:cs="Arial" w:eastAsia="Arial" w:hAnsi="Arial"/>
          <w:sz w:val="16"/>
          <w:szCs w:val="16"/>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31" w:lineRule="exact"/>
        <w:rPr>
          <w:sz w:val="20"/>
          <w:szCs w:val="20"/>
          <w:color w:val="auto"/>
        </w:rPr>
      </w:pPr>
    </w:p>
    <w:p>
      <w:pPr>
        <w:ind w:left="960" w:right="80"/>
        <w:spacing w:after="0" w:line="329"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40"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50"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September 30, 2021 and December 31,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196"/>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 and investments:</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76,199</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42"/>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76,199</w:t>
            </w:r>
          </w:p>
        </w:tc>
        <w:tc>
          <w:tcPr>
            <w:tcW w:w="100" w:type="dxa"/>
            <w:vAlign w:val="bottom"/>
          </w:tcPr>
          <w:p>
            <w:pPr>
              <w:spacing w:after="0"/>
              <w:rPr>
                <w:sz w:val="21"/>
                <w:szCs w:val="21"/>
                <w:color w:val="auto"/>
              </w:rPr>
            </w:pPr>
          </w:p>
        </w:tc>
      </w:tr>
      <w:tr>
        <w:trPr>
          <w:trHeight w:val="263"/>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129,480</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129,480</w:t>
            </w:r>
          </w:p>
        </w:tc>
        <w:tc>
          <w:tcPr>
            <w:tcW w:w="100" w:type="dxa"/>
            <w:vAlign w:val="bottom"/>
            <w:shd w:val="clear" w:color="auto" w:fill="CFF0FC"/>
          </w:tcPr>
          <w:p>
            <w:pPr>
              <w:spacing w:after="0"/>
              <w:rPr>
                <w:sz w:val="22"/>
                <w:szCs w:val="22"/>
                <w:color w:val="auto"/>
              </w:rPr>
            </w:pPr>
          </w:p>
        </w:tc>
      </w:tr>
      <w:tr>
        <w:trPr>
          <w:trHeight w:val="250"/>
        </w:trPr>
        <w:tc>
          <w:tcPr>
            <w:tcW w:w="548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240,608</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240,608</w:t>
            </w:r>
          </w:p>
        </w:tc>
        <w:tc>
          <w:tcPr>
            <w:tcW w:w="100" w:type="dxa"/>
            <w:vAlign w:val="bottom"/>
          </w:tcPr>
          <w:p>
            <w:pPr>
              <w:spacing w:after="0"/>
              <w:rPr>
                <w:sz w:val="21"/>
                <w:szCs w:val="21"/>
                <w:color w:val="auto"/>
              </w:rPr>
            </w:pPr>
          </w:p>
        </w:tc>
      </w:tr>
      <w:tr>
        <w:trPr>
          <w:trHeight w:val="263"/>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 agency securities</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FF0FC"/>
          </w:tcPr>
          <w:p>
            <w:pPr>
              <w:spacing w:after="0"/>
              <w:rPr>
                <w:sz w:val="22"/>
                <w:szCs w:val="22"/>
                <w:color w:val="auto"/>
              </w:rPr>
            </w:pPr>
          </w:p>
        </w:tc>
      </w:tr>
      <w:tr>
        <w:trPr>
          <w:trHeight w:val="250"/>
        </w:trPr>
        <w:tc>
          <w:tcPr>
            <w:tcW w:w="548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663,189</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663,189</w:t>
            </w:r>
          </w:p>
        </w:tc>
        <w:tc>
          <w:tcPr>
            <w:tcW w:w="100" w:type="dxa"/>
            <w:vAlign w:val="bottom"/>
          </w:tcPr>
          <w:p>
            <w:pPr>
              <w:spacing w:after="0"/>
              <w:rPr>
                <w:sz w:val="21"/>
                <w:szCs w:val="21"/>
                <w:color w:val="auto"/>
              </w:rPr>
            </w:pPr>
          </w:p>
        </w:tc>
      </w:tr>
      <w:tr>
        <w:trPr>
          <w:trHeight w:val="26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6"/>
        </w:trPr>
        <w:tc>
          <w:tcPr>
            <w:tcW w:w="54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2"/>
                <w:szCs w:val="22"/>
                <w:color w:val="auto"/>
              </w:rPr>
            </w:pPr>
          </w:p>
        </w:tc>
      </w:tr>
      <w:tr>
        <w:trPr>
          <w:trHeight w:val="290"/>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76,199</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1,043,106</w:t>
            </w: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42"/>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1,119,305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6"/>
        </w:trPr>
        <w:tc>
          <w:tcPr>
            <w:tcW w:w="5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190"/>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2"/>
        </w:trPr>
        <w:tc>
          <w:tcPr>
            <w:tcW w:w="5480" w:type="dxa"/>
            <w:vAlign w:val="bottom"/>
          </w:tcPr>
          <w:p>
            <w:pPr>
              <w:ind w:left="20"/>
              <w:spacing w:after="0"/>
              <w:rPr>
                <w:sz w:val="20"/>
                <w:szCs w:val="20"/>
                <w:color w:val="auto"/>
              </w:rPr>
            </w:pPr>
            <w:r>
              <w:rPr>
                <w:rFonts w:ascii="Arial" w:cs="Arial" w:eastAsia="Arial" w:hAnsi="Arial"/>
                <w:sz w:val="18"/>
                <w:szCs w:val="18"/>
                <w:color w:val="auto"/>
              </w:rPr>
              <w:t>Cash equivalents and investments:</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172,485</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7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172,485</w:t>
            </w:r>
          </w:p>
        </w:tc>
        <w:tc>
          <w:tcPr>
            <w:tcW w:w="100" w:type="dxa"/>
            <w:vAlign w:val="bottom"/>
            <w:shd w:val="clear" w:color="auto" w:fill="CFF0FC"/>
          </w:tcPr>
          <w:p>
            <w:pPr>
              <w:spacing w:after="0"/>
              <w:rPr>
                <w:sz w:val="22"/>
                <w:szCs w:val="22"/>
                <w:color w:val="auto"/>
              </w:rPr>
            </w:pPr>
          </w:p>
        </w:tc>
      </w:tr>
      <w:tr>
        <w:trPr>
          <w:trHeight w:val="250"/>
        </w:trPr>
        <w:tc>
          <w:tcPr>
            <w:tcW w:w="548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12,233</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tcPr>
          <w:p>
            <w:pPr>
              <w:spacing w:after="0"/>
              <w:rPr>
                <w:sz w:val="21"/>
                <w:szCs w:val="21"/>
                <w:color w:val="auto"/>
              </w:rPr>
            </w:pPr>
          </w:p>
        </w:tc>
      </w:tr>
      <w:tr>
        <w:trPr>
          <w:trHeight w:val="263"/>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116,371</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116,371</w:t>
            </w:r>
          </w:p>
        </w:tc>
        <w:tc>
          <w:tcPr>
            <w:tcW w:w="100" w:type="dxa"/>
            <w:vAlign w:val="bottom"/>
            <w:shd w:val="clear" w:color="auto" w:fill="CFF0FC"/>
          </w:tcPr>
          <w:p>
            <w:pPr>
              <w:spacing w:after="0"/>
              <w:rPr>
                <w:sz w:val="22"/>
                <w:szCs w:val="22"/>
                <w:color w:val="auto"/>
              </w:rPr>
            </w:pPr>
          </w:p>
        </w:tc>
      </w:tr>
      <w:tr>
        <w:trPr>
          <w:trHeight w:val="250"/>
        </w:trPr>
        <w:tc>
          <w:tcPr>
            <w:tcW w:w="548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774,772</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774,772</w:t>
            </w:r>
          </w:p>
        </w:tc>
        <w:tc>
          <w:tcPr>
            <w:tcW w:w="100" w:type="dxa"/>
            <w:vAlign w:val="bottom"/>
          </w:tcPr>
          <w:p>
            <w:pPr>
              <w:spacing w:after="0"/>
              <w:rPr>
                <w:sz w:val="21"/>
                <w:szCs w:val="21"/>
                <w:color w:val="auto"/>
              </w:rPr>
            </w:pPr>
          </w:p>
        </w:tc>
      </w:tr>
      <w:tr>
        <w:trPr>
          <w:trHeight w:val="263"/>
        </w:trPr>
        <w:tc>
          <w:tcPr>
            <w:tcW w:w="5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22"/>
                <w:szCs w:val="22"/>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172,485</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906,799</w:t>
            </w:r>
          </w:p>
        </w:tc>
        <w:tc>
          <w:tcPr>
            <w:tcW w:w="1160" w:type="dxa"/>
            <w:vAlign w:val="bottom"/>
            <w:gridSpan w:val="2"/>
          </w:tcPr>
          <w:p>
            <w:pPr>
              <w:jc w:val="right"/>
              <w:ind w:right="742"/>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1,079,284</w:t>
            </w:r>
          </w:p>
        </w:tc>
        <w:tc>
          <w:tcPr>
            <w:tcW w:w="100" w:type="dxa"/>
            <w:vAlign w:val="bottom"/>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-2073910</wp:posOffset>
            </wp:positionV>
            <wp:extent cx="1714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-2056765</wp:posOffset>
            </wp:positionV>
            <wp:extent cx="1714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-2073910</wp:posOffset>
            </wp:positionV>
            <wp:extent cx="154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-2056765</wp:posOffset>
            </wp:positionV>
            <wp:extent cx="154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-2073910</wp:posOffset>
            </wp:positionV>
            <wp:extent cx="154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-2056765</wp:posOffset>
            </wp:positionV>
            <wp:extent cx="154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-193675</wp:posOffset>
            </wp:positionV>
            <wp:extent cx="17145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-193675</wp:posOffset>
            </wp:positionV>
            <wp:extent cx="15430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-193675</wp:posOffset>
            </wp:positionV>
            <wp:extent cx="15430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both"/>
        <w:ind w:right="240" w:firstLine="509"/>
        <w:spacing w:after="0" w:line="314" w:lineRule="auto"/>
        <w:rPr>
          <w:sz w:val="20"/>
          <w:szCs w:val="20"/>
          <w:color w:val="auto"/>
        </w:rPr>
      </w:pPr>
      <w:r>
        <w:rPr>
          <w:rFonts w:ascii="Arial" w:cs="Arial" w:eastAsia="Arial" w:hAnsi="Arial"/>
          <w:sz w:val="16"/>
          <w:szCs w:val="16"/>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September 30, 2021 and December 31, 2020,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214" w:lineRule="exact"/>
        <w:rPr>
          <w:sz w:val="20"/>
          <w:szCs w:val="20"/>
          <w:color w:val="auto"/>
        </w:rPr>
      </w:pPr>
    </w:p>
    <w:p>
      <w:pPr>
        <w:ind w:right="80" w:firstLine="544"/>
        <w:spacing w:after="0" w:line="279" w:lineRule="auto"/>
        <w:rPr>
          <w:sz w:val="20"/>
          <w:szCs w:val="20"/>
          <w:color w:val="auto"/>
        </w:rPr>
      </w:pPr>
      <w:r>
        <w:rPr>
          <w:rFonts w:ascii="Arial" w:cs="Arial" w:eastAsia="Arial" w:hAnsi="Arial"/>
          <w:sz w:val="18"/>
          <w:szCs w:val="18"/>
          <w:color w:val="auto"/>
        </w:rPr>
        <w:t>As of September 30, 2021, the fair value of the 2022 Notes was $158.3 million and the fair value of the 2025 Notes was $1.1 billion. The fair value was determined based on the quoted price of the 2022 and 2025 Notes in an inactive market on the last trading day of the reporting period and has been classified as Level 2 within the fair value hierarchy.</w:t>
      </w:r>
    </w:p>
    <w:p>
      <w:pPr>
        <w:spacing w:after="0" w:line="237" w:lineRule="exact"/>
        <w:rPr>
          <w:sz w:val="20"/>
          <w:szCs w:val="20"/>
          <w:color w:val="auto"/>
        </w:rPr>
      </w:pPr>
    </w:p>
    <w:p>
      <w:pPr>
        <w:ind w:right="780" w:firstLine="509"/>
        <w:spacing w:after="0" w:line="293" w:lineRule="auto"/>
        <w:rPr>
          <w:sz w:val="20"/>
          <w:szCs w:val="20"/>
          <w:color w:val="auto"/>
        </w:rPr>
      </w:pPr>
      <w:r>
        <w:rPr>
          <w:rFonts w:ascii="Arial" w:cs="Arial" w:eastAsia="Arial" w:hAnsi="Arial"/>
          <w:sz w:val="18"/>
          <w:szCs w:val="18"/>
          <w:color w:val="auto"/>
        </w:rPr>
        <w:t>For certain other financial instruments, including accounts receivable, accounts payable, and other current liabilities, the carrying amounts approximate their fair value due to the relatively short maturity of these balances.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ind w:right="320" w:firstLine="509"/>
        <w:spacing w:after="0" w:line="293" w:lineRule="auto"/>
        <w:rPr>
          <w:sz w:val="20"/>
          <w:szCs w:val="20"/>
          <w:color w:val="auto"/>
        </w:rPr>
      </w:pPr>
      <w:r>
        <w:rPr>
          <w:rFonts w:ascii="Arial" w:cs="Arial" w:eastAsia="Arial" w:hAnsi="Arial"/>
          <w:sz w:val="18"/>
          <w:szCs w:val="18"/>
          <w:color w:val="auto"/>
        </w:rPr>
        <w:t>Restricted cash is comprised of money market funds related to landlord guarantees for leased facilities. These restricted cash balances have been excluded from our cash and cash equivalents balance on our consolidated balance sheets.</w:t>
      </w:r>
    </w:p>
    <w:p>
      <w:pPr>
        <w:spacing w:after="0" w:line="183" w:lineRule="exact"/>
        <w:rPr>
          <w:sz w:val="20"/>
          <w:szCs w:val="20"/>
          <w:color w:val="auto"/>
        </w:rPr>
      </w:pPr>
    </w:p>
    <w:p>
      <w:pPr>
        <w:ind w:right="60" w:firstLine="509"/>
        <w:spacing w:after="0" w:line="305" w:lineRule="auto"/>
        <w:rPr>
          <w:sz w:val="20"/>
          <w:szCs w:val="20"/>
          <w:color w:val="auto"/>
        </w:rPr>
      </w:pPr>
      <w:r>
        <w:rPr>
          <w:rFonts w:ascii="Arial" w:cs="Arial" w:eastAsia="Arial" w:hAnsi="Arial"/>
          <w:sz w:val="16"/>
          <w:szCs w:val="16"/>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$15.3 million of strategic investments without readily determinable fair values at September 30, 2021 and $6.7 million of strategic investments without readily determinable fair values at December 31, 2020. These investments are included in prepaid and other current assets and other assets on the consolidated balance sheets. During the nine months ended September 30, 2021, two strategic investments had observable price changes and adjusted the fair value of these investments. The Company recognized a gain of $10.7 million in the three months ended September 30, 2021 and $11.7 million in the nine months ended September 30, 2021. The gains are reported in the consolidated statements of operations as other income. There were no other adjustments to the carrying value of the strategic investments resulting from impairments or observable price changes in the nine months ended September 30, 2021.</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composition of our short- and long-term investments at September 30, 2021 and December 31, 2020.</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September 30, 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Aggregate</w:t>
            </w:r>
          </w:p>
        </w:tc>
      </w:tr>
      <w:tr>
        <w:trPr>
          <w:trHeight w:val="192"/>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22"/>
                <w:szCs w:val="22"/>
                <w:color w:val="auto"/>
              </w:rPr>
            </w:pPr>
          </w:p>
        </w:tc>
        <w:tc>
          <w:tcPr>
            <w:tcW w:w="120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104,481</w:t>
            </w: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104,481</w:t>
            </w:r>
          </w:p>
        </w:tc>
        <w:tc>
          <w:tcPr>
            <w:tcW w:w="100" w:type="dxa"/>
            <w:vAlign w:val="bottom"/>
            <w:tcBorders>
              <w:left w:val="single" w:sz="8" w:color="CFF0FC"/>
            </w:tcBorders>
            <w:shd w:val="clear" w:color="auto" w:fill="CFF0FC"/>
          </w:tcPr>
          <w:p>
            <w:pPr>
              <w:spacing w:after="0"/>
              <w:rPr>
                <w:sz w:val="22"/>
                <w:szCs w:val="22"/>
                <w:color w:val="auto"/>
              </w:rPr>
            </w:pPr>
          </w:p>
        </w:tc>
      </w:tr>
      <w:tr>
        <w:trPr>
          <w:trHeight w:val="250"/>
        </w:trPr>
        <w:tc>
          <w:tcPr>
            <w:tcW w:w="4820" w:type="dxa"/>
            <w:vAlign w:val="bottom"/>
          </w:tcPr>
          <w:p>
            <w:pPr>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240,626</w:t>
            </w: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(87 )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240,608</w:t>
            </w:r>
          </w:p>
        </w:tc>
        <w:tc>
          <w:tcPr>
            <w:tcW w:w="100" w:type="dxa"/>
            <w:vAlign w:val="bottom"/>
          </w:tcPr>
          <w:p>
            <w:pPr>
              <w:spacing w:after="0"/>
              <w:rPr>
                <w:sz w:val="21"/>
                <w:szCs w:val="21"/>
                <w:color w:val="auto"/>
              </w:rPr>
            </w:pPr>
          </w:p>
        </w:tc>
      </w:tr>
      <w:tr>
        <w:trPr>
          <w:trHeight w:val="26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FF0FC"/>
          </w:tcPr>
          <w:p>
            <w:pPr>
              <w:spacing w:after="0"/>
              <w:rPr>
                <w:sz w:val="22"/>
                <w:szCs w:val="22"/>
                <w:color w:val="auto"/>
              </w:rPr>
            </w:pPr>
          </w:p>
        </w:tc>
        <w:tc>
          <w:tcPr>
            <w:tcW w:w="120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6,803</w:t>
            </w: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spacing w:after="0"/>
              <w:rPr>
                <w:sz w:val="22"/>
                <w:szCs w:val="2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(3 )</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Borders>
              <w:left w:val="single" w:sz="8" w:color="CFF0FC"/>
            </w:tcBorders>
            <w:shd w:val="clear" w:color="auto" w:fill="CFF0FC"/>
          </w:tcPr>
          <w:p>
            <w:pPr>
              <w:spacing w:after="0"/>
              <w:rPr>
                <w:sz w:val="22"/>
                <w:szCs w:val="22"/>
                <w:color w:val="auto"/>
              </w:rPr>
            </w:pPr>
          </w:p>
        </w:tc>
      </w:tr>
      <w:tr>
        <w:trPr>
          <w:trHeight w:val="257"/>
        </w:trPr>
        <w:tc>
          <w:tcPr>
            <w:tcW w:w="48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645,201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645,189</w:t>
            </w:r>
          </w:p>
        </w:tc>
        <w:tc>
          <w:tcPr>
            <w:tcW w:w="100" w:type="dxa"/>
            <w:vAlign w:val="bottom"/>
          </w:tcPr>
          <w:p>
            <w:pPr>
              <w:spacing w:after="0"/>
              <w:rPr>
                <w:sz w:val="22"/>
                <w:szCs w:val="22"/>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997,111</w:t>
            </w: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left w:val="single" w:sz="8" w:color="CFF0FC"/>
            </w:tcBorders>
            <w:shd w:val="clear" w:color="auto" w:fill="CFF0FC"/>
          </w:tcPr>
          <w:p>
            <w:pPr>
              <w:spacing w:after="0"/>
              <w:rPr>
                <w:sz w:val="23"/>
                <w:szCs w:val="23"/>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(108 )</w:t>
            </w:r>
          </w:p>
        </w:tc>
        <w:tc>
          <w:tcPr>
            <w:tcW w:w="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997,078</w:t>
            </w:r>
          </w:p>
        </w:tc>
        <w:tc>
          <w:tcPr>
            <w:tcW w:w="100" w:type="dxa"/>
            <w:vAlign w:val="bottom"/>
            <w:tcBorders>
              <w:left w:val="single" w:sz="8" w:color="CFF0FC"/>
            </w:tcBorders>
            <w:shd w:val="clear" w:color="auto" w:fill="CFF0FC"/>
          </w:tcPr>
          <w:p>
            <w:pPr>
              <w:spacing w:after="0"/>
              <w:rPr>
                <w:sz w:val="23"/>
                <w:szCs w:val="23"/>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r>
      <w:tr>
        <w:trPr>
          <w:trHeight w:val="407"/>
        </w:trPr>
        <w:tc>
          <w:tcPr>
            <w:tcW w:w="4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5"/>
                <w:szCs w:val="15"/>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Unrealized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Aggregate</w:t>
            </w:r>
          </w:p>
        </w:tc>
      </w:tr>
      <w:tr>
        <w:trPr>
          <w:trHeight w:val="192"/>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5"/>
          </w:tcPr>
          <w:p>
            <w:pPr>
              <w:ind w:left="56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26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tcBorders>
              <w:left w:val="single" w:sz="8" w:color="CFF0FC"/>
            </w:tcBorders>
            <w:shd w:val="clear" w:color="auto" w:fill="CFF0FC"/>
          </w:tcPr>
          <w:p>
            <w:pPr>
              <w:spacing w:after="0"/>
              <w:rPr>
                <w:sz w:val="22"/>
                <w:szCs w:val="22"/>
                <w:color w:val="auto"/>
              </w:rPr>
            </w:pPr>
          </w:p>
        </w:tc>
      </w:tr>
      <w:tr>
        <w:trPr>
          <w:trHeight w:val="250"/>
        </w:trPr>
        <w:tc>
          <w:tcPr>
            <w:tcW w:w="4820" w:type="dxa"/>
            <w:vAlign w:val="bottom"/>
          </w:tcPr>
          <w:p>
            <w:pPr>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115,983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116,371</w:t>
            </w:r>
          </w:p>
        </w:tc>
        <w:tc>
          <w:tcPr>
            <w:tcW w:w="100" w:type="dxa"/>
            <w:vAlign w:val="bottom"/>
          </w:tcPr>
          <w:p>
            <w:pPr>
              <w:spacing w:after="0"/>
              <w:rPr>
                <w:sz w:val="21"/>
                <w:szCs w:val="21"/>
                <w:color w:val="auto"/>
              </w:rPr>
            </w:pPr>
          </w:p>
        </w:tc>
      </w:tr>
      <w:tr>
        <w:trPr>
          <w:trHeight w:val="26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774,667</w:t>
            </w:r>
          </w:p>
        </w:tc>
        <w:tc>
          <w:tcPr>
            <w:tcW w:w="26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FF0FC"/>
          </w:tcPr>
          <w:p>
            <w:pPr>
              <w:spacing w:after="0"/>
              <w:rPr>
                <w:sz w:val="22"/>
                <w:szCs w:val="22"/>
                <w:color w:val="auto"/>
              </w:rPr>
            </w:pPr>
          </w:p>
        </w:tc>
        <w:tc>
          <w:tcPr>
            <w:tcW w:w="220" w:type="dxa"/>
            <w:vAlign w:val="bottom"/>
            <w:tcBorders>
              <w:left w:val="single" w:sz="8" w:color="CFF0FC"/>
            </w:tcBorders>
            <w:shd w:val="clear" w:color="auto" w:fill="CFF0FC"/>
          </w:tcPr>
          <w:p>
            <w:pPr>
              <w:spacing w:after="0"/>
              <w:rPr>
                <w:sz w:val="22"/>
                <w:szCs w:val="22"/>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774,772</w:t>
            </w:r>
          </w:p>
        </w:tc>
        <w:tc>
          <w:tcPr>
            <w:tcW w:w="100" w:type="dxa"/>
            <w:vAlign w:val="bottom"/>
            <w:tcBorders>
              <w:left w:val="single" w:sz="8" w:color="CFF0FC"/>
            </w:tcBorders>
            <w:shd w:val="clear" w:color="auto" w:fill="CFF0FC"/>
          </w:tcPr>
          <w:p>
            <w:pPr>
              <w:spacing w:after="0"/>
              <w:rPr>
                <w:sz w:val="22"/>
                <w:szCs w:val="22"/>
                <w:color w:val="auto"/>
              </w:rPr>
            </w:pPr>
          </w:p>
        </w:tc>
      </w:tr>
      <w:tr>
        <w:trPr>
          <w:trHeight w:val="256"/>
        </w:trPr>
        <w:tc>
          <w:tcPr>
            <w:tcW w:w="48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r>
      <w:tr>
        <w:trPr>
          <w:trHeight w:val="270"/>
        </w:trPr>
        <w:tc>
          <w:tcPr>
            <w:tcW w:w="4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903,277</w:t>
            </w:r>
          </w:p>
        </w:tc>
        <w:tc>
          <w:tcPr>
            <w:tcW w:w="260" w:type="dxa"/>
            <w:vAlign w:val="bottom"/>
            <w:tcBorders>
              <w:right w:val="single" w:sz="8" w:color="CFF0FC"/>
            </w:tcBorders>
            <w:shd w:val="clear" w:color="auto" w:fill="CFF0FC"/>
          </w:tcPr>
          <w:p>
            <w:pPr>
              <w:spacing w:after="0"/>
              <w:rPr>
                <w:sz w:val="23"/>
                <w:szCs w:val="2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FF0FC"/>
          </w:tcPr>
          <w:p>
            <w:pPr>
              <w:spacing w:after="0"/>
              <w:rPr>
                <w:sz w:val="23"/>
                <w:szCs w:val="23"/>
                <w:color w:val="auto"/>
              </w:rPr>
            </w:pPr>
          </w:p>
        </w:tc>
        <w:tc>
          <w:tcPr>
            <w:tcW w:w="2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(39 )</w:t>
            </w: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903,770</w:t>
            </w:r>
          </w:p>
        </w:tc>
        <w:tc>
          <w:tcPr>
            <w:tcW w:w="100" w:type="dxa"/>
            <w:vAlign w:val="bottom"/>
            <w:tcBorders>
              <w:left w:val="single" w:sz="8" w:color="CFF0FC"/>
            </w:tcBorders>
            <w:shd w:val="clear" w:color="auto" w:fill="CFF0FC"/>
          </w:tcPr>
          <w:p>
            <w:pPr>
              <w:spacing w:after="0"/>
              <w:rPr>
                <w:sz w:val="23"/>
                <w:szCs w:val="23"/>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-1533525</wp:posOffset>
            </wp:positionV>
            <wp:extent cx="1460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-1517015</wp:posOffset>
            </wp:positionV>
            <wp:extent cx="146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-1533525</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-1517015</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-1533525</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-1517015</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-1533525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-1517015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1289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1289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128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128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jc w:val="both"/>
        <w:ind w:right="180" w:firstLine="509"/>
        <w:spacing w:after="0" w:line="319" w:lineRule="auto"/>
        <w:rPr>
          <w:sz w:val="20"/>
          <w:szCs w:val="20"/>
          <w:color w:val="auto"/>
        </w:rPr>
      </w:pPr>
      <w:r>
        <w:rPr>
          <w:rFonts w:ascii="Arial" w:cs="Arial" w:eastAsia="Arial" w:hAnsi="Arial"/>
          <w:sz w:val="16"/>
          <w:szCs w:val="16"/>
          <w:color w:val="auto"/>
        </w:rPr>
        <w:t>For all of our securities for which the amortized cost basis was greater than the fair value at September 30, 2021,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contractual maturities of short-term and long-term investments held at September 30, 2021 and December 31, 2020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9"/>
        </w:trPr>
        <w:tc>
          <w:tcPr>
            <w:tcW w:w="5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17"/>
              <w:spacing w:after="0"/>
              <w:rPr>
                <w:sz w:val="20"/>
                <w:szCs w:val="20"/>
                <w:color w:val="auto"/>
              </w:rPr>
            </w:pPr>
            <w:r>
              <w:rPr>
                <w:rFonts w:ascii="Arial" w:cs="Arial" w:eastAsia="Arial" w:hAnsi="Arial"/>
                <w:sz w:val="14"/>
                <w:szCs w:val="14"/>
                <w:b w:val="1"/>
                <w:bCs w:val="1"/>
                <w:color w:val="auto"/>
                <w:w w:val="95"/>
              </w:rPr>
              <w:t>Aggregate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0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97"/>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8"/>
              </w:rPr>
              <w:t>Cost Basis</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6"/>
              </w:rPr>
              <w:t>Cost Basis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gridSpan w:val="4"/>
          </w:tcPr>
          <w:p>
            <w:pPr>
              <w:jc w:val="right"/>
              <w:ind w:right="77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3"/>
        </w:trPr>
        <w:tc>
          <w:tcPr>
            <w:tcW w:w="580" w:type="dxa"/>
            <w:vAlign w:val="bottom"/>
          </w:tcPr>
          <w:p>
            <w:pPr>
              <w:spacing w:after="0"/>
              <w:rPr>
                <w:sz w:val="22"/>
                <w:szCs w:val="22"/>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882,343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882,340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872,637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873,073</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Due after 1 year through 2 years</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114,768</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114,738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30,640</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90"/>
        </w:trPr>
        <w:tc>
          <w:tcPr>
            <w:tcW w:w="580" w:type="dxa"/>
            <w:vAlign w:val="bottom"/>
          </w:tcPr>
          <w:p>
            <w:pPr>
              <w:spacing w:after="0"/>
              <w:rPr>
                <w:sz w:val="24"/>
                <w:szCs w:val="24"/>
                <w:color w:val="auto"/>
              </w:rPr>
            </w:pPr>
          </w:p>
        </w:tc>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997,111</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997,078</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903,277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903,770</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885"/>
        </w:trPr>
        <w:tc>
          <w:tcPr>
            <w:tcW w:w="580" w:type="dxa"/>
            <w:vAlign w:val="bottom"/>
          </w:tcPr>
          <w:p>
            <w:pPr>
              <w:spacing w:after="0"/>
              <w:rPr>
                <w:sz w:val="24"/>
                <w:szCs w:val="24"/>
                <w:color w:val="auto"/>
              </w:rPr>
            </w:pPr>
          </w:p>
        </w:tc>
        <w:tc>
          <w:tcPr>
            <w:tcW w:w="43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159"/>
              <w:spacing w:after="0"/>
              <w:rPr>
                <w:sz w:val="20"/>
                <w:szCs w:val="20"/>
                <w:color w:val="auto"/>
              </w:rPr>
            </w:pPr>
            <w:r>
              <w:rPr>
                <w:rFonts w:ascii="Arial" w:cs="Arial" w:eastAsia="Arial" w:hAnsi="Arial"/>
                <w:sz w:val="18"/>
                <w:szCs w:val="18"/>
                <w:color w:val="auto"/>
                <w:w w:val="89"/>
              </w:rPr>
              <w:t>13</w:t>
            </w: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-685165</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-668020</wp:posOffset>
            </wp:positionV>
            <wp:extent cx="137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-685165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-668020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-685165</wp:posOffset>
            </wp:positionV>
            <wp:extent cx="137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-668020</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-668020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Equity method investment</w:t>
      </w:r>
    </w:p>
    <w:p>
      <w:pPr>
        <w:spacing w:after="0" w:line="256" w:lineRule="exact"/>
        <w:rPr>
          <w:sz w:val="20"/>
          <w:szCs w:val="20"/>
          <w:color w:val="auto"/>
        </w:rPr>
      </w:pPr>
    </w:p>
    <w:p>
      <w:pPr>
        <w:ind w:right="580" w:firstLine="749"/>
        <w:spacing w:after="0" w:line="359" w:lineRule="auto"/>
        <w:rPr>
          <w:sz w:val="20"/>
          <w:szCs w:val="20"/>
          <w:color w:val="auto"/>
        </w:rPr>
      </w:pPr>
      <w:r>
        <w:rPr>
          <w:rFonts w:ascii="Arial" w:cs="Arial" w:eastAsia="Arial" w:hAnsi="Arial"/>
          <w:sz w:val="16"/>
          <w:szCs w:val="16"/>
          <w:color w:val="auto"/>
        </w:rPr>
        <w:t>In the first nine months of 2021, the Company made contributions of $3.1 million in cash in the Black Economic Development Fund (the “Fund”) managed by the Local Initiatives Support Corporation for an aggregate of 5.0% ownership interest and income share in the Fund.</w:t>
      </w:r>
    </w:p>
    <w:p>
      <w:pPr>
        <w:spacing w:after="0" w:line="138"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The Company has commitments to contribute additional capital of $9.4 million to the Fund over the next three years. Given the level of ownership interest in the Fund, which is a limited liability company, and the fact that the Fund maintains specific ownership accounts for investors, the Company accounts for this investment using the equity method of accounting. The Fund is included in other assets on the consolidated balance sheets and the Company's share of the Fund’s net earnings and impairment charges on investments are reported in the consolidated statements of operations as other income (expense), net of tax.</w:t>
      </w:r>
    </w:p>
    <w:p>
      <w:pPr>
        <w:spacing w:after="0" w:line="204"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The Company's proportionate share of the Fund's net loss of $0.1 million for the three months ended September 30, 2021 and $0.2 million for the nine months ended September 30, 2021 was recorded as other expense, net of tax, in the consolidated statements of operations. As of September 30, 2021, the carrying amount of the Company’s investment in the Fund was $2.9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256" w:lineRule="exact"/>
        <w:rPr>
          <w:sz w:val="20"/>
          <w:szCs w:val="20"/>
          <w:color w:val="auto"/>
        </w:rPr>
      </w:pPr>
    </w:p>
    <w:p>
      <w:pPr>
        <w:ind w:right="200" w:firstLine="749"/>
        <w:spacing w:after="0" w:line="359"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balance sheets that sum to the total of the same such amounts shown in the statement of cash flows for the three months ended September 30, 2021 and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4"/>
              </w:rPr>
              <w:t>September 30, 2021</w:t>
            </w:r>
          </w:p>
        </w:tc>
        <w:tc>
          <w:tcPr>
            <w:tcW w:w="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September 30, 2020</w:t>
            </w:r>
          </w:p>
        </w:tc>
        <w:tc>
          <w:tcPr>
            <w:tcW w:w="16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9"/>
              </w:rPr>
              <w:t>December 31, 2020</w:t>
            </w:r>
          </w:p>
        </w:tc>
        <w:tc>
          <w:tcPr>
            <w:tcW w:w="100" w:type="dxa"/>
            <w:vAlign w:val="bottom"/>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300" w:type="dxa"/>
            <w:vAlign w:val="bottom"/>
          </w:tcPr>
          <w:p>
            <w:pPr>
              <w:spacing w:after="0"/>
              <w:rPr>
                <w:sz w:val="22"/>
                <w:szCs w:val="22"/>
                <w:color w:val="auto"/>
              </w:rPr>
            </w:pPr>
          </w:p>
        </w:tc>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FF0FC"/>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288,334</w:t>
            </w: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124,895</w:t>
            </w:r>
          </w:p>
        </w:tc>
        <w:tc>
          <w:tcPr>
            <w:tcW w:w="700" w:type="dxa"/>
            <w:vAlign w:val="bottom"/>
            <w:gridSpan w:val="2"/>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378,123</w:t>
            </w:r>
          </w:p>
        </w:tc>
        <w:tc>
          <w:tcPr>
            <w:tcW w:w="100" w:type="dxa"/>
            <w:vAlign w:val="bottom"/>
            <w:shd w:val="clear" w:color="auto" w:fill="CFF0FC"/>
          </w:tcPr>
          <w:p>
            <w:pPr>
              <w:spacing w:after="0"/>
              <w:rPr>
                <w:sz w:val="22"/>
                <w:szCs w:val="22"/>
                <w:color w:val="auto"/>
              </w:rPr>
            </w:pPr>
          </w:p>
        </w:tc>
      </w:tr>
      <w:tr>
        <w:trPr>
          <w:trHeight w:val="257"/>
        </w:trPr>
        <w:tc>
          <w:tcPr>
            <w:tcW w:w="30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Restricted cash, included in other assets</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3,029</w:t>
            </w:r>
          </w:p>
        </w:tc>
        <w:tc>
          <w:tcPr>
            <w:tcW w:w="16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2"/>
                <w:szCs w:val="22"/>
                <w:color w:val="auto"/>
              </w:rPr>
            </w:pPr>
          </w:p>
        </w:tc>
      </w:tr>
      <w:tr>
        <w:trPr>
          <w:trHeight w:val="290"/>
        </w:trPr>
        <w:tc>
          <w:tcPr>
            <w:tcW w:w="300" w:type="dxa"/>
            <w:vAlign w:val="bottom"/>
          </w:tcPr>
          <w:p>
            <w:pPr>
              <w:spacing w:after="0"/>
              <w:rPr>
                <w:sz w:val="24"/>
                <w:szCs w:val="24"/>
                <w:color w:val="auto"/>
              </w:rPr>
            </w:pPr>
          </w:p>
        </w:tc>
        <w:tc>
          <w:tcPr>
            <w:tcW w:w="596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291,363</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127,924</w:t>
            </w:r>
          </w:p>
        </w:tc>
        <w:tc>
          <w:tcPr>
            <w:tcW w:w="1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0"/>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7. Property and Equipment, Net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300" w:type="dxa"/>
            <w:vAlign w:val="bottom"/>
          </w:tcPr>
          <w:p>
            <w:pPr>
              <w:spacing w:after="0"/>
              <w:rPr>
                <w:sz w:val="24"/>
                <w:szCs w:val="24"/>
                <w:color w:val="auto"/>
              </w:rPr>
            </w:pPr>
          </w:p>
        </w:tc>
        <w:tc>
          <w:tcPr>
            <w:tcW w:w="596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 consists of the following:</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4"/>
              </w:rPr>
              <w:t>September 30, 2021</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20" w:type="dxa"/>
            <w:vAlign w:val="bottom"/>
            <w:gridSpan w:val="7"/>
          </w:tcPr>
          <w:p>
            <w:pPr>
              <w:jc w:val="right"/>
              <w:ind w:right="679"/>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15,184</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15,128</w:t>
            </w:r>
          </w:p>
        </w:tc>
        <w:tc>
          <w:tcPr>
            <w:tcW w:w="100" w:type="dxa"/>
            <w:vAlign w:val="bottom"/>
            <w:shd w:val="clear" w:color="auto" w:fill="CFF0FC"/>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Employee related computer equipment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28,267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20,802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20,217</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20,204</w:t>
            </w:r>
          </w:p>
        </w:tc>
        <w:tc>
          <w:tcPr>
            <w:tcW w:w="100" w:type="dxa"/>
            <w:vAlign w:val="bottom"/>
            <w:shd w:val="clear" w:color="auto" w:fill="CFF0FC"/>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91,245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89,850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Internal-use software</w:t>
            </w:r>
          </w:p>
        </w:tc>
        <w:tc>
          <w:tcPr>
            <w:tcW w:w="2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18,678</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12,528</w:t>
            </w:r>
          </w:p>
        </w:tc>
        <w:tc>
          <w:tcPr>
            <w:tcW w:w="100" w:type="dxa"/>
            <w:vAlign w:val="bottom"/>
            <w:shd w:val="clear" w:color="auto" w:fill="CFF0FC"/>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175,842</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168,526</w:t>
            </w:r>
          </w:p>
        </w:tc>
        <w:tc>
          <w:tcPr>
            <w:tcW w:w="100" w:type="dxa"/>
            <w:vAlign w:val="bottom"/>
            <w:shd w:val="clear" w:color="auto" w:fill="CFF0FC"/>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gridSpan w:val="5"/>
          </w:tcPr>
          <w:p>
            <w:pPr>
              <w:jc w:val="right"/>
              <w:ind w:right="8"/>
              <w:spacing w:after="0"/>
              <w:rPr>
                <w:sz w:val="20"/>
                <w:szCs w:val="20"/>
                <w:color w:val="auto"/>
              </w:rPr>
            </w:pPr>
            <w:r>
              <w:rPr>
                <w:rFonts w:ascii="Arial" w:cs="Arial" w:eastAsia="Arial" w:hAnsi="Arial"/>
                <w:sz w:val="18"/>
                <w:szCs w:val="18"/>
                <w:color w:val="auto"/>
              </w:rPr>
              <w:t>(81,115 )</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(67,403 )</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94,727</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101,123</w:t>
            </w:r>
          </w:p>
        </w:tc>
        <w:tc>
          <w:tcPr>
            <w:tcW w:w="100" w:type="dxa"/>
            <w:vAlign w:val="bottom"/>
            <w:tcBorders>
              <w:bottom w:val="single" w:sz="8" w:color="CFF0FC"/>
            </w:tcBorders>
            <w:shd w:val="clear" w:color="auto" w:fill="CFF0FC"/>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-2451100</wp:posOffset>
            </wp:positionV>
            <wp:extent cx="1200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-2433955</wp:posOffset>
            </wp:positionV>
            <wp:extent cx="120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-2451100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-2433955</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-2451100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-2433955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1460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1460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ind w:right="80" w:firstLine="749"/>
        <w:spacing w:after="0" w:line="279" w:lineRule="auto"/>
        <w:rPr>
          <w:sz w:val="20"/>
          <w:szCs w:val="20"/>
          <w:color w:val="auto"/>
        </w:rPr>
      </w:pPr>
      <w:r>
        <w:rPr>
          <w:rFonts w:ascii="Arial" w:cs="Arial" w:eastAsia="Arial" w:hAnsi="Arial"/>
          <w:sz w:val="18"/>
          <w:szCs w:val="18"/>
          <w:color w:val="auto"/>
        </w:rPr>
        <w:t>Depreciation and amortization expense on property and equipment was $5.9 million for the three months ended September 30, 2021, $17.9 million for the nine months ended September 30, 2021, $5.5 million for the three months ended September 30, 2020 and $15.1 million for the nine months ended September 30, 2020.</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10 regarding the disposal of certain property and equipment associated with a lease termination.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Capitalized Software Development Costs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recorded within property and equipment, consisted of the following:</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4"/>
              </w:rPr>
              <w:t>September 30, 2021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8"/>
              </w:rPr>
              <w:t>December 31, 2020</w:t>
            </w:r>
          </w:p>
        </w:tc>
        <w:tc>
          <w:tcPr>
            <w:tcW w:w="100" w:type="dxa"/>
            <w:vAlign w:val="bottom"/>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gridSpan w:val="5"/>
          </w:tcPr>
          <w:p>
            <w:pPr>
              <w:jc w:val="right"/>
              <w:ind w:right="1460"/>
              <w:spacing w:after="0"/>
              <w:rPr>
                <w:sz w:val="20"/>
                <w:szCs w:val="20"/>
                <w:color w:val="auto"/>
              </w:rPr>
            </w:pPr>
            <w:r>
              <w:rPr>
                <w:rFonts w:ascii="Arial" w:cs="Arial" w:eastAsia="Arial" w:hAnsi="Arial"/>
                <w:sz w:val="14"/>
                <w:szCs w:val="14"/>
                <w:b w:val="1"/>
                <w:bCs w:val="1"/>
                <w:color w:val="auto"/>
              </w:rPr>
              <w:t>(in thousands)</w:t>
            </w:r>
          </w:p>
        </w:tc>
      </w:tr>
      <w:tr>
        <w:trPr>
          <w:trHeight w:val="26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Gross capitalized software development costs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113,559</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85,630</w:t>
            </w:r>
          </w:p>
        </w:tc>
        <w:tc>
          <w:tcPr>
            <w:tcW w:w="100" w:type="dxa"/>
            <w:vAlign w:val="bottom"/>
            <w:shd w:val="clear" w:color="auto" w:fill="CFF0FC"/>
          </w:tcPr>
          <w:p>
            <w:pPr>
              <w:spacing w:after="0"/>
              <w:rPr>
                <w:sz w:val="22"/>
                <w:szCs w:val="22"/>
                <w:color w:val="auto"/>
              </w:rPr>
            </w:pPr>
          </w:p>
        </w:tc>
      </w:tr>
      <w:tr>
        <w:trPr>
          <w:trHeight w:val="256"/>
        </w:trPr>
        <w:tc>
          <w:tcPr>
            <w:tcW w:w="5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22"/>
                <w:szCs w:val="22"/>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(75,577 )</w:t>
            </w:r>
          </w:p>
        </w:tc>
        <w:tc>
          <w:tcPr>
            <w:tcW w:w="180" w:type="dxa"/>
            <w:vAlign w:val="bottom"/>
          </w:tcPr>
          <w:p>
            <w:pPr>
              <w:spacing w:after="0"/>
              <w:rPr>
                <w:sz w:val="22"/>
                <w:szCs w:val="22"/>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(60,687 )</w:t>
            </w:r>
          </w:p>
        </w:tc>
      </w:tr>
      <w:tr>
        <w:trPr>
          <w:trHeight w:val="290"/>
        </w:trPr>
        <w:tc>
          <w:tcPr>
            <w:tcW w:w="5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Capitalized software development costs,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37,982</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These capitalized software development costs are associated with software developed for customer purchase. Capitalized software development costs recorded within property and equipment are associated with software developed for Company use.</w:t>
      </w:r>
    </w:p>
    <w:p>
      <w:pPr>
        <w:spacing w:after="0" w:line="25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Amortization of capitalized software development costs, exclusive of costs recorded within property and equipment, was $6.1 million for the three months ended September 30, 2021, $16.3 million for the nine months ended September 30, 2021, $4.1 million for three months ended September 30, 2020, and $11.3 million for the nine months ended September 30,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2025 Convertible Senior Notes and Capped Call Options</w:t>
      </w:r>
    </w:p>
    <w:p>
      <w:pPr>
        <w:spacing w:after="0" w:line="252" w:lineRule="exact"/>
        <w:rPr>
          <w:sz w:val="20"/>
          <w:szCs w:val="20"/>
          <w:color w:val="auto"/>
        </w:rPr>
      </w:pPr>
    </w:p>
    <w:p>
      <w:pPr>
        <w:ind w:right="40" w:firstLine="666"/>
        <w:spacing w:after="0" w:line="304" w:lineRule="auto"/>
        <w:rPr>
          <w:sz w:val="20"/>
          <w:szCs w:val="20"/>
          <w:color w:val="auto"/>
        </w:rPr>
      </w:pPr>
      <w:r>
        <w:rPr>
          <w:rFonts w:ascii="Arial" w:cs="Arial" w:eastAsia="Arial" w:hAnsi="Arial"/>
          <w:sz w:val="16"/>
          <w:szCs w:val="16"/>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Because the last reported sale price of the Company’s common stock for at least 20 trading days during the period of 30 consecutive trading days ending on the last trading day of the calendar quarter ended September 30, 2021 was equal to or greater than 130% of the applicable conversion price on each applicable trading day, the 2025 Notes are convertible at the option of the holders thereof during the calendar quarter ending December 31, 2021. As of October 29, 2021, the Company has not received any material conversion notices for the 2025 Notes.</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net carrying amount of the liability component of the 2025 Notes is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As of September 30, 2021</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As of December 31, 2020</w:t>
            </w:r>
          </w:p>
        </w:tc>
        <w:tc>
          <w:tcPr>
            <w:tcW w:w="100" w:type="dxa"/>
            <w:vAlign w:val="bottom"/>
          </w:tcPr>
          <w:p>
            <w:pPr>
              <w:spacing w:after="0"/>
              <w:rPr>
                <w:sz w:val="16"/>
                <w:szCs w:val="16"/>
                <w:color w:val="auto"/>
              </w:rPr>
            </w:pPr>
          </w:p>
        </w:tc>
      </w:tr>
      <w:tr>
        <w:trPr>
          <w:trHeight w:val="196"/>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gridSpan w:val="5"/>
          </w:tcPr>
          <w:p>
            <w:pPr>
              <w:jc w:val="right"/>
              <w:ind w:right="1560"/>
              <w:spacing w:after="0"/>
              <w:rPr>
                <w:sz w:val="20"/>
                <w:szCs w:val="20"/>
                <w:color w:val="auto"/>
              </w:rPr>
            </w:pPr>
            <w:r>
              <w:rPr>
                <w:rFonts w:ascii="Arial" w:cs="Arial" w:eastAsia="Arial" w:hAnsi="Arial"/>
                <w:sz w:val="14"/>
                <w:szCs w:val="14"/>
                <w:b w:val="1"/>
                <w:bCs w:val="1"/>
                <w:color w:val="auto"/>
              </w:rPr>
              <w:t>(in thousands)</w:t>
            </w:r>
          </w:p>
        </w:tc>
      </w:tr>
      <w:tr>
        <w:trPr>
          <w:trHeight w:val="262"/>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460,000</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shd w:val="clear" w:color="auto" w:fill="CFF0FC"/>
          </w:tcPr>
          <w:p>
            <w:pPr>
              <w:spacing w:after="0"/>
              <w:rPr>
                <w:sz w:val="22"/>
                <w:szCs w:val="22"/>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0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(75,291 )</w:t>
            </w:r>
          </w:p>
        </w:tc>
        <w:tc>
          <w:tcPr>
            <w:tcW w:w="12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(88,756 )</w:t>
            </w:r>
          </w:p>
        </w:tc>
      </w:tr>
      <w:tr>
        <w:trPr>
          <w:trHeight w:val="26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100" w:type="dxa"/>
            <w:vAlign w:val="bottom"/>
            <w:shd w:val="clear" w:color="auto" w:fill="CFF0FC"/>
          </w:tcPr>
          <w:p>
            <w:pPr>
              <w:spacing w:after="0"/>
              <w:rPr>
                <w:sz w:val="22"/>
                <w:szCs w:val="22"/>
                <w:color w:val="auto"/>
              </w:rPr>
            </w:pPr>
          </w:p>
        </w:tc>
        <w:tc>
          <w:tcPr>
            <w:tcW w:w="1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(5,914 )</w:t>
            </w:r>
          </w:p>
        </w:tc>
        <w:tc>
          <w:tcPr>
            <w:tcW w:w="12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(6,973 )</w:t>
            </w:r>
          </w:p>
        </w:tc>
      </w:tr>
      <w:tr>
        <w:trPr>
          <w:trHeight w:val="250"/>
        </w:trPr>
        <w:tc>
          <w:tcPr>
            <w:tcW w:w="510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Net carrying amount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378,795</w:t>
            </w:r>
          </w:p>
        </w:tc>
        <w:tc>
          <w:tcPr>
            <w:tcW w:w="24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364,271</w:t>
            </w:r>
          </w:p>
        </w:tc>
        <w:tc>
          <w:tcPr>
            <w:tcW w:w="100" w:type="dxa"/>
            <w:vAlign w:val="bottom"/>
            <w:tcBorders>
              <w:top w:val="single" w:sz="8" w:color="CFF0FC"/>
            </w:tcBorders>
          </w:tcPr>
          <w:p>
            <w:pPr>
              <w:spacing w:after="0"/>
              <w:rPr>
                <w:sz w:val="21"/>
                <w:szCs w:val="2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-193675</wp:posOffset>
            </wp:positionV>
            <wp:extent cx="16256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net carrying amount of the equity component of the 2025 Notes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0"/>
              </w:rPr>
              <w:t>As of September 30, 2021</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As of December 31, 2020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gridSpan w:val="5"/>
          </w:tcPr>
          <w:p>
            <w:pPr>
              <w:jc w:val="right"/>
              <w:ind w:right="156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r>
      <w:tr>
        <w:trPr>
          <w:trHeight w:val="262"/>
        </w:trPr>
        <w:tc>
          <w:tcPr>
            <w:tcW w:w="1140" w:type="dxa"/>
            <w:vAlign w:val="bottom"/>
          </w:tcPr>
          <w:p>
            <w:pPr>
              <w:spacing w:after="0"/>
              <w:rPr>
                <w:sz w:val="22"/>
                <w:szCs w:val="22"/>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98,730</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98,730</w:t>
            </w:r>
          </w:p>
        </w:tc>
        <w:tc>
          <w:tcPr>
            <w:tcW w:w="10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1140" w:type="dxa"/>
            <w:vAlign w:val="bottom"/>
          </w:tcPr>
          <w:p>
            <w:pPr>
              <w:spacing w:after="0"/>
              <w:rPr>
                <w:sz w:val="22"/>
                <w:szCs w:val="22"/>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Issuance costs</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(2,120 )</w:t>
            </w:r>
          </w:p>
        </w:tc>
        <w:tc>
          <w:tcPr>
            <w:tcW w:w="100" w:type="dxa"/>
            <w:vAlign w:val="bottom"/>
          </w:tcPr>
          <w:p>
            <w:pPr>
              <w:spacing w:after="0"/>
              <w:rPr>
                <w:sz w:val="22"/>
                <w:szCs w:val="22"/>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(2,120 )</w:t>
            </w:r>
          </w:p>
        </w:tc>
        <w:tc>
          <w:tcPr>
            <w:tcW w:w="1120" w:type="dxa"/>
            <w:vAlign w:val="bottom"/>
          </w:tcPr>
          <w:p>
            <w:pPr>
              <w:spacing w:after="0"/>
              <w:rPr>
                <w:sz w:val="22"/>
                <w:szCs w:val="22"/>
                <w:color w:val="auto"/>
              </w:rPr>
            </w:pPr>
          </w:p>
        </w:tc>
      </w:tr>
      <w:tr>
        <w:trPr>
          <w:trHeight w:val="290"/>
        </w:trPr>
        <w:tc>
          <w:tcPr>
            <w:tcW w:w="1140" w:type="dxa"/>
            <w:vAlign w:val="bottom"/>
          </w:tcPr>
          <w:p>
            <w:pPr>
              <w:spacing w:after="0"/>
              <w:rPr>
                <w:sz w:val="24"/>
                <w:szCs w:val="24"/>
                <w:color w:val="auto"/>
              </w:rPr>
            </w:pPr>
          </w:p>
        </w:tc>
        <w:tc>
          <w:tcPr>
            <w:tcW w:w="35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carrying amount</w:t>
            </w:r>
          </w:p>
        </w:tc>
        <w:tc>
          <w:tcPr>
            <w:tcW w:w="16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10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55"/>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-522605</wp:posOffset>
            </wp:positionV>
            <wp:extent cx="1631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-504825</wp:posOffset>
            </wp:positionV>
            <wp:extent cx="1631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-522605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-504825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ind w:left="760"/>
        <w:spacing w:after="0"/>
        <w:rPr>
          <w:sz w:val="20"/>
          <w:szCs w:val="20"/>
          <w:color w:val="auto"/>
        </w:rPr>
      </w:pPr>
      <w:r>
        <w:rPr>
          <w:rFonts w:ascii="Arial" w:cs="Arial" w:eastAsia="Arial" w:hAnsi="Arial"/>
          <w:sz w:val="18"/>
          <w:szCs w:val="18"/>
          <w:color w:val="auto"/>
        </w:rPr>
        <w:t>Interest expense related to the 2025 Notes is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136"/>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114"/>
              <w:spacing w:after="0"/>
              <w:rPr>
                <w:sz w:val="20"/>
                <w:szCs w:val="20"/>
                <w:color w:val="auto"/>
              </w:rPr>
            </w:pPr>
            <w:r>
              <w:rPr>
                <w:rFonts w:ascii="Arial" w:cs="Arial" w:eastAsia="Arial" w:hAnsi="Arial"/>
                <w:sz w:val="14"/>
                <w:szCs w:val="14"/>
                <w:b w:val="1"/>
                <w:bCs w:val="1"/>
                <w:color w:val="auto"/>
                <w:w w:val="93"/>
              </w:rPr>
              <w:t>Nine Months Ended September 30,</w:t>
            </w:r>
          </w:p>
        </w:tc>
        <w:tc>
          <w:tcPr>
            <w:tcW w:w="60" w:type="dxa"/>
            <w:vAlign w:val="bottom"/>
          </w:tcPr>
          <w:p>
            <w:pPr>
              <w:spacing w:after="0"/>
              <w:rPr>
                <w:sz w:val="16"/>
                <w:szCs w:val="16"/>
                <w:color w:val="auto"/>
              </w:rPr>
            </w:pPr>
          </w:p>
        </w:tc>
      </w:tr>
      <w:tr>
        <w:trPr>
          <w:trHeight w:val="196"/>
        </w:trPr>
        <w:tc>
          <w:tcPr>
            <w:tcW w:w="36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196"/>
        </w:trPr>
        <w:tc>
          <w:tcPr>
            <w:tcW w:w="3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5"/>
          </w:tcPr>
          <w:p>
            <w:pPr>
              <w:jc w:val="right"/>
              <w:ind w:right="756"/>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60" w:type="dxa"/>
            <w:vAlign w:val="bottom"/>
            <w:shd w:val="clear" w:color="auto" w:fill="CFF0FC"/>
          </w:tcPr>
          <w:p>
            <w:pPr>
              <w:spacing w:after="0"/>
              <w:rPr>
                <w:sz w:val="22"/>
                <w:szCs w:val="22"/>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4,573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5,538</w:t>
            </w:r>
          </w:p>
        </w:tc>
        <w:tc>
          <w:tcPr>
            <w:tcW w:w="60" w:type="dxa"/>
            <w:vAlign w:val="bottom"/>
          </w:tcPr>
          <w:p>
            <w:pPr>
              <w:spacing w:after="0"/>
              <w:rPr>
                <w:sz w:val="21"/>
                <w:szCs w:val="21"/>
                <w:color w:val="auto"/>
              </w:rPr>
            </w:pPr>
          </w:p>
        </w:tc>
      </w:tr>
      <w:tr>
        <w:trPr>
          <w:trHeight w:val="263"/>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78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3600" w:type="dxa"/>
            <w:vAlign w:val="bottom"/>
          </w:tcPr>
          <w:p>
            <w:pPr>
              <w:ind w:left="180"/>
              <w:spacing w:after="0"/>
              <w:rPr>
                <w:sz w:val="20"/>
                <w:szCs w:val="20"/>
                <w:color w:val="auto"/>
              </w:rPr>
            </w:pPr>
            <w:r>
              <w:rPr>
                <w:rFonts w:ascii="Arial" w:cs="Arial" w:eastAsia="Arial" w:hAnsi="Arial"/>
                <w:sz w:val="18"/>
                <w:szCs w:val="18"/>
                <w:color w:val="auto"/>
              </w:rPr>
              <w:t>Total interest expense</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5,363</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5,090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15,827</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6,529</w:t>
            </w:r>
          </w:p>
        </w:tc>
        <w:tc>
          <w:tcPr>
            <w:tcW w:w="60" w:type="dxa"/>
            <w:vAlign w:val="bottom"/>
          </w:tcPr>
          <w:p>
            <w:pPr>
              <w:spacing w:after="0"/>
              <w:rPr>
                <w:sz w:val="21"/>
                <w:szCs w:val="21"/>
                <w:color w:val="auto"/>
              </w:rPr>
            </w:pPr>
          </w:p>
        </w:tc>
      </w:tr>
      <w:tr>
        <w:trPr>
          <w:trHeight w:val="20"/>
        </w:trPr>
        <w:tc>
          <w:tcPr>
            <w:tcW w:w="3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-193675</wp:posOffset>
            </wp:positionV>
            <wp:extent cx="1200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-193675</wp:posOffset>
            </wp:positionV>
            <wp:extent cx="10287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-193675</wp:posOffset>
            </wp:positionV>
            <wp:extent cx="939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-193675</wp:posOffset>
            </wp:positionV>
            <wp:extent cx="431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260" w:firstLine="674"/>
        <w:spacing w:after="0" w:line="299" w:lineRule="auto"/>
        <w:rPr>
          <w:sz w:val="20"/>
          <w:szCs w:val="20"/>
          <w:color w:val="auto"/>
        </w:rPr>
      </w:pPr>
      <w:r>
        <w:rPr>
          <w:rFonts w:ascii="Arial" w:cs="Arial" w:eastAsia="Arial" w:hAnsi="Arial"/>
          <w:sz w:val="16"/>
          <w:szCs w:val="16"/>
          <w:color w:val="auto"/>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$50.6 million paid for the Capped Call Options are recorded in stockholders’ equity as a reduction in additional paid-in capital and are not accounted for as separate derivative financial instruments.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2022 Convertible Senior Notes, Convertible Note Hedge and Warrant</w:t>
      </w:r>
    </w:p>
    <w:p>
      <w:pPr>
        <w:spacing w:after="0" w:line="252" w:lineRule="exact"/>
        <w:rPr>
          <w:sz w:val="20"/>
          <w:szCs w:val="20"/>
          <w:color w:val="auto"/>
        </w:rPr>
      </w:pPr>
    </w:p>
    <w:p>
      <w:pPr>
        <w:ind w:right="20" w:firstLine="666"/>
        <w:spacing w:after="0" w:line="284" w:lineRule="auto"/>
        <w:rPr>
          <w:sz w:val="20"/>
          <w:szCs w:val="20"/>
          <w:color w:val="auto"/>
        </w:rPr>
      </w:pPr>
      <w:r>
        <w:rPr>
          <w:rFonts w:ascii="Arial" w:cs="Arial" w:eastAsia="Arial" w:hAnsi="Arial"/>
          <w:sz w:val="17"/>
          <w:szCs w:val="17"/>
          <w:color w:val="auto"/>
        </w:rPr>
        <w:t>In May 2017, the Company issued $350 million aggregate principal amount of 0.25% convertible senior notes due June 1, 2022 in a private offering and an additional $50 million aggregate principal amount of such notes pursuant to the exercise in full of the over-allotment options of the initial purchasers (the “2022 Notes”). Each $1,000 principal amount of the 2022 Notes will initially be convertible into 10.5519 shares of the Company’s common stock (the “Conversion Option of the 2022 Notes”), which is equivalent to a conversion price of approximately $94.77 per share, under certain circumstances, subject to adjustment upon the occurrence of specified events. On or after February 1, 2022 until the close of business on the second scheduled trading day immediately preceding the maturity date, holders may convert their notes at any time. The 2022 Notes are convertible at the option of the holders prior to the close of business on the business day immediately preceding February 1, 2022 under certain circumstances. Upon conversion, the Company will pay or deliver, as the case may be, cash, shares of the Company’s common stock or a combination of cash and shares of the Company’s common stock, at the Company’s election. The Company expects to settle the principal amount of the 2022 Notes in cash. Because the last reported sale price of the Company’s common stock for at least 20 trading days during the period of 30 consecutive trading days ending on the last trading day of the calendar quarter ended September 30, 2021 was equal to or greater than 130% of the applicable conversion price on each applicable trading day, the 2022 Notes are convertible at the option of the holders thereof during the calendar quarter ending December 31, 2021. In the third quarter of 2021, the Company settled $46.4 million of principal balance of the 2022 Notes in cash. The Company compared the consideration attributed to the fair value of the debt component with the carrying value of the debt component, which includes the proportionate amounts of the unamortized debt discount and the remaining unamortized debt issuance costs and recorded a loss on early extinguishment of $1.7 million for the three months ended September 30, 2021 and $4.8 million for the nine months ended September 30, 2021 within interest expense on the Company’s statements of operations. As of October 29, 2021, the Company has received conversion notices for approximately $2.8 million of the principal balance of the 2022 Notes, which will be settled in cash during the quarter ended December 31, 2021.</w:t>
      </w:r>
    </w:p>
    <w:p>
      <w:pPr>
        <w:spacing w:after="0" w:line="197" w:lineRule="exact"/>
        <w:rPr>
          <w:sz w:val="20"/>
          <w:szCs w:val="20"/>
          <w:color w:val="auto"/>
        </w:rPr>
      </w:pPr>
    </w:p>
    <w:p>
      <w:pPr>
        <w:ind w:right="380" w:firstLine="666"/>
        <w:spacing w:after="0" w:line="293" w:lineRule="auto"/>
        <w:rPr>
          <w:sz w:val="20"/>
          <w:szCs w:val="20"/>
          <w:color w:val="auto"/>
        </w:rPr>
      </w:pPr>
      <w:r>
        <w:rPr>
          <w:rFonts w:ascii="Arial" w:cs="Arial" w:eastAsia="Arial" w:hAnsi="Arial"/>
          <w:sz w:val="18"/>
          <w:szCs w:val="18"/>
          <w:color w:val="auto"/>
        </w:rPr>
        <w:t>The 2022 Notes are classified as short-term debt and the equity component of the 2022 Notes is classified as additional paid-in capital. As of September 30, 2021, $22.2 million of principal remains outstanding on the 2022 Notes.</w:t>
      </w:r>
    </w:p>
    <w:p>
      <w:pPr>
        <w:spacing w:after="0" w:line="183" w:lineRule="exact"/>
        <w:rPr>
          <w:sz w:val="20"/>
          <w:szCs w:val="20"/>
          <w:color w:val="auto"/>
        </w:rPr>
      </w:pPr>
    </w:p>
    <w:p>
      <w:pPr>
        <w:ind w:right="40" w:firstLine="666"/>
        <w:spacing w:after="0" w:line="287" w:lineRule="auto"/>
        <w:rPr>
          <w:sz w:val="20"/>
          <w:szCs w:val="20"/>
          <w:color w:val="auto"/>
        </w:rPr>
      </w:pPr>
      <w:r>
        <w:rPr>
          <w:rFonts w:ascii="Arial" w:cs="Arial" w:eastAsia="Arial" w:hAnsi="Arial"/>
          <w:sz w:val="17"/>
          <w:szCs w:val="17"/>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concurrently with the conversion of the 2022 Notes. 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w:t>
      </w:r>
    </w:p>
    <w:p>
      <w:pPr>
        <w:spacing w:after="0" w:line="191" w:lineRule="exact"/>
        <w:rPr>
          <w:sz w:val="20"/>
          <w:szCs w:val="20"/>
          <w:color w:val="auto"/>
        </w:rPr>
      </w:pPr>
    </w:p>
    <w:p>
      <w:pPr>
        <w:ind w:right="220" w:firstLine="666"/>
        <w:spacing w:after="0" w:line="275" w:lineRule="auto"/>
        <w:rPr>
          <w:sz w:val="20"/>
          <w:szCs w:val="20"/>
          <w:color w:val="auto"/>
        </w:rPr>
      </w:pPr>
      <w:r>
        <w:rPr>
          <w:rFonts w:ascii="Arial" w:cs="Arial" w:eastAsia="Arial" w:hAnsi="Arial"/>
          <w:sz w:val="18"/>
          <w:szCs w:val="18"/>
          <w:color w:val="auto"/>
        </w:rPr>
        <w:t>During the three months ended September 30, 2021, the Company exercised and net-share-settled a portion of the Convertible Note Hedges, corresponding to approximately $46.4 million in principal amount of 2022 Notes and received approximately 0.4 million shares of common stock and an immaterial cash payment. During the nine months ended September 30, 2021, the Company exercised and net-share-settled a portion of the Convertible Note Hedges, corresponding to approximately $103.6 million in principal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ind w:right="400"/>
        <w:spacing w:after="0" w:line="303" w:lineRule="auto"/>
        <w:rPr>
          <w:sz w:val="20"/>
          <w:szCs w:val="20"/>
          <w:color w:val="auto"/>
        </w:rPr>
      </w:pPr>
      <w:r>
        <w:rPr>
          <w:rFonts w:ascii="Arial" w:cs="Arial" w:eastAsia="Arial" w:hAnsi="Arial"/>
          <w:sz w:val="17"/>
          <w:szCs w:val="17"/>
          <w:color w:val="auto"/>
        </w:rPr>
        <w:t>amount of 2022 Notes and received approximately 0.9 million shares of common stock and a $0.7 million cash payment. As of September 30, 2021, Convertible Note Hedges giving the Company the option to purchase approximately 0.2 million shares of the Company’s common stock and Warrants giving certain counterparties the option to acquire up to 1.3 million shares of the Company’s common stock remain outstanding.</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net carrying amount of the liability component of the 2022 Notes is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As of September 30, 2021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As of December 31, 2020</w:t>
            </w:r>
          </w:p>
        </w:tc>
        <w:tc>
          <w:tcPr>
            <w:tcW w:w="100" w:type="dxa"/>
            <w:vAlign w:val="bottom"/>
          </w:tcPr>
          <w:p>
            <w:pPr>
              <w:spacing w:after="0"/>
              <w:rPr>
                <w:sz w:val="16"/>
                <w:szCs w:val="16"/>
                <w:color w:val="auto"/>
              </w:rPr>
            </w:pPr>
          </w:p>
        </w:tc>
      </w:tr>
      <w:tr>
        <w:trPr>
          <w:trHeight w:val="250"/>
        </w:trPr>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5"/>
          </w:tcPr>
          <w:p>
            <w:pPr>
              <w:jc w:val="right"/>
              <w:ind w:right="1580"/>
              <w:spacing w:after="0"/>
              <w:rPr>
                <w:sz w:val="20"/>
                <w:szCs w:val="20"/>
                <w:color w:val="auto"/>
              </w:rPr>
            </w:pPr>
            <w:r>
              <w:rPr>
                <w:rFonts w:ascii="Arial" w:cs="Arial" w:eastAsia="Arial" w:hAnsi="Arial"/>
                <w:sz w:val="14"/>
                <w:szCs w:val="14"/>
                <w:b w:val="1"/>
                <w:bCs w:val="1"/>
                <w:color w:val="auto"/>
              </w:rPr>
              <w:t>(in thousands)</w:t>
            </w:r>
          </w:p>
        </w:tc>
      </w:tr>
      <w:tr>
        <w:trPr>
          <w:trHeight w:val="26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22,207</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125,839</w:t>
            </w:r>
          </w:p>
        </w:tc>
        <w:tc>
          <w:tcPr>
            <w:tcW w:w="100" w:type="dxa"/>
            <w:vAlign w:val="bottom"/>
            <w:shd w:val="clear" w:color="auto" w:fill="CFF0FC"/>
          </w:tcPr>
          <w:p>
            <w:pPr>
              <w:spacing w:after="0"/>
              <w:rPr>
                <w:sz w:val="22"/>
                <w:szCs w:val="22"/>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20" w:type="dxa"/>
            <w:vAlign w:val="bottom"/>
          </w:tcPr>
          <w:p>
            <w:pPr>
              <w:spacing w:after="0"/>
              <w:rPr>
                <w:sz w:val="21"/>
                <w:szCs w:val="21"/>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(875 )</w:t>
            </w:r>
          </w:p>
        </w:tc>
        <w:tc>
          <w:tcPr>
            <w:tcW w:w="10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(10,397 )</w:t>
            </w:r>
          </w:p>
        </w:tc>
      </w:tr>
      <w:tr>
        <w:trPr>
          <w:trHeight w:val="26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120" w:type="dxa"/>
            <w:vAlign w:val="bottom"/>
            <w:shd w:val="clear" w:color="auto" w:fill="CFF0FC"/>
          </w:tcPr>
          <w:p>
            <w:pPr>
              <w:spacing w:after="0"/>
              <w:rPr>
                <w:sz w:val="22"/>
                <w:szCs w:val="22"/>
                <w:color w:val="auto"/>
              </w:rPr>
            </w:pP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(777 )</w:t>
            </w:r>
          </w:p>
        </w:tc>
      </w:tr>
      <w:tr>
        <w:trPr>
          <w:trHeight w:val="250"/>
        </w:trPr>
        <w:tc>
          <w:tcPr>
            <w:tcW w:w="506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Net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21,269</w:t>
            </w:r>
          </w:p>
        </w:tc>
        <w:tc>
          <w:tcPr>
            <w:tcW w:w="180" w:type="dxa"/>
            <w:vAlign w:val="bottom"/>
            <w:tcBorders>
              <w:top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114,665</w:t>
            </w:r>
          </w:p>
        </w:tc>
        <w:tc>
          <w:tcPr>
            <w:tcW w:w="100" w:type="dxa"/>
            <w:vAlign w:val="bottom"/>
            <w:tcBorders>
              <w:top w:val="single" w:sz="8" w:color="CFF0FC"/>
            </w:tcBorders>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-193675</wp:posOffset>
            </wp:positionV>
            <wp:extent cx="1111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net carrying amount of the equity component of the 2022 Notes is as follows:</w:t>
      </w:r>
    </w:p>
    <w:p>
      <w:pPr>
        <w:spacing w:after="0" w:line="325"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September 30, 2021</w:t>
            </w:r>
          </w:p>
        </w:tc>
        <w:tc>
          <w:tcPr>
            <w:tcW w:w="20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5"/>
              </w:rPr>
              <w:t>As of December 31, 2020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33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00" w:type="dxa"/>
            <w:vAlign w:val="bottom"/>
            <w:gridSpan w:val="4"/>
            <w:shd w:val="clear" w:color="auto" w:fill="CFF0FC"/>
          </w:tcPr>
          <w:p>
            <w:pPr>
              <w:ind w:left="340"/>
              <w:spacing w:after="0"/>
              <w:rPr>
                <w:sz w:val="20"/>
                <w:szCs w:val="20"/>
                <w:color w:val="auto"/>
              </w:rPr>
            </w:pPr>
            <w:r>
              <w:rPr>
                <w:rFonts w:ascii="Arial" w:cs="Arial" w:eastAsia="Arial" w:hAnsi="Arial"/>
                <w:sz w:val="14"/>
                <w:szCs w:val="14"/>
                <w:b w:val="1"/>
                <w:bCs w:val="1"/>
                <w:color w:val="auto"/>
                <w:w w:val="97"/>
              </w:rPr>
              <w:t>(in thousands)</w:t>
            </w: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Debt discount for conversion option</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2"/>
                <w:szCs w:val="22"/>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Issuance costs</w:t>
            </w:r>
          </w:p>
        </w:tc>
        <w:tc>
          <w:tcPr>
            <w:tcW w:w="7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55"/>
              <w:spacing w:after="0"/>
              <w:rPr>
                <w:sz w:val="20"/>
                <w:szCs w:val="20"/>
                <w:color w:val="auto"/>
              </w:rPr>
            </w:pPr>
            <w:r>
              <w:rPr>
                <w:rFonts w:ascii="Arial" w:cs="Arial" w:eastAsia="Arial" w:hAnsi="Arial"/>
                <w:sz w:val="18"/>
                <w:szCs w:val="18"/>
                <w:color w:val="auto"/>
              </w:rPr>
              <w:t>(158 )</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(898 )</w:t>
            </w: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330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Net carrying amount</w:t>
            </w:r>
          </w:p>
        </w:tc>
        <w:tc>
          <w:tcPr>
            <w:tcW w:w="760" w:type="dxa"/>
            <w:vAlign w:val="bottom"/>
            <w:tcBorders>
              <w:top w:val="single" w:sz="8" w:color="CFF0FC"/>
            </w:tcBorders>
          </w:tcPr>
          <w:p>
            <w:pPr>
              <w:spacing w:after="0"/>
              <w:rPr>
                <w:sz w:val="21"/>
                <w:szCs w:val="21"/>
                <w:color w:val="auto"/>
              </w:rPr>
            </w:pPr>
          </w:p>
        </w:tc>
        <w:tc>
          <w:tcPr>
            <w:tcW w:w="44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36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5,727</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32,451</w:t>
            </w:r>
          </w:p>
        </w:tc>
        <w:tc>
          <w:tcPr>
            <w:tcW w:w="2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jc w:val="right"/>
              <w:ind w:right="439"/>
              <w:spacing w:after="0"/>
              <w:rPr>
                <w:sz w:val="20"/>
                <w:szCs w:val="20"/>
                <w:color w:val="auto"/>
              </w:rPr>
            </w:pPr>
            <w:r>
              <w:rPr>
                <w:rFonts w:ascii="Arial" w:cs="Arial" w:eastAsia="Arial" w:hAnsi="Arial"/>
                <w:sz w:val="18"/>
                <w:szCs w:val="18"/>
                <w:color w:val="auto"/>
                <w:w w:val="88"/>
              </w:rPr>
              <w:t>Interest expense related to the 2022 Notes is as follows:</w:t>
            </w: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2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40" w:type="dxa"/>
            <w:vAlign w:val="bottom"/>
            <w:gridSpan w:val="6"/>
          </w:tcPr>
          <w:p>
            <w:pPr>
              <w:jc w:val="right"/>
              <w:ind w:right="39"/>
              <w:spacing w:after="0"/>
              <w:rPr>
                <w:sz w:val="20"/>
                <w:szCs w:val="20"/>
                <w:color w:val="auto"/>
              </w:rPr>
            </w:pPr>
            <w:r>
              <w:rPr>
                <w:rFonts w:ascii="Arial" w:cs="Arial" w:eastAsia="Arial" w:hAnsi="Arial"/>
                <w:sz w:val="14"/>
                <w:szCs w:val="14"/>
                <w:b w:val="1"/>
                <w:bCs w:val="1"/>
                <w:color w:val="auto"/>
                <w:w w:val="96"/>
              </w:rPr>
              <w:t>Three Months Ended September 30,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77"/>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89"/>
              </w:rPr>
              <w:t>(in thousands)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60" w:type="dxa"/>
            <w:vAlign w:val="bottom"/>
          </w:tcPr>
          <w:p>
            <w:pPr>
              <w:spacing w:after="0"/>
              <w:rPr>
                <w:sz w:val="24"/>
                <w:szCs w:val="24"/>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spacing w:after="0"/>
              <w:rPr>
                <w:sz w:val="24"/>
                <w:szCs w:val="24"/>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1,737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3,333</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11,366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60" w:type="dxa"/>
            <w:vAlign w:val="bottom"/>
          </w:tcPr>
          <w:p>
            <w:pPr>
              <w:spacing w:after="0"/>
              <w:rPr>
                <w:sz w:val="24"/>
                <w:szCs w:val="24"/>
                <w:color w:val="auto"/>
              </w:rPr>
            </w:pPr>
          </w:p>
        </w:tc>
        <w:tc>
          <w:tcPr>
            <w:tcW w:w="3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76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4"/>
                <w:szCs w:val="24"/>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Total interest expense</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696</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3,724</w:t>
            </w:r>
          </w:p>
        </w:tc>
        <w:tc>
          <w:tcPr>
            <w:tcW w:w="16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12,749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-1942465</wp:posOffset>
            </wp:positionV>
            <wp:extent cx="12890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-1942465</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-210820</wp:posOffset>
            </wp:positionV>
            <wp:extent cx="8572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-210820</wp:posOffset>
            </wp:positionV>
            <wp:extent cx="12001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-210820</wp:posOffset>
            </wp:positionV>
            <wp:extent cx="10287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-210820</wp:posOffset>
            </wp:positionV>
            <wp:extent cx="514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35" w:lineRule="exact"/>
        <w:rPr>
          <w:sz w:val="20"/>
          <w:szCs w:val="20"/>
          <w:color w:val="auto"/>
        </w:rPr>
      </w:pPr>
    </w:p>
    <w:p>
      <w:pPr>
        <w:ind w:right="80" w:firstLine="540"/>
        <w:spacing w:after="0" w:line="324" w:lineRule="auto"/>
        <w:rPr>
          <w:sz w:val="20"/>
          <w:szCs w:val="20"/>
          <w:color w:val="auto"/>
        </w:rPr>
      </w:pPr>
      <w:r>
        <w:rPr>
          <w:rFonts w:ascii="Arial" w:cs="Arial" w:eastAsia="Arial" w:hAnsi="Arial"/>
          <w:sz w:val="17"/>
          <w:szCs w:val="17"/>
          <w:color w:val="auto"/>
        </w:rPr>
        <w:t>The Company leases office facilities under non-cancelable operating leases that expire at various dates through May 2031. Certain operating leases contain optional termination dates, and the Company is not reasonably certain to extend its lease agreements beyond those dates.</w:t>
      </w:r>
    </w:p>
    <w:p>
      <w:pPr>
        <w:spacing w:after="0" w:line="39" w:lineRule="exact"/>
        <w:rPr>
          <w:sz w:val="20"/>
          <w:szCs w:val="20"/>
          <w:color w:val="auto"/>
        </w:rPr>
      </w:pPr>
    </w:p>
    <w:p>
      <w:pPr>
        <w:jc w:val="both"/>
        <w:ind w:right="100" w:firstLine="540"/>
        <w:spacing w:after="0" w:line="279" w:lineRule="auto"/>
        <w:rPr>
          <w:sz w:val="20"/>
          <w:szCs w:val="20"/>
          <w:color w:val="auto"/>
        </w:rPr>
      </w:pPr>
      <w:r>
        <w:rPr>
          <w:rFonts w:ascii="Arial" w:cs="Arial" w:eastAsia="Arial" w:hAnsi="Arial"/>
          <w:sz w:val="18"/>
          <w:szCs w:val="18"/>
          <w:color w:val="auto"/>
        </w:rPr>
        <w:t>During the nine months ended September 30, 2021, the lease term began, was amended, terminated, or extended for various leases of office spaces globally. The Company recorded a net $40.3 million of right-of-use assets and $38.4 million of lease liabilities for these leases during the period upon the lease commencement, amendment, termination, or extension.</w:t>
      </w:r>
    </w:p>
    <w:p>
      <w:pPr>
        <w:spacing w:after="0" w:line="75" w:lineRule="exact"/>
        <w:rPr>
          <w:sz w:val="20"/>
          <w:szCs w:val="20"/>
          <w:color w:val="auto"/>
        </w:rPr>
      </w:pPr>
    </w:p>
    <w:p>
      <w:pPr>
        <w:ind w:firstLine="540"/>
        <w:spacing w:after="0" w:line="296" w:lineRule="auto"/>
        <w:rPr>
          <w:sz w:val="20"/>
          <w:szCs w:val="20"/>
          <w:color w:val="auto"/>
        </w:rPr>
      </w:pPr>
      <w:r>
        <w:rPr>
          <w:rFonts w:ascii="Arial" w:cs="Arial" w:eastAsia="Arial" w:hAnsi="Arial"/>
          <w:sz w:val="17"/>
          <w:szCs w:val="17"/>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September 30, 2021 is 4.5%.</w:t>
      </w:r>
    </w:p>
    <w:p>
      <w:pPr>
        <w:spacing w:after="0" w:line="62" w:lineRule="exact"/>
        <w:rPr>
          <w:sz w:val="20"/>
          <w:szCs w:val="20"/>
          <w:color w:val="auto"/>
        </w:rPr>
      </w:pPr>
    </w:p>
    <w:p>
      <w:pPr>
        <w:ind w:right="440" w:firstLine="540"/>
        <w:spacing w:after="0" w:line="359" w:lineRule="auto"/>
        <w:rPr>
          <w:sz w:val="20"/>
          <w:szCs w:val="20"/>
          <w:color w:val="auto"/>
        </w:rPr>
      </w:pPr>
      <w:r>
        <w:rPr>
          <w:rFonts w:ascii="Arial" w:cs="Arial" w:eastAsia="Arial" w:hAnsi="Arial"/>
          <w:sz w:val="16"/>
          <w:szCs w:val="16"/>
          <w:color w:val="auto"/>
        </w:rPr>
        <w:t>Operating lease expense costs were $12.7 million for the three months ended September 30, 2021, $36.7 million for the nine months ended September 30, 2021, $11.9 million for the three months ended September 30, 2020, and $32.6 million for the nine months ended September 30, 2020.</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7" w:name="page18"/>
    <w:bookmarkEnd w:id="17"/>
    <w:p>
      <w:pPr>
        <w:ind w:right="240" w:firstLine="539"/>
        <w:spacing w:after="0" w:line="293" w:lineRule="auto"/>
        <w:rPr>
          <w:sz w:val="20"/>
          <w:szCs w:val="20"/>
          <w:color w:val="auto"/>
        </w:rPr>
      </w:pPr>
      <w:r>
        <w:rPr>
          <w:rFonts w:ascii="Arial" w:cs="Arial" w:eastAsia="Arial" w:hAnsi="Arial"/>
          <w:sz w:val="18"/>
          <w:szCs w:val="18"/>
          <w:color w:val="auto"/>
        </w:rPr>
        <w:t>The Company subleases some of its unused spaces to third parties. Operating sublease income generated under all operating lease agreements for the three and nine months ended September 30, 2021 and 2020 are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16"/>
                <w:szCs w:val="16"/>
                <w:color w:val="auto"/>
              </w:rPr>
            </w:pPr>
          </w:p>
        </w:tc>
      </w:tr>
      <w:tr>
        <w:trPr>
          <w:trHeight w:val="264"/>
        </w:trPr>
        <w:tc>
          <w:tcPr>
            <w:tcW w:w="4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2"/>
                <w:szCs w:val="22"/>
                <w:color w:val="auto"/>
              </w:rPr>
            </w:pPr>
          </w:p>
        </w:tc>
      </w:tr>
      <w:tr>
        <w:trPr>
          <w:trHeight w:val="283"/>
        </w:trPr>
        <w:tc>
          <w:tcPr>
            <w:tcW w:w="4720" w:type="dxa"/>
            <w:vAlign w:val="bottom"/>
            <w:shd w:val="clear" w:color="auto" w:fill="CFF0FC"/>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1760" w:type="dxa"/>
            <w:vAlign w:val="bottom"/>
            <w:gridSpan w:val="3"/>
            <w:shd w:val="clear" w:color="auto" w:fill="CFF0FC"/>
          </w:tcPr>
          <w:p>
            <w:pPr>
              <w:ind w:left="1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660" w:type="dxa"/>
            <w:vAlign w:val="bottom"/>
            <w:gridSpan w:val="3"/>
            <w:shd w:val="clear" w:color="auto" w:fill="CFF0FC"/>
          </w:tcPr>
          <w:p>
            <w:pPr>
              <w:jc w:val="center"/>
              <w:ind w:left="584"/>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Operating sublease income</w:t>
            </w:r>
          </w:p>
        </w:tc>
        <w:tc>
          <w:tcPr>
            <w:tcW w:w="1100" w:type="dxa"/>
            <w:vAlign w:val="bottom"/>
          </w:tcPr>
          <w:p>
            <w:pPr>
              <w:jc w:val="right"/>
              <w:ind w:right="922"/>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140"/>
              <w:spacing w:after="0"/>
              <w:rPr>
                <w:sz w:val="20"/>
                <w:szCs w:val="20"/>
                <w:color w:val="auto"/>
              </w:rPr>
            </w:pPr>
            <w:r>
              <w:rPr>
                <w:rFonts w:ascii="Arial" w:cs="Arial" w:eastAsia="Arial" w:hAnsi="Arial"/>
                <w:sz w:val="18"/>
                <w:szCs w:val="18"/>
                <w:color w:val="auto"/>
                <w:w w:val="88"/>
              </w:rPr>
              <w:t>1,236</w:t>
            </w:r>
          </w:p>
        </w:tc>
        <w:tc>
          <w:tcPr>
            <w:tcW w:w="12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1,112</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3,840</w:t>
            </w:r>
          </w:p>
        </w:tc>
        <w:tc>
          <w:tcPr>
            <w:tcW w:w="80" w:type="dxa"/>
            <w:vAlign w:val="bottom"/>
          </w:tcPr>
          <w:p>
            <w:pPr>
              <w:spacing w:after="0"/>
              <w:rPr>
                <w:sz w:val="23"/>
                <w:szCs w:val="23"/>
                <w:color w:val="auto"/>
              </w:rPr>
            </w:pPr>
          </w:p>
        </w:tc>
      </w:tr>
    </w:tbl>
    <w:p>
      <w:pPr>
        <w:spacing w:after="0" w:line="121" w:lineRule="exact"/>
        <w:rPr>
          <w:sz w:val="20"/>
          <w:szCs w:val="20"/>
          <w:color w:val="auto"/>
        </w:rPr>
      </w:pPr>
    </w:p>
    <w:p>
      <w:pPr>
        <w:ind w:right="120" w:firstLine="539"/>
        <w:spacing w:after="0" w:line="279" w:lineRule="auto"/>
        <w:rPr>
          <w:sz w:val="20"/>
          <w:szCs w:val="20"/>
          <w:color w:val="auto"/>
        </w:rPr>
      </w:pPr>
      <w:r>
        <w:rPr>
          <w:rFonts w:ascii="Arial" w:cs="Arial" w:eastAsia="Arial" w:hAnsi="Arial"/>
          <w:sz w:val="18"/>
          <w:szCs w:val="18"/>
          <w:color w:val="auto"/>
        </w:rPr>
        <w:t>Cash payments related to operating lease liabilities were $12.3 million for the three months ended September 30, 2021, $38.5 million for the nine months ended September 30, 2021, $11.6 million for the three months ended September 30, 2020, and $31.4 million for the nine months ended September 30, 2020.</w:t>
      </w:r>
    </w:p>
    <w:p>
      <w:pPr>
        <w:spacing w:after="0" w:line="75" w:lineRule="exact"/>
        <w:rPr>
          <w:sz w:val="20"/>
          <w:szCs w:val="20"/>
          <w:color w:val="auto"/>
        </w:rPr>
      </w:pPr>
    </w:p>
    <w:p>
      <w:pPr>
        <w:ind w:right="120" w:firstLine="540"/>
        <w:spacing w:after="0" w:line="279" w:lineRule="auto"/>
        <w:rPr>
          <w:sz w:val="20"/>
          <w:szCs w:val="20"/>
          <w:color w:val="auto"/>
        </w:rPr>
      </w:pPr>
      <w:r>
        <w:rPr>
          <w:rFonts w:ascii="Arial" w:cs="Arial" w:eastAsia="Arial" w:hAnsi="Arial"/>
          <w:sz w:val="18"/>
          <w:szCs w:val="18"/>
          <w:color w:val="auto"/>
        </w:rPr>
        <w:t>In the three months ended September 30, 2021, the Company terminated a lease for certain office facilities in Cambridge, Massachusetts and recorded a gain of $4.3 million. In connection with the lease termination, the Company recorded a loss of $6.5 million for the disposal of fixed assets. The net loss of $2.2 million is reported in the consolidated statements of operations as operating expense.</w:t>
      </w:r>
    </w:p>
    <w:p>
      <w:pPr>
        <w:spacing w:after="0" w:line="192" w:lineRule="exact"/>
        <w:rPr>
          <w:sz w:val="20"/>
          <w:szCs w:val="20"/>
          <w:color w:val="auto"/>
        </w:rPr>
      </w:pPr>
    </w:p>
    <w:p>
      <w:pPr>
        <w:ind w:left="540" w:right="8420" w:hanging="532"/>
        <w:spacing w:after="0" w:line="442" w:lineRule="auto"/>
        <w:tabs>
          <w:tab w:leader="none" w:pos="2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Contractual Obligations</w:t>
      </w:r>
    </w:p>
    <w:p>
      <w:pPr>
        <w:spacing w:after="0" w:line="1" w:lineRule="exact"/>
        <w:rPr>
          <w:sz w:val="20"/>
          <w:szCs w:val="20"/>
          <w:color w:val="auto"/>
        </w:rPr>
      </w:pPr>
    </w:p>
    <w:p>
      <w:pPr>
        <w:ind w:right="220" w:firstLine="540"/>
        <w:spacing w:after="0" w:line="314" w:lineRule="auto"/>
        <w:rPr>
          <w:sz w:val="20"/>
          <w:szCs w:val="20"/>
          <w:color w:val="auto"/>
        </w:rPr>
      </w:pPr>
      <w:r>
        <w:rPr>
          <w:rFonts w:ascii="Arial" w:cs="Arial" w:eastAsia="Arial" w:hAnsi="Arial"/>
          <w:sz w:val="16"/>
          <w:szCs w:val="16"/>
          <w:color w:val="auto"/>
        </w:rPr>
        <w:t>The Company leases its office facilities under non-cancelable operating leases that expire at various dates through May 2031. Lease expense for non-cancelable operating leases with free rental periods or scheduled rent increases is recognized on a straight-line basis over the terms of the leases. Improvement reimbursements from landlords of $24.2 million are recognized as a reduction of lease expense ratably over the terms of the leases. Certain leases contain optional termination dates. The table below only includes payments up to the optional termination date. If the Company were to extend leases beyond the optional termination date, the future commitments would increase by approximately $85.8 million.</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lease agreements as of September 30, 2021 are as follows:</w:t>
      </w:r>
    </w:p>
    <w:p>
      <w:pPr>
        <w:spacing w:after="0" w:line="361"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Operating</w:t>
            </w:r>
          </w:p>
        </w:tc>
        <w:tc>
          <w:tcPr>
            <w:tcW w:w="80" w:type="dxa"/>
            <w:vAlign w:val="bottom"/>
          </w:tcPr>
          <w:p>
            <w:pPr>
              <w:spacing w:after="0"/>
              <w:rPr>
                <w:sz w:val="19"/>
                <w:szCs w:val="19"/>
                <w:color w:val="auto"/>
              </w:rPr>
            </w:pPr>
          </w:p>
        </w:tc>
      </w:tr>
      <w:tr>
        <w:trPr>
          <w:trHeight w:val="220"/>
        </w:trPr>
        <w:tc>
          <w:tcPr>
            <w:tcW w:w="5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512"/>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9"/>
                <w:szCs w:val="19"/>
                <w:color w:val="auto"/>
              </w:rPr>
            </w:pPr>
          </w:p>
        </w:tc>
      </w:tr>
      <w:tr>
        <w:trPr>
          <w:trHeight w:val="26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80" w:type="dxa"/>
            <w:vAlign w:val="bottom"/>
            <w:shd w:val="clear" w:color="auto" w:fill="CFF0FC"/>
          </w:tcPr>
          <w:p>
            <w:pPr>
              <w:spacing w:after="0"/>
              <w:rPr>
                <w:sz w:val="23"/>
                <w:szCs w:val="23"/>
                <w:color w:val="auto"/>
              </w:rPr>
            </w:pPr>
          </w:p>
        </w:tc>
      </w:tr>
      <w:tr>
        <w:trPr>
          <w:trHeight w:val="250"/>
        </w:trPr>
        <w:tc>
          <w:tcPr>
            <w:tcW w:w="560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43,745</w:t>
            </w:r>
          </w:p>
        </w:tc>
        <w:tc>
          <w:tcPr>
            <w:tcW w:w="80" w:type="dxa"/>
            <w:vAlign w:val="bottom"/>
          </w:tcPr>
          <w:p>
            <w:pPr>
              <w:spacing w:after="0"/>
              <w:rPr>
                <w:sz w:val="21"/>
                <w:szCs w:val="21"/>
                <w:color w:val="auto"/>
              </w:rPr>
            </w:pPr>
          </w:p>
        </w:tc>
      </w:tr>
      <w:tr>
        <w:trPr>
          <w:trHeight w:val="26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FF0FC"/>
          </w:tcPr>
          <w:p>
            <w:pPr>
              <w:spacing w:after="0"/>
              <w:rPr>
                <w:sz w:val="22"/>
                <w:szCs w:val="22"/>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42,343</w:t>
            </w:r>
          </w:p>
        </w:tc>
        <w:tc>
          <w:tcPr>
            <w:tcW w:w="80" w:type="dxa"/>
            <w:vAlign w:val="bottom"/>
            <w:shd w:val="clear" w:color="auto" w:fill="CFF0FC"/>
          </w:tcPr>
          <w:p>
            <w:pPr>
              <w:spacing w:after="0"/>
              <w:rPr>
                <w:sz w:val="22"/>
                <w:szCs w:val="22"/>
                <w:color w:val="auto"/>
              </w:rPr>
            </w:pPr>
          </w:p>
        </w:tc>
      </w:tr>
      <w:tr>
        <w:trPr>
          <w:trHeight w:val="250"/>
        </w:trPr>
        <w:tc>
          <w:tcPr>
            <w:tcW w:w="560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41,062</w:t>
            </w:r>
          </w:p>
        </w:tc>
        <w:tc>
          <w:tcPr>
            <w:tcW w:w="80" w:type="dxa"/>
            <w:vAlign w:val="bottom"/>
          </w:tcPr>
          <w:p>
            <w:pPr>
              <w:spacing w:after="0"/>
              <w:rPr>
                <w:sz w:val="21"/>
                <w:szCs w:val="21"/>
                <w:color w:val="auto"/>
              </w:rPr>
            </w:pPr>
          </w:p>
        </w:tc>
      </w:tr>
      <w:tr>
        <w:trPr>
          <w:trHeight w:val="26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FF0FC"/>
          </w:tcPr>
          <w:p>
            <w:pPr>
              <w:spacing w:after="0"/>
              <w:rPr>
                <w:sz w:val="22"/>
                <w:szCs w:val="22"/>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41,035</w:t>
            </w:r>
          </w:p>
        </w:tc>
        <w:tc>
          <w:tcPr>
            <w:tcW w:w="80" w:type="dxa"/>
            <w:vAlign w:val="bottom"/>
            <w:shd w:val="clear" w:color="auto" w:fill="CFF0FC"/>
          </w:tcPr>
          <w:p>
            <w:pPr>
              <w:spacing w:after="0"/>
              <w:rPr>
                <w:sz w:val="22"/>
                <w:szCs w:val="22"/>
                <w:color w:val="auto"/>
              </w:rPr>
            </w:pPr>
          </w:p>
        </w:tc>
      </w:tr>
      <w:tr>
        <w:trPr>
          <w:trHeight w:val="250"/>
        </w:trPr>
        <w:tc>
          <w:tcPr>
            <w:tcW w:w="560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214,508</w:t>
            </w:r>
          </w:p>
        </w:tc>
        <w:tc>
          <w:tcPr>
            <w:tcW w:w="80" w:type="dxa"/>
            <w:vAlign w:val="bottom"/>
          </w:tcPr>
          <w:p>
            <w:pPr>
              <w:spacing w:after="0"/>
              <w:rPr>
                <w:sz w:val="21"/>
                <w:szCs w:val="21"/>
                <w:color w:val="auto"/>
              </w:rPr>
            </w:pPr>
          </w:p>
        </w:tc>
      </w:tr>
      <w:tr>
        <w:trPr>
          <w:trHeight w:val="290"/>
        </w:trPr>
        <w:tc>
          <w:tcPr>
            <w:tcW w:w="5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394,297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ind w:right="180" w:firstLine="509"/>
        <w:spacing w:after="0" w:line="260" w:lineRule="auto"/>
        <w:rPr>
          <w:sz w:val="20"/>
          <w:szCs w:val="20"/>
          <w:color w:val="auto"/>
        </w:rPr>
      </w:pPr>
      <w:r>
        <w:rPr>
          <w:rFonts w:ascii="Arial" w:cs="Arial" w:eastAsia="Arial" w:hAnsi="Arial"/>
          <w:sz w:val="18"/>
          <w:szCs w:val="18"/>
          <w:color w:val="auto"/>
        </w:rPr>
        <w:t xml:space="preserve">In October 2021, the Company entered into an agreement to add space and extend a lease in Australia for facilities with lease terms of approximately 5 years. </w:t>
      </w:r>
      <w:r>
        <w:rPr>
          <w:rFonts w:ascii="Arial" w:cs="Arial" w:eastAsia="Arial" w:hAnsi="Arial"/>
          <w:sz w:val="16"/>
          <w:szCs w:val="16"/>
          <w:color w:val="auto"/>
        </w:rPr>
        <w:t>The new lease commences on or near April 2022 and the Company will pay an aggregate of approximately $4.9 million in incremental rent over</w:t>
      </w:r>
      <w:r>
        <w:rPr>
          <w:rFonts w:ascii="Arial" w:cs="Arial" w:eastAsia="Arial" w:hAnsi="Arial"/>
          <w:sz w:val="18"/>
          <w:szCs w:val="18"/>
          <w:color w:val="auto"/>
        </w:rPr>
        <w:t xml:space="preserve"> </w:t>
      </w:r>
      <w:r>
        <w:rPr>
          <w:rFonts w:ascii="Arial" w:cs="Arial" w:eastAsia="Arial" w:hAnsi="Arial"/>
          <w:sz w:val="16"/>
          <w:szCs w:val="16"/>
          <w:color w:val="auto"/>
        </w:rPr>
        <w:t>the lease term.</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xml:space="preserve">Future minimum payments under all non-cancelable arrangements as of </w:t>
      </w:r>
      <w:r>
        <w:rPr>
          <w:rFonts w:ascii="Arial" w:cs="Arial" w:eastAsia="Arial" w:hAnsi="Arial"/>
          <w:sz w:val="16"/>
          <w:szCs w:val="16"/>
          <w:color w:val="auto"/>
        </w:rPr>
        <w:t>September 30, 2021 and agreements entered into since then</w:t>
      </w:r>
      <w:r>
        <w:rPr>
          <w:rFonts w:ascii="Arial" w:cs="Arial" w:eastAsia="Arial" w:hAnsi="Arial"/>
          <w:sz w:val="15"/>
          <w:szCs w:val="15"/>
          <w:color w:val="auto"/>
        </w:rPr>
        <w:t xml:space="preserve">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center"/>
              <w:ind w:right="199"/>
              <w:spacing w:after="0"/>
              <w:rPr>
                <w:sz w:val="20"/>
                <w:szCs w:val="20"/>
                <w:color w:val="auto"/>
              </w:rPr>
            </w:pPr>
            <w:r>
              <w:rPr>
                <w:rFonts w:ascii="Arial" w:cs="Arial" w:eastAsia="Arial" w:hAnsi="Arial"/>
                <w:sz w:val="16"/>
                <w:szCs w:val="16"/>
                <w:b w:val="1"/>
                <w:bCs w:val="1"/>
                <w:color w:val="auto"/>
                <w:w w:val="92"/>
              </w:rPr>
              <w:t>Product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ind w:right="239"/>
              <w:spacing w:after="0"/>
              <w:rPr>
                <w:sz w:val="20"/>
                <w:szCs w:val="20"/>
                <w:color w:val="auto"/>
              </w:rPr>
            </w:pPr>
            <w:r>
              <w:rPr>
                <w:rFonts w:ascii="Arial" w:cs="Arial" w:eastAsia="Arial" w:hAnsi="Arial"/>
                <w:sz w:val="16"/>
                <w:szCs w:val="16"/>
                <w:b w:val="1"/>
                <w:bCs w:val="1"/>
                <w:color w:val="auto"/>
              </w:rPr>
              <w:t>INBOUND</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related</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center"/>
              <w:ind w:right="239"/>
              <w:spacing w:after="0"/>
              <w:rPr>
                <w:sz w:val="20"/>
                <w:szCs w:val="20"/>
                <w:color w:val="auto"/>
              </w:rPr>
            </w:pPr>
            <w:r>
              <w:rPr>
                <w:rFonts w:ascii="Arial" w:cs="Arial" w:eastAsia="Arial" w:hAnsi="Arial"/>
                <w:sz w:val="16"/>
                <w:szCs w:val="16"/>
                <w:b w:val="1"/>
                <w:bCs w:val="1"/>
                <w:color w:val="auto"/>
                <w:w w:val="86"/>
              </w:rPr>
              <w:t>event</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8"/>
              </w:rPr>
              <w:t>obligations</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88"/>
              </w:rPr>
              <w:t>obligations</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Remainder of 2021</w:t>
            </w:r>
          </w:p>
        </w:tc>
        <w:tc>
          <w:tcPr>
            <w:tcW w:w="2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26,092</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2560" w:type="dxa"/>
            <w:vAlign w:val="bottom"/>
            <w:shd w:val="clear" w:color="auto" w:fill="CFF0FC"/>
          </w:tcPr>
          <w:p>
            <w:pPr>
              <w:ind w:left="40"/>
              <w:spacing w:after="0"/>
              <w:rPr>
                <w:sz w:val="20"/>
                <w:szCs w:val="20"/>
                <w:color w:val="auto"/>
              </w:rPr>
            </w:pPr>
            <w:r>
              <w:rPr>
                <w:rFonts w:ascii="Arial" w:cs="Arial" w:eastAsia="Arial" w:hAnsi="Arial"/>
                <w:sz w:val="16"/>
                <w:szCs w:val="16"/>
                <w:color w:val="auto"/>
              </w:rPr>
              <w:t>2022</w:t>
            </w:r>
          </w:p>
        </w:tc>
        <w:tc>
          <w:tcPr>
            <w:tcW w:w="1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133,062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1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2023</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150,404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2560" w:type="dxa"/>
            <w:vAlign w:val="bottom"/>
            <w:shd w:val="clear" w:color="auto" w:fill="CFF0FC"/>
          </w:tcPr>
          <w:p>
            <w:pPr>
              <w:ind w:left="40"/>
              <w:spacing w:after="0"/>
              <w:rPr>
                <w:sz w:val="20"/>
                <w:szCs w:val="20"/>
                <w:color w:val="auto"/>
              </w:rPr>
            </w:pPr>
            <w:r>
              <w:rPr>
                <w:rFonts w:ascii="Arial" w:cs="Arial" w:eastAsia="Arial" w:hAnsi="Arial"/>
                <w:sz w:val="16"/>
                <w:szCs w:val="16"/>
                <w:color w:val="auto"/>
              </w:rPr>
              <w:t>2024</w:t>
            </w:r>
          </w:p>
        </w:tc>
        <w:tc>
          <w:tcPr>
            <w:tcW w:w="1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171,250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2560" w:type="dxa"/>
            <w:vAlign w:val="bottom"/>
          </w:tcPr>
          <w:p>
            <w:pPr>
              <w:ind w:left="40"/>
              <w:spacing w:after="0"/>
              <w:rPr>
                <w:sz w:val="20"/>
                <w:szCs w:val="20"/>
                <w:color w:val="auto"/>
              </w:rPr>
            </w:pPr>
            <w:r>
              <w:rPr>
                <w:rFonts w:ascii="Arial" w:cs="Arial" w:eastAsia="Arial" w:hAnsi="Arial"/>
                <w:sz w:val="16"/>
                <w:szCs w:val="16"/>
                <w:color w:val="auto"/>
              </w:rPr>
              <w:t>2025</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195,000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5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Thereafter</w:t>
            </w:r>
          </w:p>
        </w:tc>
        <w:tc>
          <w:tcPr>
            <w:tcW w:w="18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407,500</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Total</w:t>
            </w:r>
          </w:p>
        </w:tc>
        <w:tc>
          <w:tcPr>
            <w:tcW w:w="2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1,083,308</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2,301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20" w:type="dxa"/>
            <w:vAlign w:val="bottom"/>
            <w:vMerge w:val="restart"/>
          </w:tcPr>
          <w:p>
            <w:pPr>
              <w:jc w:val="right"/>
              <w:ind w:right="276"/>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17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-828040</wp:posOffset>
            </wp:positionV>
            <wp:extent cx="15430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-828040</wp:posOffset>
            </wp:positionV>
            <wp:extent cx="603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3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212529"/>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Acquisition</w:t>
      </w:r>
    </w:p>
    <w:p>
      <w:pPr>
        <w:spacing w:after="0" w:line="364"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212529"/>
        </w:rPr>
        <w:t xml:space="preserve">On February 9, 2021, the Company acquired 100% of the equity interests of Hustle Con Media, Inc. (the “Hustle”), a media company that produces a newsletter, podcast, and premium research content for innovative professionals. </w:t>
      </w:r>
      <w:r>
        <w:rPr>
          <w:rFonts w:ascii="Arial" w:cs="Arial" w:eastAsia="Arial" w:hAnsi="Arial"/>
          <w:sz w:val="17"/>
          <w:szCs w:val="17"/>
          <w:color w:val="000000"/>
        </w:rPr>
        <w:t>The Hustle will enable the Company to better meet the needs of scaling</w:t>
      </w:r>
      <w:r>
        <w:rPr>
          <w:rFonts w:ascii="Arial" w:cs="Arial" w:eastAsia="Arial" w:hAnsi="Arial"/>
          <w:sz w:val="17"/>
          <w:szCs w:val="17"/>
          <w:color w:val="212529"/>
        </w:rPr>
        <w:t xml:space="preserve"> </w:t>
      </w:r>
      <w:r>
        <w:rPr>
          <w:rFonts w:ascii="Arial" w:cs="Arial" w:eastAsia="Arial" w:hAnsi="Arial"/>
          <w:sz w:val="17"/>
          <w:szCs w:val="17"/>
          <w:color w:val="000000"/>
        </w:rPr>
        <w:t xml:space="preserve">companies by delivering educational, business and technology trend content in their preferred formats. The total cash purchase price for the acquisition was </w:t>
      </w:r>
      <w:r>
        <w:rPr>
          <w:rFonts w:ascii="Arial" w:cs="Arial" w:eastAsia="Arial" w:hAnsi="Arial"/>
          <w:sz w:val="17"/>
          <w:szCs w:val="17"/>
          <w:color w:val="212529"/>
        </w:rPr>
        <w:t>$17.2 million, net of cash acquired, which included an upward working capital adjustment of $0.4 million.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212529"/>
        </w:rPr>
        <w:t>The following table summarizes the fair value of assets acquired and liabilities assumed as of the date of acquisition:</w:t>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(in thousands)</w:t>
            </w:r>
          </w:p>
        </w:tc>
      </w:tr>
      <w:tr>
        <w:trPr>
          <w:trHeight w:val="26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r>
      <w:tr>
        <w:trPr>
          <w:trHeight w:val="26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assets</w:t>
            </w:r>
          </w:p>
        </w:tc>
        <w:tc>
          <w:tcPr>
            <w:tcW w:w="420" w:type="dxa"/>
            <w:vAlign w:val="bottom"/>
            <w:shd w:val="clear" w:color="auto" w:fill="CFF0FC"/>
          </w:tcPr>
          <w:p>
            <w:pPr>
              <w:spacing w:after="0"/>
              <w:rPr>
                <w:sz w:val="22"/>
                <w:szCs w:val="22"/>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spacing w:after="0"/>
              <w:rPr>
                <w:sz w:val="20"/>
                <w:szCs w:val="20"/>
                <w:color w:val="auto"/>
              </w:rPr>
            </w:pPr>
            <w:r>
              <w:rPr>
                <w:rFonts w:ascii="Arial" w:cs="Arial" w:eastAsia="Arial" w:hAnsi="Arial"/>
                <w:sz w:val="18"/>
                <w:szCs w:val="18"/>
                <w:color w:val="auto"/>
              </w:rPr>
              <w:t>Current backlog asset</w:t>
            </w:r>
          </w:p>
        </w:tc>
        <w:tc>
          <w:tcPr>
            <w:tcW w:w="4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r>
      <w:tr>
        <w:trPr>
          <w:trHeight w:val="26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420" w:type="dxa"/>
            <w:vAlign w:val="bottom"/>
            <w:shd w:val="clear" w:color="auto" w:fill="CFF0FC"/>
          </w:tcPr>
          <w:p>
            <w:pPr>
              <w:spacing w:after="0"/>
              <w:rPr>
                <w:sz w:val="22"/>
                <w:szCs w:val="22"/>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16,987</w:t>
            </w:r>
          </w:p>
        </w:tc>
        <w:tc>
          <w:tcPr>
            <w:tcW w:w="100" w:type="dxa"/>
            <w:vAlign w:val="bottom"/>
          </w:tcPr>
          <w:p>
            <w:pPr>
              <w:spacing w:after="0"/>
              <w:rPr>
                <w:sz w:val="21"/>
                <w:szCs w:val="21"/>
                <w:color w:val="auto"/>
              </w:rPr>
            </w:pPr>
          </w:p>
        </w:tc>
      </w:tr>
      <w:tr>
        <w:trPr>
          <w:trHeight w:val="26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20" w:type="dxa"/>
            <w:vAlign w:val="bottom"/>
            <w:shd w:val="clear" w:color="auto" w:fill="CFF0FC"/>
          </w:tcPr>
          <w:p>
            <w:pPr>
              <w:spacing w:after="0"/>
              <w:rPr>
                <w:sz w:val="22"/>
                <w:szCs w:val="22"/>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(2,975 )</w:t>
            </w:r>
          </w:p>
        </w:tc>
      </w:tr>
      <w:tr>
        <w:trPr>
          <w:trHeight w:val="250"/>
        </w:trPr>
        <w:tc>
          <w:tcPr>
            <w:tcW w:w="6520" w:type="dxa"/>
            <w:vAlign w:val="bottom"/>
          </w:tcPr>
          <w:p>
            <w:pPr>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(825 )</w:t>
            </w:r>
          </w:p>
        </w:tc>
      </w:tr>
      <w:tr>
        <w:trPr>
          <w:trHeight w:val="257"/>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420" w:type="dxa"/>
            <w:vAlign w:val="bottom"/>
            <w:shd w:val="clear" w:color="auto" w:fill="CFF0FC"/>
          </w:tcPr>
          <w:p>
            <w:pPr>
              <w:spacing w:after="0"/>
              <w:rPr>
                <w:sz w:val="22"/>
                <w:szCs w:val="22"/>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(1,042 )</w:t>
            </w:r>
          </w:p>
        </w:tc>
      </w:tr>
      <w:tr>
        <w:trPr>
          <w:trHeight w:val="250"/>
        </w:trPr>
        <w:tc>
          <w:tcPr>
            <w:tcW w:w="65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purchase price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20,299</w:t>
            </w:r>
          </w:p>
        </w:tc>
        <w:tc>
          <w:tcPr>
            <w:tcW w:w="100" w:type="dxa"/>
            <w:vAlign w:val="bottom"/>
            <w:tcBorders>
              <w:top w:val="single" w:sz="8" w:color="CFF0FC"/>
            </w:tcBorders>
          </w:tcPr>
          <w:p>
            <w:pPr>
              <w:spacing w:after="0"/>
              <w:rPr>
                <w:sz w:val="21"/>
                <w:szCs w:val="21"/>
                <w:color w:val="auto"/>
              </w:rPr>
            </w:pPr>
          </w:p>
        </w:tc>
      </w:tr>
      <w:tr>
        <w:trPr>
          <w:trHeight w:val="20"/>
        </w:trPr>
        <w:tc>
          <w:tcPr>
            <w:tcW w:w="6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As part of the purchase price allocation, the Company recorded a net deferred tax liability for approximately $1.0 million related to the difference between the tax basis and fair value of the acquired intangible assets. This net deferred tax liability provided a source of additional income to support the realizability of the Company’s pre-existing, U.S. deferred tax assets. As the Company has recorded a full valuation allowance against its U.S. deferred tax assets, the Company released a portion of its valuation allowance and recorded a corresponding income tax benefit of $1.0 million in the consolidated statement of operations for the period ended March 31, 2021.</w:t>
      </w:r>
    </w:p>
    <w:p>
      <w:pPr>
        <w:spacing w:after="0" w:line="83" w:lineRule="exact"/>
        <w:rPr>
          <w:sz w:val="20"/>
          <w:szCs w:val="20"/>
          <w:color w:val="auto"/>
        </w:rPr>
      </w:pPr>
    </w:p>
    <w:p>
      <w:pPr>
        <w:jc w:val="both"/>
        <w:ind w:right="40" w:firstLine="509"/>
        <w:spacing w:after="0" w:line="296" w:lineRule="auto"/>
        <w:rPr>
          <w:sz w:val="20"/>
          <w:szCs w:val="20"/>
          <w:color w:val="auto"/>
        </w:rPr>
      </w:pPr>
      <w:r>
        <w:rPr>
          <w:rFonts w:ascii="Arial" w:cs="Arial" w:eastAsia="Arial" w:hAnsi="Arial"/>
          <w:sz w:val="17"/>
          <w:szCs w:val="17"/>
          <w:color w:val="auto"/>
        </w:rPr>
        <w:t>The excess of the purchase consideration over the fair value of net tangible and identifiable intangible assets and liabilities acquired was recorded as goodwill. The Company believes the goodwill is attributable to the significant value obtained from the Company utilizing the advertising space within the Hustle’s newsletter and podcast, as well as the market influence of the premium research content to promote its products to the Hustle’s customer base and acquire new customers. The goodwill recognized is not deductible for U.S. or foreign income tax purposes.</w:t>
      </w:r>
    </w:p>
    <w:p>
      <w:pPr>
        <w:spacing w:after="0" w:line="6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 xml:space="preserve">The Company applied an income approach to estimate the fair values of the intangible assets acquired. The primary intangible asset acquired in the business acquisition was customer relationships and the fair value of </w:t>
      </w:r>
      <w:r>
        <w:rPr>
          <w:rFonts w:ascii="Arial" w:cs="Arial" w:eastAsia="Arial" w:hAnsi="Arial"/>
          <w:sz w:val="18"/>
          <w:szCs w:val="18"/>
          <w:color w:val="212529"/>
        </w:rPr>
        <w:t>$2.4</w:t>
      </w:r>
      <w:r>
        <w:rPr>
          <w:rFonts w:ascii="Arial" w:cs="Arial" w:eastAsia="Arial" w:hAnsi="Arial"/>
          <w:sz w:val="18"/>
          <w:szCs w:val="18"/>
          <w:color w:val="auto"/>
        </w:rPr>
        <w:t xml:space="preserve"> million was determined based on the estimated present value of expected after-tax cash flows attributable to subscribers using an excess earnings method.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w:t>
      </w:r>
    </w:p>
    <w:p>
      <w:pPr>
        <w:spacing w:after="0" w:line="83" w:lineRule="exact"/>
        <w:rPr>
          <w:sz w:val="20"/>
          <w:szCs w:val="20"/>
          <w:color w:val="auto"/>
        </w:rPr>
      </w:pPr>
    </w:p>
    <w:p>
      <w:pPr>
        <w:ind w:right="120" w:firstLine="509"/>
        <w:spacing w:after="0" w:line="359" w:lineRule="auto"/>
        <w:rPr>
          <w:sz w:val="20"/>
          <w:szCs w:val="20"/>
          <w:color w:val="auto"/>
        </w:rPr>
      </w:pPr>
      <w:r>
        <w:rPr>
          <w:rFonts w:ascii="Arial" w:cs="Arial" w:eastAsia="Arial" w:hAnsi="Arial"/>
          <w:sz w:val="16"/>
          <w:szCs w:val="16"/>
          <w:color w:val="auto"/>
        </w:rPr>
        <w:t xml:space="preserve">The Company began amortizing the customer relationships on the date of acquisition over a period of </w:t>
      </w:r>
      <w:r>
        <w:rPr>
          <w:rFonts w:ascii="Arial" w:cs="Arial" w:eastAsia="Arial" w:hAnsi="Arial"/>
          <w:sz w:val="16"/>
          <w:szCs w:val="16"/>
          <w:color w:val="212529"/>
        </w:rPr>
        <w:t>seven years</w:t>
      </w:r>
      <w:r>
        <w:rPr>
          <w:rFonts w:ascii="Arial" w:cs="Arial" w:eastAsia="Arial" w:hAnsi="Arial"/>
          <w:sz w:val="16"/>
          <w:szCs w:val="16"/>
          <w:color w:val="auto"/>
        </w:rPr>
        <w:t xml:space="preserve"> based on expected future cash flow attributable to existing customers. The amortization expense is recorded to sales and marketing expense in the consolidated statements of operations.</w:t>
      </w:r>
    </w:p>
    <w:p>
      <w:pPr>
        <w:spacing w:after="0" w:line="17"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The Company has included the operating results of the Hustle in its consolidated financial statements since the date of the acquisition. The acquisition did not have a material effect on the revenue or earnings in the consolidated income statement for the reporting periods presented. The pro forma results of the Company as if the acquisition had taken place on the first day of 2020 were not materially different from the amounts reflected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13. Changes in Stockholders’ Equity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changes in stockholders’ equity for the nine months ended September 30, 2021 and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140" w:type="dxa"/>
            <w:vAlign w:val="bottom"/>
            <w:gridSpan w:val="2"/>
          </w:tcPr>
          <w:p>
            <w:pPr>
              <w:jc w:val="center"/>
              <w:ind w:left="442"/>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300" w:type="dxa"/>
            <w:vAlign w:val="bottom"/>
            <w:gridSpan w:val="3"/>
          </w:tcPr>
          <w:p>
            <w:pPr>
              <w:jc w:val="center"/>
              <w:ind w:left="262"/>
              <w:spacing w:after="0"/>
              <w:rPr>
                <w:sz w:val="20"/>
                <w:szCs w:val="20"/>
                <w:color w:val="auto"/>
              </w:rPr>
            </w:pPr>
            <w:r>
              <w:rPr>
                <w:rFonts w:ascii="Arial" w:cs="Arial" w:eastAsia="Arial" w:hAnsi="Arial"/>
                <w:sz w:val="13"/>
                <w:szCs w:val="13"/>
                <w:b w:val="1"/>
                <w:bCs w:val="1"/>
                <w:color w:val="auto"/>
                <w:w w:val="87"/>
              </w:rPr>
              <w:t>Stock, $0.001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7"/>
          </w:tcPr>
          <w:p>
            <w:pPr>
              <w:ind w:left="20"/>
              <w:spacing w:after="0"/>
              <w:rPr>
                <w:sz w:val="20"/>
                <w:szCs w:val="20"/>
                <w:color w:val="auto"/>
              </w:rPr>
            </w:pPr>
            <w:r>
              <w:rPr>
                <w:rFonts w:ascii="Arial" w:cs="Arial" w:eastAsia="Arial" w:hAnsi="Arial"/>
                <w:sz w:val="13"/>
                <w:szCs w:val="13"/>
                <w:b w:val="1"/>
                <w:bCs w:val="1"/>
                <w:color w:val="auto"/>
                <w:w w:val="97"/>
              </w:rPr>
              <w:t>Treasury Stock, $0.001</w:t>
            </w: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9"/>
        </w:trPr>
        <w:tc>
          <w:tcPr>
            <w:tcW w:w="3200" w:type="dxa"/>
            <w:vAlign w:val="bottom"/>
          </w:tcPr>
          <w:p>
            <w:pPr>
              <w:spacing w:after="0"/>
              <w:rPr>
                <w:sz w:val="15"/>
                <w:szCs w:val="15"/>
                <w:color w:val="auto"/>
              </w:rPr>
            </w:pPr>
          </w:p>
        </w:tc>
        <w:tc>
          <w:tcPr>
            <w:tcW w:w="1140" w:type="dxa"/>
            <w:vAlign w:val="bottom"/>
            <w:tcBorders>
              <w:bottom w:val="single" w:sz="8" w:color="auto"/>
            </w:tcBorders>
            <w:gridSpan w:val="2"/>
          </w:tcPr>
          <w:p>
            <w:pPr>
              <w:jc w:val="center"/>
              <w:ind w:left="422"/>
              <w:spacing w:after="0"/>
              <w:rPr>
                <w:sz w:val="20"/>
                <w:szCs w:val="20"/>
                <w:color w:val="auto"/>
              </w:rPr>
            </w:pPr>
            <w:r>
              <w:rPr>
                <w:rFonts w:ascii="Arial" w:cs="Arial" w:eastAsia="Arial" w:hAnsi="Arial"/>
                <w:sz w:val="13"/>
                <w:szCs w:val="13"/>
                <w:b w:val="1"/>
                <w:bCs w:val="1"/>
                <w:color w:val="auto"/>
                <w:w w:val="87"/>
              </w:rPr>
              <w:t>Par Value</w:t>
            </w: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Par Value</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3200" w:type="dxa"/>
            <w:vAlign w:val="bottom"/>
          </w:tcPr>
          <w:p>
            <w:pPr>
              <w:spacing w:after="0"/>
              <w:rPr>
                <w:sz w:val="15"/>
                <w:szCs w:val="15"/>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3"/>
              </w:rPr>
              <w:t>Income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5"/>
                <w:szCs w:val="15"/>
                <w:color w:val="auto"/>
              </w:rPr>
            </w:pPr>
          </w:p>
        </w:tc>
      </w:tr>
      <w:tr>
        <w:trPr>
          <w:trHeight w:val="22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at December 31, 2020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46,115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1,241,167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(483,161 )</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762,655</w:t>
            </w:r>
          </w:p>
        </w:tc>
        <w:tc>
          <w:tcPr>
            <w:tcW w:w="80" w:type="dxa"/>
            <w:vAlign w:val="bottom"/>
            <w:shd w:val="clear" w:color="auto" w:fill="CFF0FC"/>
          </w:tcPr>
          <w:p>
            <w:pPr>
              <w:spacing w:after="0"/>
              <w:rPr>
                <w:sz w:val="19"/>
                <w:szCs w:val="19"/>
                <w:color w:val="auto"/>
              </w:rPr>
            </w:pPr>
          </w:p>
        </w:tc>
      </w:tr>
      <w:tr>
        <w:trPr>
          <w:trHeight w:val="206"/>
        </w:trPr>
        <w:tc>
          <w:tcPr>
            <w:tcW w:w="3200" w:type="dxa"/>
            <w:vAlign w:val="bottom"/>
          </w:tcPr>
          <w:p>
            <w:pPr>
              <w:ind w:left="20"/>
              <w:spacing w:after="0"/>
              <w:rPr>
                <w:sz w:val="20"/>
                <w:szCs w:val="20"/>
                <w:color w:val="auto"/>
              </w:rPr>
            </w:pPr>
            <w:r>
              <w:rPr>
                <w:rFonts w:ascii="Arial" w:cs="Arial" w:eastAsia="Arial" w:hAnsi="Arial"/>
                <w:sz w:val="16"/>
                <w:szCs w:val="16"/>
                <w:color w:val="auto"/>
              </w:rPr>
              <w:t>Issuance of common stock under stock</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plans, net of shares withheld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for employee taxes</w:t>
            </w:r>
          </w:p>
        </w:tc>
        <w:tc>
          <w:tcPr>
            <w:tcW w:w="900" w:type="dxa"/>
            <w:vAlign w:val="bottom"/>
          </w:tcPr>
          <w:p>
            <w:pPr>
              <w:jc w:val="right"/>
              <w:spacing w:after="0"/>
              <w:rPr>
                <w:sz w:val="20"/>
                <w:szCs w:val="20"/>
                <w:color w:val="auto"/>
              </w:rPr>
            </w:pPr>
            <w:r>
              <w:rPr>
                <w:rFonts w:ascii="Arial" w:cs="Arial" w:eastAsia="Arial" w:hAnsi="Arial"/>
                <w:sz w:val="16"/>
                <w:szCs w:val="16"/>
                <w:color w:val="auto"/>
              </w:rPr>
              <w:t>746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17,260</w:t>
            </w:r>
          </w:p>
        </w:tc>
        <w:tc>
          <w:tcPr>
            <w:tcW w:w="80" w:type="dxa"/>
            <w:vAlign w:val="bottom"/>
          </w:tcPr>
          <w:p>
            <w:pPr>
              <w:spacing w:after="0"/>
              <w:rPr>
                <w:sz w:val="18"/>
                <w:szCs w:val="18"/>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77,606</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77,606</w:t>
            </w:r>
          </w:p>
        </w:tc>
        <w:tc>
          <w:tcPr>
            <w:tcW w:w="80" w:type="dxa"/>
            <w:vAlign w:val="bottom"/>
            <w:shd w:val="clear" w:color="auto" w:fill="CFF0FC"/>
          </w:tcPr>
          <w:p>
            <w:pPr>
              <w:spacing w:after="0"/>
              <w:rPr>
                <w:sz w:val="20"/>
                <w:szCs w:val="20"/>
                <w:color w:val="auto"/>
              </w:rPr>
            </w:pPr>
          </w:p>
        </w:tc>
      </w:tr>
      <w:tr>
        <w:trPr>
          <w:trHeight w:val="206"/>
        </w:trPr>
        <w:tc>
          <w:tcPr>
            <w:tcW w:w="3200" w:type="dxa"/>
            <w:vAlign w:val="bottom"/>
          </w:tcPr>
          <w:p>
            <w:pPr>
              <w:ind w:left="20"/>
              <w:spacing w:after="0"/>
              <w:rPr>
                <w:sz w:val="20"/>
                <w:szCs w:val="20"/>
                <w:color w:val="auto"/>
              </w:rPr>
            </w:pPr>
            <w:r>
              <w:rPr>
                <w:rFonts w:ascii="Arial" w:cs="Arial" w:eastAsia="Arial" w:hAnsi="Arial"/>
                <w:sz w:val="16"/>
                <w:szCs w:val="16"/>
                <w:color w:val="auto"/>
              </w:rPr>
              <w:t>Equity component of the 2022</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Notes conversions</w:t>
            </w:r>
          </w:p>
        </w:tc>
        <w:tc>
          <w:tcPr>
            <w:tcW w:w="900" w:type="dxa"/>
            <w:vAlign w:val="bottom"/>
          </w:tcPr>
          <w:p>
            <w:pPr>
              <w:jc w:val="right"/>
              <w:spacing w:after="0"/>
              <w:rPr>
                <w:sz w:val="20"/>
                <w:szCs w:val="20"/>
                <w:color w:val="auto"/>
              </w:rPr>
            </w:pPr>
            <w:r>
              <w:rPr>
                <w:rFonts w:ascii="Arial" w:cs="Arial" w:eastAsia="Arial" w:hAnsi="Arial"/>
                <w:sz w:val="16"/>
                <w:szCs w:val="16"/>
                <w:color w:val="auto"/>
              </w:rPr>
              <w:t>471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(2,455 )</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(2,455 )</w:t>
            </w:r>
          </w:p>
        </w:tc>
      </w:tr>
      <w:tr>
        <w:trPr>
          <w:trHeight w:val="23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 of Convertible Note Hedges</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(473 )</w:t>
            </w:r>
          </w:p>
        </w:tc>
        <w:tc>
          <w:tcPr>
            <w:tcW w:w="1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w:t>
            </w:r>
          </w:p>
        </w:tc>
        <w:tc>
          <w:tcPr>
            <w:tcW w:w="80" w:type="dxa"/>
            <w:vAlign w:val="bottom"/>
            <w:shd w:val="clear" w:color="auto" w:fill="CFF0FC"/>
          </w:tcPr>
          <w:p>
            <w:pPr>
              <w:spacing w:after="0"/>
              <w:rPr>
                <w:sz w:val="20"/>
                <w:szCs w:val="20"/>
                <w:color w:val="auto"/>
              </w:rPr>
            </w:pPr>
          </w:p>
        </w:tc>
      </w:tr>
      <w:tr>
        <w:trPr>
          <w:trHeight w:val="220"/>
        </w:trPr>
        <w:tc>
          <w:tcPr>
            <w:tcW w:w="3200" w:type="dxa"/>
            <w:vAlign w:val="bottom"/>
          </w:tcPr>
          <w:p>
            <w:pPr>
              <w:ind w:left="20"/>
              <w:spacing w:after="0"/>
              <w:rPr>
                <w:sz w:val="20"/>
                <w:szCs w:val="20"/>
                <w:color w:val="auto"/>
              </w:rPr>
            </w:pPr>
            <w:r>
              <w:rPr>
                <w:rFonts w:ascii="Arial" w:cs="Arial" w:eastAsia="Arial" w:hAnsi="Arial"/>
                <w:sz w:val="16"/>
                <w:szCs w:val="16"/>
                <w:color w:val="auto"/>
              </w:rPr>
              <w:t>Cumulative translation adjustment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(1,955 )</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(1,955 )</w:t>
            </w:r>
          </w:p>
        </w:tc>
      </w:tr>
      <w:tr>
        <w:trPr>
          <w:trHeight w:val="216"/>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Unrealized loss on investments, net of</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6"/>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income taxes of ($43)</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(420 )</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(420 )</w:t>
            </w:r>
          </w:p>
        </w:tc>
      </w:tr>
      <w:tr>
        <w:trPr>
          <w:trHeight w:val="227"/>
        </w:trPr>
        <w:tc>
          <w:tcPr>
            <w:tcW w:w="3200" w:type="dxa"/>
            <w:vAlign w:val="bottom"/>
          </w:tcPr>
          <w:p>
            <w:pPr>
              <w:ind w:left="20"/>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(47,731 )</w:t>
            </w: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(47,731 )</w:t>
            </w:r>
          </w:p>
        </w:tc>
      </w:tr>
      <w:tr>
        <w:trPr>
          <w:trHeight w:val="20"/>
        </w:trPr>
        <w:tc>
          <w:tcPr>
            <w:tcW w:w="3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6"/>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at June 30, 2021</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46,859</w:t>
            </w:r>
          </w:p>
        </w:tc>
        <w:tc>
          <w:tcPr>
            <w:tcW w:w="2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FF0FC"/>
          </w:tcPr>
          <w:p>
            <w:pPr>
              <w:spacing w:after="0"/>
              <w:rPr>
                <w:sz w:val="23"/>
                <w:szCs w:val="2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140" w:type="dxa"/>
            <w:vAlign w:val="bottom"/>
            <w:gridSpan w:val="2"/>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spacing w:after="0"/>
              <w:rPr>
                <w:sz w:val="23"/>
                <w:szCs w:val="23"/>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1,334,301</w:t>
            </w:r>
          </w:p>
        </w:tc>
        <w:tc>
          <w:tcPr>
            <w:tcW w:w="14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2,228</w:t>
            </w:r>
          </w:p>
        </w:tc>
        <w:tc>
          <w:tcPr>
            <w:tcW w:w="16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(530,892 )</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805,684</w:t>
            </w:r>
          </w:p>
        </w:tc>
        <w:tc>
          <w:tcPr>
            <w:tcW w:w="80" w:type="dxa"/>
            <w:vAlign w:val="bottom"/>
            <w:shd w:val="clear" w:color="auto" w:fill="CFF0FC"/>
          </w:tcPr>
          <w:p>
            <w:pPr>
              <w:spacing w:after="0"/>
              <w:rPr>
                <w:sz w:val="23"/>
                <w:szCs w:val="23"/>
                <w:color w:val="auto"/>
              </w:rPr>
            </w:pPr>
          </w:p>
        </w:tc>
      </w:tr>
      <w:tr>
        <w:trPr>
          <w:trHeight w:val="187"/>
        </w:trPr>
        <w:tc>
          <w:tcPr>
            <w:tcW w:w="32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Issuance of common stock under stock</w:t>
            </w: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plans</w:t>
            </w:r>
          </w:p>
        </w:tc>
        <w:tc>
          <w:tcPr>
            <w:tcW w:w="900" w:type="dxa"/>
            <w:vAlign w:val="bottom"/>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1,233</w:t>
            </w:r>
          </w:p>
        </w:tc>
        <w:tc>
          <w:tcPr>
            <w:tcW w:w="80" w:type="dxa"/>
            <w:vAlign w:val="bottom"/>
          </w:tcPr>
          <w:p>
            <w:pPr>
              <w:spacing w:after="0"/>
              <w:rPr>
                <w:sz w:val="18"/>
                <w:szCs w:val="18"/>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units taxes paid in cash</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(4,814 )</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(4,814 )</w:t>
            </w:r>
          </w:p>
        </w:tc>
      </w:tr>
      <w:tr>
        <w:trPr>
          <w:trHeight w:val="206"/>
        </w:trPr>
        <w:tc>
          <w:tcPr>
            <w:tcW w:w="3200" w:type="dxa"/>
            <w:vAlign w:val="bottom"/>
          </w:tcPr>
          <w:p>
            <w:pPr>
              <w:ind w:left="20"/>
              <w:spacing w:after="0"/>
              <w:rPr>
                <w:sz w:val="20"/>
                <w:szCs w:val="20"/>
                <w:color w:val="auto"/>
              </w:rPr>
            </w:pPr>
            <w:r>
              <w:rPr>
                <w:rFonts w:ascii="Arial" w:cs="Arial" w:eastAsia="Arial" w:hAnsi="Arial"/>
                <w:sz w:val="16"/>
                <w:szCs w:val="16"/>
                <w:color w:val="auto"/>
              </w:rPr>
              <w:t>Equity component of the 2022</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Notes conversions</w:t>
            </w:r>
          </w:p>
        </w:tc>
        <w:tc>
          <w:tcPr>
            <w:tcW w:w="900" w:type="dxa"/>
            <w:vAlign w:val="bottom"/>
          </w:tcPr>
          <w:p>
            <w:pPr>
              <w:jc w:val="right"/>
              <w:spacing w:after="0"/>
              <w:rPr>
                <w:sz w:val="20"/>
                <w:szCs w:val="20"/>
                <w:color w:val="auto"/>
              </w:rPr>
            </w:pPr>
            <w:r>
              <w:rPr>
                <w:rFonts w:ascii="Arial" w:cs="Arial" w:eastAsia="Arial" w:hAnsi="Arial"/>
                <w:sz w:val="16"/>
                <w:szCs w:val="16"/>
                <w:color w:val="auto"/>
              </w:rPr>
              <w:t>412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(552 )</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(551 )</w:t>
            </w:r>
          </w:p>
        </w:tc>
      </w:tr>
      <w:tr>
        <w:trPr>
          <w:trHeight w:val="23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 of Convertible Note Hedges</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(410 )</w:t>
            </w:r>
          </w:p>
        </w:tc>
        <w:tc>
          <w:tcPr>
            <w:tcW w:w="1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(1 )</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20"/>
                <w:szCs w:val="20"/>
                <w:color w:val="auto"/>
              </w:rPr>
            </w:pPr>
          </w:p>
        </w:tc>
      </w:tr>
      <w:tr>
        <w:trPr>
          <w:trHeight w:val="220"/>
        </w:trPr>
        <w:tc>
          <w:tcPr>
            <w:tcW w:w="32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45,811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45,811</w:t>
            </w:r>
          </w:p>
        </w:tc>
        <w:tc>
          <w:tcPr>
            <w:tcW w:w="80" w:type="dxa"/>
            <w:vAlign w:val="bottom"/>
          </w:tcPr>
          <w:p>
            <w:pPr>
              <w:spacing w:after="0"/>
              <w:rPr>
                <w:sz w:val="19"/>
                <w:szCs w:val="19"/>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Cumulative translation adjustment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(1,600 )</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(1,600 )</w:t>
            </w:r>
          </w:p>
        </w:tc>
      </w:tr>
      <w:tr>
        <w:trPr>
          <w:trHeight w:val="206"/>
        </w:trPr>
        <w:tc>
          <w:tcPr>
            <w:tcW w:w="3200" w:type="dxa"/>
            <w:vAlign w:val="bottom"/>
          </w:tcPr>
          <w:p>
            <w:pPr>
              <w:ind w:left="20"/>
              <w:spacing w:after="0"/>
              <w:rPr>
                <w:sz w:val="20"/>
                <w:szCs w:val="20"/>
                <w:color w:val="auto"/>
              </w:rPr>
            </w:pPr>
            <w:r>
              <w:rPr>
                <w:rFonts w:ascii="Arial" w:cs="Arial" w:eastAsia="Arial" w:hAnsi="Arial"/>
                <w:sz w:val="16"/>
                <w:szCs w:val="16"/>
                <w:color w:val="auto"/>
              </w:rPr>
              <w:t>Unrealized loss on investments, net of</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6"/>
                <w:szCs w:val="16"/>
                <w:color w:val="auto"/>
              </w:rPr>
              <w:t>income taxes of ($1)</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(37 )</w:t>
            </w:r>
          </w:p>
        </w:tc>
      </w:tr>
      <w:tr>
        <w:trPr>
          <w:trHeight w:val="236"/>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(13,735 )</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(13,735 )</w:t>
            </w:r>
          </w:p>
        </w:tc>
      </w:tr>
      <w:tr>
        <w:trPr>
          <w:trHeight w:val="20"/>
        </w:trPr>
        <w:tc>
          <w:tcPr>
            <w:tcW w:w="3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6"/>
        </w:trPr>
        <w:tc>
          <w:tcPr>
            <w:tcW w:w="3200" w:type="dxa"/>
            <w:vAlign w:val="bottom"/>
          </w:tcPr>
          <w:p>
            <w:pPr>
              <w:ind w:left="20"/>
              <w:spacing w:after="0"/>
              <w:rPr>
                <w:sz w:val="20"/>
                <w:szCs w:val="20"/>
                <w:color w:val="auto"/>
              </w:rPr>
            </w:pPr>
            <w:r>
              <w:rPr>
                <w:rFonts w:ascii="Arial" w:cs="Arial" w:eastAsia="Arial" w:hAnsi="Arial"/>
                <w:sz w:val="16"/>
                <w:szCs w:val="16"/>
                <w:color w:val="auto"/>
              </w:rPr>
              <w:t>Balances at September 30, 2021</w:t>
            </w:r>
          </w:p>
        </w:tc>
        <w:tc>
          <w:tcPr>
            <w:tcW w:w="900" w:type="dxa"/>
            <w:vAlign w:val="bottom"/>
          </w:tcPr>
          <w:p>
            <w:pPr>
              <w:jc w:val="right"/>
              <w:spacing w:after="0"/>
              <w:rPr>
                <w:sz w:val="20"/>
                <w:szCs w:val="20"/>
                <w:color w:val="auto"/>
              </w:rPr>
            </w:pPr>
            <w:r>
              <w:rPr>
                <w:rFonts w:ascii="Arial" w:cs="Arial" w:eastAsia="Arial" w:hAnsi="Arial"/>
                <w:sz w:val="16"/>
                <w:szCs w:val="16"/>
                <w:color w:val="auto"/>
              </w:rPr>
              <w:t>47,106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4"/>
          </w:tcPr>
          <w:p>
            <w:pPr>
              <w:jc w:val="right"/>
              <w:ind w:right="4"/>
              <w:spacing w:after="0"/>
              <w:rPr>
                <w:sz w:val="20"/>
                <w:szCs w:val="20"/>
                <w:color w:val="auto"/>
              </w:rPr>
            </w:pPr>
            <w:r>
              <w:rPr>
                <w:rFonts w:ascii="Arial" w:cs="Arial" w:eastAsia="Arial" w:hAnsi="Arial"/>
                <w:sz w:val="16"/>
                <w:szCs w:val="16"/>
                <w:color w:val="auto"/>
              </w:rPr>
              <w:t>(1 ) $</w:t>
            </w:r>
          </w:p>
        </w:tc>
        <w:tc>
          <w:tcPr>
            <w:tcW w:w="860" w:type="dxa"/>
            <w:vAlign w:val="bottom"/>
          </w:tcPr>
          <w:p>
            <w:pPr>
              <w:jc w:val="right"/>
              <w:spacing w:after="0"/>
              <w:rPr>
                <w:sz w:val="20"/>
                <w:szCs w:val="20"/>
                <w:color w:val="auto"/>
              </w:rPr>
            </w:pPr>
            <w:r>
              <w:rPr>
                <w:rFonts w:ascii="Arial" w:cs="Arial" w:eastAsia="Arial" w:hAnsi="Arial"/>
                <w:sz w:val="16"/>
                <w:szCs w:val="16"/>
                <w:color w:val="auto"/>
              </w:rPr>
              <w:t>1,375,982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591</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(544,627 )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831,993</w:t>
            </w:r>
          </w:p>
        </w:tc>
        <w:tc>
          <w:tcPr>
            <w:tcW w:w="8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-1757045</wp:posOffset>
            </wp:positionV>
            <wp:extent cx="1543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-1739900</wp:posOffset>
            </wp:positionV>
            <wp:extent cx="1543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-1757045</wp:posOffset>
            </wp:positionV>
            <wp:extent cx="1289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-1739900</wp:posOffset>
            </wp:positionV>
            <wp:extent cx="1289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-1757045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-1739900</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-1757045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-1739900</wp:posOffset>
            </wp:positionV>
            <wp:extent cx="85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-1757045</wp:posOffset>
            </wp:positionV>
            <wp:extent cx="93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-1739900</wp:posOffset>
            </wp:positionV>
            <wp:extent cx="93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-1757045</wp:posOffset>
            </wp:positionV>
            <wp:extent cx="946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-1739900</wp:posOffset>
            </wp:positionV>
            <wp:extent cx="946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-1757045</wp:posOffset>
            </wp:positionV>
            <wp:extent cx="946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-1739900</wp:posOffset>
            </wp:positionV>
            <wp:extent cx="946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-1757045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-1739900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-176530</wp:posOffset>
            </wp:positionV>
            <wp:extent cx="15430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-176530</wp:posOffset>
            </wp:positionV>
            <wp:extent cx="12890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-176530</wp:posOffset>
            </wp:positionV>
            <wp:extent cx="8572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-176530</wp:posOffset>
            </wp:positionV>
            <wp:extent cx="8572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-176530</wp:posOffset>
            </wp:positionV>
            <wp:extent cx="939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-176530</wp:posOffset>
            </wp:positionV>
            <wp:extent cx="9461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-176530</wp:posOffset>
            </wp:positionV>
            <wp:extent cx="9461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-176530</wp:posOffset>
            </wp:positionV>
            <wp:extent cx="5143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380" w:type="dxa"/>
            <w:vAlign w:val="bottom"/>
            <w:gridSpan w:val="2"/>
          </w:tcPr>
          <w:p>
            <w:pPr>
              <w:jc w:val="center"/>
              <w:ind w:left="522"/>
              <w:spacing w:after="0"/>
              <w:rPr>
                <w:sz w:val="20"/>
                <w:szCs w:val="20"/>
                <w:color w:val="auto"/>
              </w:rPr>
            </w:pPr>
            <w:r>
              <w:rPr>
                <w:rFonts w:ascii="Arial" w:cs="Arial" w:eastAsia="Arial" w:hAnsi="Arial"/>
                <w:sz w:val="13"/>
                <w:szCs w:val="13"/>
                <w:b w:val="1"/>
                <w:bCs w:val="1"/>
                <w:color w:val="auto"/>
                <w:w w:val="88"/>
              </w:rPr>
              <w:t>Common</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1380" w:type="dxa"/>
            <w:vAlign w:val="bottom"/>
            <w:gridSpan w:val="2"/>
          </w:tcPr>
          <w:p>
            <w:pPr>
              <w:jc w:val="center"/>
              <w:ind w:left="522"/>
              <w:spacing w:after="0"/>
              <w:rPr>
                <w:sz w:val="20"/>
                <w:szCs w:val="20"/>
                <w:color w:val="auto"/>
              </w:rPr>
            </w:pPr>
            <w:r>
              <w:rPr>
                <w:rFonts w:ascii="Arial" w:cs="Arial" w:eastAsia="Arial" w:hAnsi="Arial"/>
                <w:sz w:val="13"/>
                <w:szCs w:val="13"/>
                <w:b w:val="1"/>
                <w:bCs w:val="1"/>
                <w:color w:val="auto"/>
                <w:w w:val="84"/>
              </w:rPr>
              <w:t>Stock, $0.001</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0"/>
              </w:rPr>
              <w:t>Accumulated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9"/>
        </w:trPr>
        <w:tc>
          <w:tcPr>
            <w:tcW w:w="3340" w:type="dxa"/>
            <w:vAlign w:val="bottom"/>
          </w:tcPr>
          <w:p>
            <w:pPr>
              <w:spacing w:after="0"/>
              <w:rPr>
                <w:sz w:val="15"/>
                <w:szCs w:val="15"/>
                <w:color w:val="auto"/>
              </w:rPr>
            </w:pPr>
          </w:p>
        </w:tc>
        <w:tc>
          <w:tcPr>
            <w:tcW w:w="1380" w:type="dxa"/>
            <w:vAlign w:val="bottom"/>
            <w:tcBorders>
              <w:bottom w:val="single" w:sz="8" w:color="auto"/>
            </w:tcBorders>
            <w:gridSpan w:val="2"/>
          </w:tcPr>
          <w:p>
            <w:pPr>
              <w:jc w:val="center"/>
              <w:ind w:left="522"/>
              <w:spacing w:after="0"/>
              <w:rPr>
                <w:sz w:val="20"/>
                <w:szCs w:val="20"/>
                <w:color w:val="auto"/>
              </w:rPr>
            </w:pPr>
            <w:r>
              <w:rPr>
                <w:rFonts w:ascii="Arial" w:cs="Arial" w:eastAsia="Arial" w:hAnsi="Arial"/>
                <w:sz w:val="13"/>
                <w:szCs w:val="13"/>
                <w:b w:val="1"/>
                <w:bCs w:val="1"/>
                <w:color w:val="auto"/>
                <w:w w:val="91"/>
              </w:rPr>
              <w:t>Par Value</w:t>
            </w: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3340" w:type="dxa"/>
            <w:vAlign w:val="bottom"/>
          </w:tcPr>
          <w:p>
            <w:pPr>
              <w:spacing w:after="0"/>
              <w:rPr>
                <w:sz w:val="15"/>
                <w:szCs w:val="15"/>
                <w:color w:val="auto"/>
              </w:rPr>
            </w:pPr>
          </w:p>
        </w:tc>
        <w:tc>
          <w:tcPr>
            <w:tcW w:w="11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7"/>
              </w:rPr>
              <w:t>(Loss)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5"/>
                <w:szCs w:val="15"/>
                <w:color w:val="auto"/>
              </w:rPr>
            </w:pPr>
          </w:p>
        </w:tc>
      </w:tr>
      <w:tr>
        <w:trPr>
          <w:trHeight w:val="230"/>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at December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5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1,048,380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(336 ) $</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(398,130 )</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649,958</w:t>
            </w:r>
          </w:p>
        </w:tc>
        <w:tc>
          <w:tcPr>
            <w:tcW w:w="80" w:type="dxa"/>
            <w:vAlign w:val="bottom"/>
            <w:shd w:val="clear" w:color="auto" w:fill="CFF0FC"/>
          </w:tcPr>
          <w:p>
            <w:pPr>
              <w:spacing w:after="0"/>
              <w:rPr>
                <w:sz w:val="19"/>
                <w:szCs w:val="19"/>
                <w:color w:val="auto"/>
              </w:rPr>
            </w:pPr>
          </w:p>
        </w:tc>
      </w:tr>
      <w:tr>
        <w:trPr>
          <w:trHeight w:val="206"/>
        </w:trPr>
        <w:tc>
          <w:tcPr>
            <w:tcW w:w="3340" w:type="dxa"/>
            <w:vAlign w:val="bottom"/>
          </w:tcPr>
          <w:p>
            <w:pPr>
              <w:ind w:left="20"/>
              <w:spacing w:after="0"/>
              <w:rPr>
                <w:sz w:val="20"/>
                <w:szCs w:val="20"/>
                <w:color w:val="auto"/>
              </w:rPr>
            </w:pPr>
            <w:r>
              <w:rPr>
                <w:rFonts w:ascii="Arial" w:cs="Arial" w:eastAsia="Arial" w:hAnsi="Arial"/>
                <w:sz w:val="16"/>
                <w:szCs w:val="16"/>
                <w:color w:val="auto"/>
              </w:rPr>
              <w:t>Issuance of common stock under stock</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340" w:type="dxa"/>
            <w:vAlign w:val="bottom"/>
          </w:tcPr>
          <w:p>
            <w:pPr>
              <w:ind w:left="100"/>
              <w:spacing w:after="0"/>
              <w:rPr>
                <w:sz w:val="20"/>
                <w:szCs w:val="20"/>
                <w:color w:val="auto"/>
              </w:rPr>
            </w:pPr>
            <w:r>
              <w:rPr>
                <w:rFonts w:ascii="Arial" w:cs="Arial" w:eastAsia="Arial" w:hAnsi="Arial"/>
                <w:sz w:val="16"/>
                <w:szCs w:val="16"/>
                <w:color w:val="auto"/>
              </w:rPr>
              <w:t>plans, net of shares withheld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6"/>
                <w:szCs w:val="16"/>
                <w:color w:val="auto"/>
              </w:rPr>
              <w:t>for employee taxes</w:t>
            </w:r>
          </w:p>
        </w:tc>
        <w:tc>
          <w:tcPr>
            <w:tcW w:w="1140" w:type="dxa"/>
            <w:vAlign w:val="bottom"/>
          </w:tcPr>
          <w:p>
            <w:pPr>
              <w:jc w:val="right"/>
              <w:spacing w:after="0"/>
              <w:rPr>
                <w:sz w:val="20"/>
                <w:szCs w:val="20"/>
                <w:color w:val="auto"/>
              </w:rPr>
            </w:pPr>
            <w:r>
              <w:rPr>
                <w:rFonts w:ascii="Arial" w:cs="Arial" w:eastAsia="Arial" w:hAnsi="Arial"/>
                <w:sz w:val="16"/>
                <w:szCs w:val="16"/>
                <w:color w:val="auto"/>
              </w:rPr>
              <w:t>836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13,021</w:t>
            </w:r>
          </w:p>
        </w:tc>
        <w:tc>
          <w:tcPr>
            <w:tcW w:w="80" w:type="dxa"/>
            <w:vAlign w:val="bottom"/>
          </w:tcPr>
          <w:p>
            <w:pPr>
              <w:spacing w:after="0"/>
              <w:rPr>
                <w:sz w:val="18"/>
                <w:szCs w:val="18"/>
                <w:color w:val="auto"/>
              </w:rPr>
            </w:pPr>
          </w:p>
        </w:tc>
      </w:tr>
      <w:tr>
        <w:trPr>
          <w:trHeight w:val="239"/>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59,769</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59,769</w:t>
            </w:r>
          </w:p>
        </w:tc>
        <w:tc>
          <w:tcPr>
            <w:tcW w:w="80" w:type="dxa"/>
            <w:vAlign w:val="bottom"/>
            <w:shd w:val="clear" w:color="auto" w:fill="CFF0FC"/>
          </w:tcPr>
          <w:p>
            <w:pPr>
              <w:spacing w:after="0"/>
              <w:rPr>
                <w:sz w:val="20"/>
                <w:szCs w:val="20"/>
                <w:color w:val="auto"/>
              </w:rPr>
            </w:pPr>
          </w:p>
        </w:tc>
      </w:tr>
      <w:tr>
        <w:trPr>
          <w:trHeight w:val="206"/>
        </w:trPr>
        <w:tc>
          <w:tcPr>
            <w:tcW w:w="3340" w:type="dxa"/>
            <w:vAlign w:val="bottom"/>
          </w:tcPr>
          <w:p>
            <w:pPr>
              <w:ind w:left="20"/>
              <w:spacing w:after="0"/>
              <w:rPr>
                <w:sz w:val="20"/>
                <w:szCs w:val="20"/>
                <w:color w:val="auto"/>
              </w:rPr>
            </w:pPr>
            <w:r>
              <w:rPr>
                <w:rFonts w:ascii="Arial" w:cs="Arial" w:eastAsia="Arial" w:hAnsi="Arial"/>
                <w:sz w:val="16"/>
                <w:szCs w:val="16"/>
                <w:color w:val="auto"/>
              </w:rPr>
              <w:t>Equity component of the repayment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6"/>
                <w:szCs w:val="16"/>
                <w:color w:val="auto"/>
              </w:rPr>
              <w:t>2022 Notes</w:t>
            </w:r>
          </w:p>
        </w:tc>
        <w:tc>
          <w:tcPr>
            <w:tcW w:w="1140" w:type="dxa"/>
            <w:vAlign w:val="bottom"/>
          </w:tcPr>
          <w:p>
            <w:pPr>
              <w:jc w:val="right"/>
              <w:spacing w:after="0"/>
              <w:rPr>
                <w:sz w:val="20"/>
                <w:szCs w:val="20"/>
                <w:color w:val="auto"/>
              </w:rPr>
            </w:pPr>
            <w:r>
              <w:rPr>
                <w:rFonts w:ascii="Arial" w:cs="Arial" w:eastAsia="Arial" w:hAnsi="Arial"/>
                <w:sz w:val="16"/>
                <w:szCs w:val="16"/>
                <w:color w:val="auto"/>
              </w:rPr>
              <w:t>1,595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613</w:t>
            </w:r>
          </w:p>
        </w:tc>
        <w:tc>
          <w:tcPr>
            <w:tcW w:w="80" w:type="dxa"/>
            <w:vAlign w:val="bottom"/>
          </w:tcPr>
          <w:p>
            <w:pPr>
              <w:spacing w:after="0"/>
              <w:rPr>
                <w:sz w:val="18"/>
                <w:szCs w:val="18"/>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component of 2025 Notes, net of</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6"/>
        </w:trPr>
        <w:tc>
          <w:tcPr>
            <w:tcW w:w="3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issuance costs</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96,610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96,610</w:t>
            </w:r>
          </w:p>
        </w:tc>
        <w:tc>
          <w:tcPr>
            <w:tcW w:w="80" w:type="dxa"/>
            <w:vAlign w:val="bottom"/>
            <w:shd w:val="clear" w:color="auto" w:fill="CFF0FC"/>
          </w:tcPr>
          <w:p>
            <w:pPr>
              <w:spacing w:after="0"/>
              <w:rPr>
                <w:sz w:val="19"/>
                <w:szCs w:val="19"/>
                <w:color w:val="auto"/>
              </w:rPr>
            </w:pPr>
          </w:p>
        </w:tc>
      </w:tr>
      <w:tr>
        <w:trPr>
          <w:trHeight w:val="220"/>
        </w:trPr>
        <w:tc>
          <w:tcPr>
            <w:tcW w:w="3340" w:type="dxa"/>
            <w:vAlign w:val="bottom"/>
          </w:tcPr>
          <w:p>
            <w:pPr>
              <w:ind w:left="20"/>
              <w:spacing w:after="0"/>
              <w:rPr>
                <w:sz w:val="20"/>
                <w:szCs w:val="20"/>
                <w:color w:val="auto"/>
              </w:rPr>
            </w:pPr>
            <w:r>
              <w:rPr>
                <w:rFonts w:ascii="Arial" w:cs="Arial" w:eastAsia="Arial" w:hAnsi="Arial"/>
                <w:sz w:val="16"/>
                <w:szCs w:val="16"/>
                <w:color w:val="auto"/>
              </w:rPr>
              <w:t>Purchase of Capped Call Options</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(50,600 )</w:t>
            </w: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(50,600 )</w:t>
            </w:r>
          </w:p>
        </w:tc>
      </w:tr>
      <w:tr>
        <w:trPr>
          <w:trHeight w:val="239"/>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Cumulative translation adjustment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FF0FC"/>
          </w:tcPr>
          <w:p>
            <w:pPr>
              <w:spacing w:after="0"/>
              <w:rPr>
                <w:sz w:val="20"/>
                <w:szCs w:val="20"/>
                <w:color w:val="auto"/>
              </w:rPr>
            </w:pPr>
          </w:p>
        </w:tc>
      </w:tr>
      <w:tr>
        <w:trPr>
          <w:trHeight w:val="206"/>
        </w:trPr>
        <w:tc>
          <w:tcPr>
            <w:tcW w:w="3340" w:type="dxa"/>
            <w:vAlign w:val="bottom"/>
          </w:tcPr>
          <w:p>
            <w:pPr>
              <w:ind w:left="20"/>
              <w:spacing w:after="0"/>
              <w:rPr>
                <w:sz w:val="20"/>
                <w:szCs w:val="20"/>
                <w:color w:val="auto"/>
              </w:rPr>
            </w:pPr>
            <w:r>
              <w:rPr>
                <w:rFonts w:ascii="Arial" w:cs="Arial" w:eastAsia="Arial" w:hAnsi="Arial"/>
                <w:sz w:val="16"/>
                <w:szCs w:val="16"/>
                <w:color w:val="auto"/>
              </w:rPr>
              <w:t>Unrealized gain on investments, net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6"/>
                <w:szCs w:val="16"/>
                <w:color w:val="auto"/>
              </w:rPr>
              <w:t>income taxes of ($76)</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715</w:t>
            </w:r>
          </w:p>
        </w:tc>
        <w:tc>
          <w:tcPr>
            <w:tcW w:w="80" w:type="dxa"/>
            <w:vAlign w:val="bottom"/>
          </w:tcPr>
          <w:p>
            <w:pPr>
              <w:spacing w:after="0"/>
              <w:rPr>
                <w:sz w:val="18"/>
                <w:szCs w:val="18"/>
                <w:color w:val="auto"/>
              </w:rPr>
            </w:pPr>
          </w:p>
        </w:tc>
      </w:tr>
      <w:tr>
        <w:trPr>
          <w:trHeight w:val="23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(47,117 )</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(47,117 )</w:t>
            </w:r>
          </w:p>
        </w:tc>
      </w:tr>
      <w:tr>
        <w:trPr>
          <w:trHeight w:val="20"/>
        </w:trPr>
        <w:tc>
          <w:tcPr>
            <w:tcW w:w="33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6"/>
        </w:trPr>
        <w:tc>
          <w:tcPr>
            <w:tcW w:w="3340" w:type="dxa"/>
            <w:vAlign w:val="bottom"/>
          </w:tcPr>
          <w:p>
            <w:pPr>
              <w:ind w:left="20"/>
              <w:spacing w:after="0"/>
              <w:rPr>
                <w:sz w:val="20"/>
                <w:szCs w:val="20"/>
                <w:color w:val="auto"/>
              </w:rPr>
            </w:pPr>
            <w:r>
              <w:rPr>
                <w:rFonts w:ascii="Arial" w:cs="Arial" w:eastAsia="Arial" w:hAnsi="Arial"/>
                <w:sz w:val="16"/>
                <w:szCs w:val="16"/>
                <w:color w:val="auto"/>
              </w:rPr>
              <w:t>Balances at June 30, 2020</w:t>
            </w:r>
          </w:p>
        </w:tc>
        <w:tc>
          <w:tcPr>
            <w:tcW w:w="1140" w:type="dxa"/>
            <w:vAlign w:val="bottom"/>
          </w:tcPr>
          <w:p>
            <w:pPr>
              <w:jc w:val="right"/>
              <w:spacing w:after="0"/>
              <w:rPr>
                <w:sz w:val="20"/>
                <w:szCs w:val="20"/>
                <w:color w:val="auto"/>
              </w:rPr>
            </w:pPr>
            <w:r>
              <w:rPr>
                <w:rFonts w:ascii="Arial" w:cs="Arial" w:eastAsia="Arial" w:hAnsi="Arial"/>
                <w:sz w:val="16"/>
                <w:szCs w:val="16"/>
                <w:color w:val="auto"/>
              </w:rPr>
              <w:t>45,386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1,167,791</w:t>
            </w:r>
          </w:p>
        </w:tc>
        <w:tc>
          <w:tcPr>
            <w:tcW w:w="1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(445,247 )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723,051</w:t>
            </w:r>
          </w:p>
        </w:tc>
        <w:tc>
          <w:tcPr>
            <w:tcW w:w="8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under stock</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26"/>
        </w:trPr>
        <w:tc>
          <w:tcPr>
            <w:tcW w:w="3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plans</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w:t>
            </w:r>
          </w:p>
        </w:tc>
        <w:tc>
          <w:tcPr>
            <w:tcW w:w="80" w:type="dxa"/>
            <w:vAlign w:val="bottom"/>
            <w:shd w:val="clear" w:color="auto" w:fill="CFF0FC"/>
          </w:tcPr>
          <w:p>
            <w:pPr>
              <w:spacing w:after="0"/>
              <w:rPr>
                <w:sz w:val="19"/>
                <w:szCs w:val="19"/>
                <w:color w:val="auto"/>
              </w:rPr>
            </w:pPr>
          </w:p>
        </w:tc>
      </w:tr>
      <w:tr>
        <w:trPr>
          <w:trHeight w:val="220"/>
        </w:trPr>
        <w:tc>
          <w:tcPr>
            <w:tcW w:w="3340" w:type="dxa"/>
            <w:vAlign w:val="bottom"/>
          </w:tcPr>
          <w:p>
            <w:pPr>
              <w:ind w:left="20"/>
              <w:spacing w:after="0"/>
              <w:rPr>
                <w:sz w:val="20"/>
                <w:szCs w:val="20"/>
                <w:color w:val="auto"/>
              </w:rPr>
            </w:pPr>
            <w:r>
              <w:rPr>
                <w:rFonts w:ascii="Arial" w:cs="Arial" w:eastAsia="Arial" w:hAnsi="Arial"/>
                <w:sz w:val="16"/>
                <w:szCs w:val="16"/>
                <w:color w:val="auto"/>
              </w:rPr>
              <w:t>Restricted stock units taxes paid in cash</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(2,454 )</w:t>
            </w: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(2,454 )</w:t>
            </w:r>
          </w:p>
        </w:tc>
      </w:tr>
      <w:tr>
        <w:trPr>
          <w:trHeight w:val="239"/>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31,526</w:t>
            </w:r>
          </w:p>
        </w:tc>
        <w:tc>
          <w:tcPr>
            <w:tcW w:w="80" w:type="dxa"/>
            <w:vAlign w:val="bottom"/>
            <w:shd w:val="clear" w:color="auto" w:fill="CFF0FC"/>
          </w:tcPr>
          <w:p>
            <w:pPr>
              <w:spacing w:after="0"/>
              <w:rPr>
                <w:sz w:val="20"/>
                <w:szCs w:val="20"/>
                <w:color w:val="auto"/>
              </w:rPr>
            </w:pPr>
          </w:p>
        </w:tc>
      </w:tr>
      <w:tr>
        <w:trPr>
          <w:trHeight w:val="220"/>
        </w:trPr>
        <w:tc>
          <w:tcPr>
            <w:tcW w:w="3340" w:type="dxa"/>
            <w:vAlign w:val="bottom"/>
          </w:tcPr>
          <w:p>
            <w:pPr>
              <w:ind w:left="20"/>
              <w:spacing w:after="0"/>
              <w:rPr>
                <w:sz w:val="20"/>
                <w:szCs w:val="20"/>
                <w:color w:val="auto"/>
              </w:rPr>
            </w:pPr>
            <w:r>
              <w:rPr>
                <w:rFonts w:ascii="Arial" w:cs="Arial" w:eastAsia="Arial" w:hAnsi="Arial"/>
                <w:sz w:val="16"/>
                <w:szCs w:val="16"/>
                <w:color w:val="auto"/>
              </w:rPr>
              <w:t>Cumulative translation adjustment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2,049</w:t>
            </w:r>
          </w:p>
        </w:tc>
        <w:tc>
          <w:tcPr>
            <w:tcW w:w="80" w:type="dxa"/>
            <w:vAlign w:val="bottom"/>
          </w:tcPr>
          <w:p>
            <w:pPr>
              <w:spacing w:after="0"/>
              <w:rPr>
                <w:sz w:val="19"/>
                <w:szCs w:val="19"/>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Unrealized loss on investments, net of</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6"/>
        </w:trPr>
        <w:tc>
          <w:tcPr>
            <w:tcW w:w="3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income taxes of ($15)</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(279 )</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(279 )</w:t>
            </w:r>
          </w:p>
        </w:tc>
      </w:tr>
      <w:tr>
        <w:trPr>
          <w:trHeight w:val="226"/>
        </w:trPr>
        <w:tc>
          <w:tcPr>
            <w:tcW w:w="33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(22,498 )</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(22,498 )</w:t>
            </w:r>
          </w:p>
        </w:tc>
      </w:tr>
      <w:tr>
        <w:trPr>
          <w:trHeight w:val="20"/>
        </w:trPr>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6"/>
        </w:trPr>
        <w:tc>
          <w:tcPr>
            <w:tcW w:w="3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at September 30, 2020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45,701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1,198,332</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(467,745 )</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732,864</w:t>
            </w:r>
          </w:p>
        </w:tc>
        <w:tc>
          <w:tcPr>
            <w:tcW w:w="80" w:type="dxa"/>
            <w:vAlign w:val="bottom"/>
            <w:shd w:val="clear" w:color="auto" w:fill="CFF0FC"/>
          </w:tcPr>
          <w:p>
            <w:pPr>
              <w:spacing w:after="0"/>
              <w:rPr>
                <w:sz w:val="21"/>
                <w:szCs w:val="2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-1487805</wp:posOffset>
            </wp:positionV>
            <wp:extent cx="15430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-1487805</wp:posOffset>
            </wp:positionV>
            <wp:extent cx="15430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-1487805</wp:posOffset>
            </wp:positionV>
            <wp:extent cx="11112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-1487805</wp:posOffset>
            </wp:positionV>
            <wp:extent cx="7747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-1487805</wp:posOffset>
            </wp:positionV>
            <wp:extent cx="10287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-1487805</wp:posOffset>
            </wp:positionV>
            <wp:extent cx="514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1543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-8255</wp:posOffset>
            </wp:positionV>
            <wp:extent cx="1543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1543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-8255</wp:posOffset>
            </wp:positionV>
            <wp:extent cx="1543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1111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1111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1028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-8255</wp:posOffset>
            </wp:positionV>
            <wp:extent cx="1028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14. Changes in Accumulated Other Comprehensive Loss</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nine months ended September 30, 2021.</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Beginning balance at January 1, 2021</w:t>
      </w:r>
    </w:p>
    <w:p>
      <w:pPr>
        <w:spacing w:after="0" w:line="77"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Other comprehensive loss before reclassifications</w:t>
      </w:r>
    </w:p>
    <w:p>
      <w:pPr>
        <w:spacing w:after="0" w:line="50" w:lineRule="exact"/>
        <w:rPr>
          <w:sz w:val="20"/>
          <w:szCs w:val="20"/>
          <w:color w:val="auto"/>
        </w:rPr>
      </w:pPr>
    </w:p>
    <w:p>
      <w:pPr>
        <w:ind w:left="1420" w:right="680" w:hanging="89"/>
        <w:spacing w:after="0" w:line="293" w:lineRule="auto"/>
        <w:rPr>
          <w:sz w:val="20"/>
          <w:szCs w:val="20"/>
          <w:color w:val="auto"/>
        </w:rPr>
      </w:pPr>
      <w:r>
        <w:rPr>
          <w:rFonts w:ascii="Arial" w:cs="Arial" w:eastAsia="Arial" w:hAnsi="Arial"/>
          <w:sz w:val="18"/>
          <w:szCs w:val="18"/>
          <w:color w:val="auto"/>
        </w:rPr>
        <w:t>Amounts reclassified from accumulated other comprehensive income</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Ending balance at September 30, 2021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Expense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Cumulative</w:t>
            </w: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Unrealized</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Translation</w:t>
            </w: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Gain on</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Investments</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r>
      <w:tr>
        <w:trPr>
          <w:trHeight w:val="196"/>
        </w:trPr>
        <w:tc>
          <w:tcPr>
            <w:tcW w:w="1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w w:val="95"/>
              </w:rPr>
              <w:t>(in thousands)</w:t>
            </w:r>
          </w:p>
        </w:tc>
        <w:tc>
          <w:tcPr>
            <w:tcW w:w="10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2"/>
        </w:trPr>
        <w:tc>
          <w:tcPr>
            <w:tcW w:w="1280" w:type="dxa"/>
            <w:vAlign w:val="bottom"/>
          </w:tcPr>
          <w:p>
            <w:pPr>
              <w:jc w:val="right"/>
              <w:spacing w:after="0"/>
              <w:rPr>
                <w:sz w:val="20"/>
                <w:szCs w:val="20"/>
                <w:color w:val="auto"/>
              </w:rPr>
            </w:pPr>
            <w:r>
              <w:rPr>
                <w:rFonts w:ascii="Arial" w:cs="Arial" w:eastAsia="Arial" w:hAnsi="Arial"/>
                <w:sz w:val="18"/>
                <w:szCs w:val="18"/>
                <w:color w:val="auto"/>
              </w:rPr>
              <w:t>4,180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4,603</w:t>
            </w:r>
          </w:p>
        </w:tc>
        <w:tc>
          <w:tcPr>
            <w:tcW w:w="60" w:type="dxa"/>
            <w:vAlign w:val="bottom"/>
          </w:tcPr>
          <w:p>
            <w:pPr>
              <w:spacing w:after="0"/>
              <w:rPr>
                <w:sz w:val="21"/>
                <w:szCs w:val="21"/>
                <w:color w:val="auto"/>
              </w:rPr>
            </w:pPr>
          </w:p>
        </w:tc>
      </w:tr>
      <w:tr>
        <w:trPr>
          <w:trHeight w:val="284"/>
        </w:trPr>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(3,555 )</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(457 )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(4,012 )</w:t>
            </w:r>
          </w:p>
        </w:tc>
      </w:tr>
      <w:tr>
        <w:trPr>
          <w:trHeight w:val="479"/>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77"/>
        </w:trPr>
        <w:tc>
          <w:tcPr>
            <w:tcW w:w="128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(34 )</w:t>
            </w:r>
          </w:p>
        </w:tc>
        <w:tc>
          <w:tcPr>
            <w:tcW w:w="1040" w:type="dxa"/>
            <w:vAlign w:val="bottom"/>
          </w:tcPr>
          <w:p>
            <w:pPr>
              <w:jc w:val="right"/>
              <w:spacing w:after="0"/>
              <w:rPr>
                <w:sz w:val="20"/>
                <w:szCs w:val="20"/>
                <w:color w:val="auto"/>
              </w:rPr>
            </w:pPr>
            <w:r>
              <w:rPr>
                <w:rFonts w:ascii="Arial" w:cs="Arial" w:eastAsia="Arial" w:hAnsi="Arial"/>
                <w:sz w:val="18"/>
                <w:szCs w:val="18"/>
                <w:color w:val="auto"/>
              </w:rPr>
              <w:t>591</w:t>
            </w:r>
          </w:p>
        </w:tc>
        <w:tc>
          <w:tcPr>
            <w:tcW w:w="60" w:type="dxa"/>
            <w:vAlign w:val="bottom"/>
          </w:tcPr>
          <w:p>
            <w:pPr>
              <w:spacing w:after="0"/>
              <w:rPr>
                <w:sz w:val="24"/>
                <w:szCs w:val="24"/>
                <w:color w:val="auto"/>
              </w:rPr>
            </w:pP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-856615</wp:posOffset>
            </wp:positionV>
            <wp:extent cx="5700395"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-513715</wp:posOffset>
            </wp:positionV>
            <wp:extent cx="5700395" cy="3086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00395" cy="308610"/>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5300" w:space="720"/>
            <w:col w:w="5220"/>
          </w:cols>
          <w:pgMar w:left="320" w:top="364" w:right="339" w:bottom="1440" w:gutter="0" w:footer="0" w:header="0"/>
          <w:type w:val="continuous"/>
        </w:sectPr>
      </w:pPr>
    </w:p>
    <w:p>
      <w:pPr>
        <w:ind w:right="220" w:firstLine="509"/>
        <w:spacing w:after="0" w:line="293" w:lineRule="auto"/>
        <w:rPr>
          <w:sz w:val="20"/>
          <w:szCs w:val="20"/>
          <w:color w:val="auto"/>
        </w:rPr>
      </w:pPr>
      <w:r>
        <w:rPr>
          <w:rFonts w:ascii="Arial" w:cs="Arial" w:eastAsia="Arial" w:hAnsi="Arial"/>
          <w:sz w:val="18"/>
          <w:szCs w:val="18"/>
          <w:color w:val="auto"/>
        </w:rPr>
        <w:t>The following two tables show stock-based compensation expense by award type and where the stock-based compensation expense is recorded in the Company’s consolidated statements of operations: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w w:val="92"/>
              </w:rPr>
              <w:t>Three Months Ended September 30,</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7"/>
                <w:szCs w:val="17"/>
                <w:color w:val="auto"/>
              </w:rPr>
            </w:pPr>
          </w:p>
        </w:tc>
      </w:tr>
      <w:tr>
        <w:trPr>
          <w:trHeight w:val="196"/>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w:t>
            </w: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RSUs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41,053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27,259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109,488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80,054</w:t>
            </w:r>
          </w:p>
        </w:tc>
        <w:tc>
          <w:tcPr>
            <w:tcW w:w="80" w:type="dxa"/>
            <w:vAlign w:val="bottom"/>
          </w:tcPr>
          <w:p>
            <w:pPr>
              <w:spacing w:after="0"/>
              <w:rPr>
                <w:sz w:val="21"/>
                <w:szCs w:val="21"/>
                <w:color w:val="auto"/>
              </w:rPr>
            </w:pPr>
          </w:p>
        </w:tc>
      </w:tr>
      <w:tr>
        <w:trPr>
          <w:trHeight w:val="26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6,784</w:t>
            </w:r>
          </w:p>
        </w:tc>
        <w:tc>
          <w:tcPr>
            <w:tcW w:w="2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4,985</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4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44,988</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120,847</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90,022</w:t>
            </w:r>
          </w:p>
        </w:tc>
        <w:tc>
          <w:tcPr>
            <w:tcW w:w="80" w:type="dxa"/>
            <w:vAlign w:val="bottom"/>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-193675</wp:posOffset>
            </wp:positionV>
            <wp:extent cx="13716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-193675</wp:posOffset>
            </wp:positionV>
            <wp:extent cx="12890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-193675</wp:posOffset>
            </wp:positionV>
            <wp:extent cx="12001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-193675</wp:posOffset>
            </wp:positionV>
            <wp:extent cx="5143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Effect of stock-based compensation expense on income by line item:</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2"/>
              </w:rPr>
              <w:t>Three Months Ended September 30,</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16"/>
                <w:szCs w:val="16"/>
                <w:color w:val="auto"/>
              </w:rPr>
            </w:pPr>
          </w:p>
        </w:tc>
      </w:tr>
      <w:tr>
        <w:trPr>
          <w:trHeight w:val="196"/>
        </w:trPr>
        <w:tc>
          <w:tcPr>
            <w:tcW w:w="49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7"/>
                <w:szCs w:val="17"/>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subscription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4,556</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80" w:type="dxa"/>
            <w:vAlign w:val="bottom"/>
            <w:shd w:val="clear" w:color="auto" w:fill="CFF0FC"/>
          </w:tcPr>
          <w:p>
            <w:pPr>
              <w:spacing w:after="0"/>
              <w:rPr>
                <w:sz w:val="22"/>
                <w:szCs w:val="22"/>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Cost of revenue, professional services and other</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21"/>
                <w:szCs w:val="21"/>
                <w:color w:val="auto"/>
              </w:rPr>
            </w:pPr>
          </w:p>
        </w:tc>
      </w:tr>
      <w:tr>
        <w:trPr>
          <w:trHeight w:val="26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18,449</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10,244</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45,014</w:t>
            </w:r>
          </w:p>
        </w:tc>
        <w:tc>
          <w:tcPr>
            <w:tcW w:w="2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29,063</w:t>
            </w:r>
          </w:p>
        </w:tc>
        <w:tc>
          <w:tcPr>
            <w:tcW w:w="80" w:type="dxa"/>
            <w:vAlign w:val="bottom"/>
            <w:shd w:val="clear" w:color="auto" w:fill="CFF0FC"/>
          </w:tcPr>
          <w:p>
            <w:pPr>
              <w:spacing w:after="0"/>
              <w:rPr>
                <w:sz w:val="22"/>
                <w:szCs w:val="22"/>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17,302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49,902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36,984</w:t>
            </w:r>
          </w:p>
        </w:tc>
        <w:tc>
          <w:tcPr>
            <w:tcW w:w="80" w:type="dxa"/>
            <w:vAlign w:val="bottom"/>
          </w:tcPr>
          <w:p>
            <w:pPr>
              <w:spacing w:after="0"/>
              <w:rPr>
                <w:sz w:val="21"/>
                <w:szCs w:val="21"/>
                <w:color w:val="auto"/>
              </w:rPr>
            </w:pPr>
          </w:p>
        </w:tc>
      </w:tr>
      <w:tr>
        <w:trPr>
          <w:trHeight w:val="26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6,829</w:t>
            </w:r>
          </w:p>
        </w:tc>
        <w:tc>
          <w:tcPr>
            <w:tcW w:w="2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5,850</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19,105</w:t>
            </w:r>
          </w:p>
        </w:tc>
        <w:tc>
          <w:tcPr>
            <w:tcW w:w="2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2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44,988</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31,186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120,847</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90,022</w:t>
            </w:r>
          </w:p>
        </w:tc>
        <w:tc>
          <w:tcPr>
            <w:tcW w:w="80" w:type="dxa"/>
            <w:vAlign w:val="bottom"/>
          </w:tcPr>
          <w:p>
            <w:pPr>
              <w:spacing w:after="0"/>
              <w:rPr>
                <w:sz w:val="21"/>
                <w:szCs w:val="2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-193675</wp:posOffset>
            </wp:positionV>
            <wp:extent cx="13716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-193675</wp:posOffset>
            </wp:positionV>
            <wp:extent cx="13716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-193675</wp:posOffset>
            </wp:positionV>
            <wp:extent cx="12001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-193675</wp:posOffset>
            </wp:positionV>
            <wp:extent cx="5143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36"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Capitalized software development costs excluded from stock-based compensation expense is $1.6 million for the three months ended September 30, 2021, $4.7 million for the nine months ended September 30, 2021, $0.9 million for the three months ended September 30, 2020 and $2.7 million for the nine months ended September 30, 2020.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 and Geographic Data</w:t>
      </w:r>
    </w:p>
    <w:p>
      <w:pPr>
        <w:spacing w:after="0" w:line="135"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 the performance of these resources on a consolidated basis. Since the Company operates in one operating segment, all required financial segment information can be found in the consolidated financial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1" w:name="page22"/>
    <w:bookmarkEnd w:id="21"/>
    <w:p>
      <w:pPr>
        <w:ind w:right="420"/>
        <w:spacing w:after="0" w:line="293" w:lineRule="auto"/>
        <w:rPr>
          <w:sz w:val="20"/>
          <w:szCs w:val="20"/>
          <w:color w:val="auto"/>
        </w:rPr>
      </w:pPr>
      <w:r>
        <w:rPr>
          <w:rFonts w:ascii="Arial" w:cs="Arial" w:eastAsia="Arial" w:hAnsi="Arial"/>
          <w:sz w:val="18"/>
          <w:szCs w:val="18"/>
          <w:color w:val="auto"/>
        </w:rPr>
        <w:t>statements. Revenue and long-lived assets by geographic region, based on the physical location of the operations recording the sale or the asset, are as follows: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8"/>
              </w:rPr>
              <w:t>Three Months Ended September 30,</w:t>
            </w:r>
          </w:p>
        </w:tc>
        <w:tc>
          <w:tcPr>
            <w:tcW w:w="200" w:type="dxa"/>
            <w:vAlign w:val="bottom"/>
          </w:tcPr>
          <w:p>
            <w:pPr>
              <w:spacing w:after="0"/>
              <w:rPr>
                <w:sz w:val="16"/>
                <w:szCs w:val="16"/>
                <w:color w:val="auto"/>
              </w:rPr>
            </w:pPr>
          </w:p>
        </w:tc>
        <w:tc>
          <w:tcPr>
            <w:tcW w:w="2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37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207,244</w:t>
            </w:r>
          </w:p>
        </w:tc>
        <w:tc>
          <w:tcPr>
            <w:tcW w:w="38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145,221</w:t>
            </w:r>
          </w:p>
        </w:tc>
        <w:tc>
          <w:tcPr>
            <w:tcW w:w="3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571,842</w:t>
            </w:r>
          </w:p>
        </w:tc>
        <w:tc>
          <w:tcPr>
            <w:tcW w:w="34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410,080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102,676</w:t>
            </w:r>
          </w:p>
        </w:tc>
        <w:tc>
          <w:tcPr>
            <w:tcW w:w="38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64,128</w:t>
            </w:r>
          </w:p>
        </w:tc>
        <w:tc>
          <w:tcPr>
            <w:tcW w:w="3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279,412</w:t>
            </w:r>
          </w:p>
        </w:tc>
        <w:tc>
          <w:tcPr>
            <w:tcW w:w="3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171,357</w:t>
            </w:r>
          </w:p>
        </w:tc>
        <w:tc>
          <w:tcPr>
            <w:tcW w:w="2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29,275</w:t>
            </w:r>
          </w:p>
        </w:tc>
        <w:tc>
          <w:tcPr>
            <w:tcW w:w="3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80,095</w:t>
            </w: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339,195</w:t>
            </w:r>
          </w:p>
        </w:tc>
        <w:tc>
          <w:tcPr>
            <w:tcW w:w="3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228,385</w:t>
            </w:r>
          </w:p>
        </w:tc>
        <w:tc>
          <w:tcPr>
            <w:tcW w:w="3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931,349</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630,961</w:t>
            </w:r>
          </w:p>
        </w:tc>
        <w:tc>
          <w:tcPr>
            <w:tcW w:w="2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Percentage of revenues generated outside of</w:t>
            </w:r>
          </w:p>
        </w:tc>
        <w:tc>
          <w:tcPr>
            <w:tcW w:w="220" w:type="dxa"/>
            <w:vAlign w:val="bottom"/>
          </w:tcPr>
          <w:p>
            <w:pPr>
              <w:spacing w:after="0"/>
              <w:rPr>
                <w:sz w:val="19"/>
                <w:szCs w:val="19"/>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39 %</w:t>
            </w:r>
          </w:p>
        </w:tc>
        <w:tc>
          <w:tcPr>
            <w:tcW w:w="400" w:type="dxa"/>
            <w:vAlign w:val="bottom"/>
          </w:tcPr>
          <w:p>
            <w:pPr>
              <w:spacing w:after="0"/>
              <w:rPr>
                <w:sz w:val="19"/>
                <w:szCs w:val="19"/>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36 %</w:t>
            </w:r>
          </w:p>
        </w:tc>
        <w:tc>
          <w:tcPr>
            <w:tcW w:w="200" w:type="dxa"/>
            <w:vAlign w:val="bottom"/>
          </w:tcPr>
          <w:p>
            <w:pPr>
              <w:spacing w:after="0"/>
              <w:rPr>
                <w:sz w:val="19"/>
                <w:szCs w:val="19"/>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39 %</w:t>
            </w:r>
          </w:p>
        </w:tc>
        <w:tc>
          <w:tcPr>
            <w:tcW w:w="280" w:type="dxa"/>
            <w:vAlign w:val="bottom"/>
          </w:tcPr>
          <w:p>
            <w:pPr>
              <w:spacing w:after="0"/>
              <w:rPr>
                <w:sz w:val="19"/>
                <w:szCs w:val="19"/>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3"/>
        </w:trPr>
        <w:tc>
          <w:tcPr>
            <w:tcW w:w="3780" w:type="dxa"/>
            <w:vAlign w:val="bottom"/>
          </w:tcPr>
          <w:p>
            <w:pPr>
              <w:ind w:left="100"/>
              <w:spacing w:after="0" w:line="203" w:lineRule="exact"/>
              <w:rPr>
                <w:sz w:val="20"/>
                <w:szCs w:val="20"/>
                <w:color w:val="auto"/>
              </w:rPr>
            </w:pPr>
            <w:r>
              <w:rPr>
                <w:rFonts w:ascii="Arial" w:cs="Arial" w:eastAsia="Arial" w:hAnsi="Arial"/>
                <w:sz w:val="18"/>
                <w:szCs w:val="18"/>
                <w:color w:val="auto"/>
              </w:rPr>
              <w:t>the Americas</w:t>
            </w:r>
          </w:p>
        </w:tc>
        <w:tc>
          <w:tcPr>
            <w:tcW w:w="2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-333375</wp:posOffset>
            </wp:positionV>
            <wp:extent cx="2400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-316230</wp:posOffset>
            </wp:positionV>
            <wp:extent cx="2400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-333375</wp:posOffset>
            </wp:positionV>
            <wp:extent cx="2228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-316230</wp:posOffset>
            </wp:positionV>
            <wp:extent cx="2228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-333375</wp:posOffset>
            </wp:positionV>
            <wp:extent cx="2228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-316230</wp:posOffset>
            </wp:positionV>
            <wp:extent cx="2228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-333375</wp:posOffset>
            </wp:positionV>
            <wp:extent cx="1631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-316230</wp:posOffset>
            </wp:positionV>
            <wp:extent cx="1631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49" w:lineRule="exact"/>
        <w:rPr>
          <w:sz w:val="20"/>
          <w:szCs w:val="20"/>
          <w:color w:val="auto"/>
        </w:rPr>
      </w:pPr>
    </w:p>
    <w:p>
      <w:pPr>
        <w:ind w:right="140" w:firstLine="509"/>
        <w:spacing w:after="0" w:line="359" w:lineRule="auto"/>
        <w:rPr>
          <w:sz w:val="20"/>
          <w:szCs w:val="20"/>
          <w:color w:val="auto"/>
        </w:rPr>
      </w:pPr>
      <w:r>
        <w:rPr>
          <w:rFonts w:ascii="Arial" w:cs="Arial" w:eastAsia="Arial" w:hAnsi="Arial"/>
          <w:sz w:val="16"/>
          <w:szCs w:val="16"/>
          <w:color w:val="auto"/>
        </w:rPr>
        <w:t>Revenue derived from customers outside the United States (international) was approximately 46% of total revenue in the three and nine months ended September 30, 2021, 44% of total revenue in the three months ended September 30, 2020, and 42% for the nine months ended September 30, 2020.</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As of September 30, 2021</w:t>
            </w: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As of December 31, 2020</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3"/>
        </w:trPr>
        <w:tc>
          <w:tcPr>
            <w:tcW w:w="580" w:type="dxa"/>
            <w:vAlign w:val="bottom"/>
          </w:tcPr>
          <w:p>
            <w:pPr>
              <w:spacing w:after="0"/>
              <w:rPr>
                <w:sz w:val="22"/>
                <w:szCs w:val="22"/>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226,627</w:t>
            </w:r>
          </w:p>
        </w:tc>
        <w:tc>
          <w:tcPr>
            <w:tcW w:w="4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206,789</w:t>
            </w:r>
          </w:p>
        </w:tc>
        <w:tc>
          <w:tcPr>
            <w:tcW w:w="2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Europe</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144,565</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159,338</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Asia Pacific</w:t>
            </w:r>
          </w:p>
        </w:tc>
        <w:tc>
          <w:tcPr>
            <w:tcW w:w="8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8,808</w:t>
            </w:r>
          </w:p>
        </w:tc>
        <w:tc>
          <w:tcPr>
            <w:tcW w:w="4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10,889</w:t>
            </w:r>
          </w:p>
        </w:tc>
        <w:tc>
          <w:tcPr>
            <w:tcW w:w="28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Total long-lived assets</w:t>
            </w:r>
          </w:p>
        </w:tc>
        <w:tc>
          <w:tcPr>
            <w:tcW w:w="8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380,000</w:t>
            </w:r>
          </w:p>
        </w:tc>
        <w:tc>
          <w:tcPr>
            <w:tcW w:w="4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377,016</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580" w:type="dxa"/>
            <w:vAlign w:val="bottom"/>
          </w:tcPr>
          <w:p>
            <w:pPr>
              <w:spacing w:after="0"/>
              <w:rPr>
                <w:sz w:val="24"/>
                <w:szCs w:val="24"/>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w w:val="96"/>
              </w:rPr>
              <w:t>Percentage of long-lived assets held outside of the Americas</w:t>
            </w:r>
          </w:p>
        </w:tc>
        <w:tc>
          <w:tcPr>
            <w:tcW w:w="8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2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40 %</w:t>
            </w:r>
          </w:p>
        </w:tc>
        <w:tc>
          <w:tcPr>
            <w:tcW w:w="160" w:type="dxa"/>
            <w:vAlign w:val="bottom"/>
            <w:shd w:val="clear" w:color="auto" w:fill="CFF0FC"/>
          </w:tcPr>
          <w:p>
            <w:pPr>
              <w:spacing w:after="0"/>
              <w:rPr>
                <w:sz w:val="24"/>
                <w:szCs w:val="24"/>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45 %</w:t>
            </w:r>
          </w:p>
        </w:tc>
        <w:tc>
          <w:tcPr>
            <w:tcW w:w="560" w:type="dxa"/>
            <w:vAlign w:val="bottom"/>
          </w:tcPr>
          <w:p>
            <w:pPr>
              <w:spacing w:after="0"/>
              <w:rPr>
                <w:sz w:val="24"/>
                <w:szCs w:val="24"/>
                <w:color w:val="auto"/>
              </w:rPr>
            </w:pPr>
          </w:p>
        </w:tc>
      </w:tr>
      <w:tr>
        <w:trPr>
          <w:trHeight w:val="655"/>
        </w:trPr>
        <w:tc>
          <w:tcPr>
            <w:tcW w:w="580" w:type="dxa"/>
            <w:vAlign w:val="bottom"/>
          </w:tcPr>
          <w:p>
            <w:pPr>
              <w:spacing w:after="0"/>
              <w:rPr>
                <w:sz w:val="24"/>
                <w:szCs w:val="24"/>
                <w:color w:val="auto"/>
              </w:rPr>
            </w:pPr>
          </w:p>
        </w:tc>
        <w:tc>
          <w:tcPr>
            <w:tcW w:w="466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jc w:val="right"/>
              <w:ind w:right="230"/>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-896620</wp:posOffset>
            </wp:positionV>
            <wp:extent cx="28257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-896620</wp:posOffset>
            </wp:positionV>
            <wp:extent cx="17145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-539115</wp:posOffset>
            </wp:positionV>
            <wp:extent cx="2825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-521970</wp:posOffset>
            </wp:positionV>
            <wp:extent cx="2825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-539115</wp:posOffset>
            </wp:positionV>
            <wp:extent cx="1714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-521970</wp:posOffset>
            </wp:positionV>
            <wp:extent cx="1714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35"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2020 filed with the SEC on February 16, 2021.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ind w:right="200" w:firstLine="544"/>
        <w:spacing w:after="0" w:line="279" w:lineRule="auto"/>
        <w:rPr>
          <w:sz w:val="20"/>
          <w:szCs w:val="20"/>
          <w:color w:val="auto"/>
        </w:rPr>
      </w:pPr>
      <w:r>
        <w:rPr>
          <w:rFonts w:ascii="Arial" w:cs="Arial" w:eastAsia="Arial" w:hAnsi="Arial"/>
          <w:sz w:val="18"/>
          <w:szCs w:val="18"/>
          <w:color w:val="212529"/>
        </w:rPr>
        <w:t>We provide a cloud-based customer relationship management (“CRM”) Platform. Our CRM Platform is comprised of Marketing Hub, Sales Hub, Service Hub, CMS Hub, and Operations Hub as well as other tools and integrations that enable companies to attract, engage, and delight customers throughout the customer experience.</w:t>
      </w:r>
    </w:p>
    <w:p>
      <w:pPr>
        <w:spacing w:after="0" w:line="196" w:lineRule="exact"/>
        <w:rPr>
          <w:sz w:val="20"/>
          <w:szCs w:val="20"/>
          <w:color w:val="auto"/>
        </w:rPr>
      </w:pPr>
    </w:p>
    <w:p>
      <w:pPr>
        <w:ind w:right="20" w:firstLine="544"/>
        <w:spacing w:after="0" w:line="309" w:lineRule="auto"/>
        <w:rPr>
          <w:sz w:val="20"/>
          <w:szCs w:val="20"/>
          <w:color w:val="auto"/>
        </w:rPr>
      </w:pPr>
      <w:r>
        <w:rPr>
          <w:rFonts w:ascii="Arial" w:cs="Arial" w:eastAsia="Arial" w:hAnsi="Arial"/>
          <w:sz w:val="16"/>
          <w:szCs w:val="16"/>
          <w:color w:val="212529"/>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In addition, the CRM Platform was built to easily and seamlessly integrate third party applications to further customize to an individual company’s industry or needs. We designed and built our CRM Platform to serve a broad range of customers globally.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78" w:lineRule="exact"/>
        <w:rPr>
          <w:sz w:val="20"/>
          <w:szCs w:val="20"/>
          <w:color w:val="auto"/>
        </w:rPr>
      </w:pPr>
    </w:p>
    <w:p>
      <w:pPr>
        <w:ind w:right="140" w:firstLine="544"/>
        <w:spacing w:after="0" w:line="308" w:lineRule="auto"/>
        <w:rPr>
          <w:sz w:val="20"/>
          <w:szCs w:val="20"/>
          <w:color w:val="auto"/>
        </w:rPr>
      </w:pPr>
      <w:r>
        <w:rPr>
          <w:rFonts w:ascii="Arial" w:cs="Arial" w:eastAsia="Arial" w:hAnsi="Arial"/>
          <w:sz w:val="16"/>
          <w:szCs w:val="16"/>
          <w:color w:val="auto"/>
        </w:rPr>
        <w:t>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As of September 30, 2021, we had 5,496 full-time employees and 128,144 Total Customers of varying sizes in more than 120 countries, representing almost every industry.</w:t>
      </w:r>
    </w:p>
    <w:p>
      <w:pPr>
        <w:spacing w:after="0" w:line="177" w:lineRule="exact"/>
        <w:rPr>
          <w:sz w:val="20"/>
          <w:szCs w:val="20"/>
          <w:color w:val="auto"/>
        </w:rPr>
      </w:pPr>
    </w:p>
    <w:p>
      <w:pPr>
        <w:ind w:right="120" w:firstLine="544"/>
        <w:spacing w:after="0" w:line="309" w:lineRule="auto"/>
        <w:rPr>
          <w:sz w:val="20"/>
          <w:szCs w:val="20"/>
          <w:color w:val="auto"/>
        </w:rPr>
      </w:pPr>
      <w:r>
        <w:rPr>
          <w:rFonts w:ascii="Arial" w:cs="Arial" w:eastAsia="Arial" w:hAnsi="Arial"/>
          <w:sz w:val="16"/>
          <w:szCs w:val="16"/>
          <w:color w:val="auto"/>
        </w:rPr>
        <w:t>We derive most of our revenue from subscriptions to our cloud-based CRM Platform and related professional services, which consist of customer on-</w:t>
      </w:r>
      <w:r>
        <w:rPr>
          <w:rFonts w:ascii="Arial" w:cs="Arial" w:eastAsia="Arial" w:hAnsi="Arial"/>
          <w:sz w:val="16"/>
          <w:szCs w:val="16"/>
          <w:color w:val="212529"/>
        </w:rPr>
        <w:t>boarding</w:t>
      </w:r>
      <w:r>
        <w:rPr>
          <w:rFonts w:ascii="Arial" w:cs="Arial" w:eastAsia="Arial" w:hAnsi="Arial"/>
          <w:sz w:val="16"/>
          <w:szCs w:val="16"/>
          <w:color w:val="auto"/>
        </w:rPr>
        <w:t xml:space="preserve"> and training services. Subscription revenue accounted for 97% of our total revenue for both the three and nine months ended September 30, 2021, 97% of our total revenue for the three months ended September 30, 2020 and 96% of total revenue for the nine months ended September 30, 2020.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78"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83" w:lineRule="exact"/>
        <w:rPr>
          <w:sz w:val="20"/>
          <w:szCs w:val="20"/>
          <w:color w:val="auto"/>
        </w:rPr>
      </w:pPr>
    </w:p>
    <w:p>
      <w:pPr>
        <w:ind w:right="20" w:firstLine="544"/>
        <w:spacing w:after="0" w:line="272" w:lineRule="auto"/>
        <w:rPr>
          <w:sz w:val="20"/>
          <w:szCs w:val="20"/>
          <w:color w:val="auto"/>
        </w:rPr>
      </w:pPr>
      <w:r>
        <w:rPr>
          <w:rFonts w:ascii="Arial" w:cs="Arial" w:eastAsia="Arial" w:hAnsi="Arial"/>
          <w:sz w:val="18"/>
          <w:szCs w:val="18"/>
          <w:color w:val="auto"/>
        </w:rPr>
        <w:t>Many of our customers purchase on-boarding and training services which are designed to help customers enhance their ability to attract, engage and delight their customers using our CRM Platform. Professional services and other revenue accounted for 3% of total revenue for both the three and nine months ended September 30, 2021, 3% of our total revenue for the three months ended September 30, 2020 and 4% of our total revenue for the nine months ended September 30, 2020. We expect professional services and other margins to range from a moderate loss to breakeven for the foreseeable future.</w:t>
      </w:r>
    </w:p>
    <w:p>
      <w:pPr>
        <w:spacing w:after="0" w:line="191" w:lineRule="exact"/>
        <w:rPr>
          <w:sz w:val="20"/>
          <w:szCs w:val="20"/>
          <w:color w:val="auto"/>
        </w:rPr>
      </w:pPr>
    </w:p>
    <w:p>
      <w:pPr>
        <w:ind w:right="160" w:firstLine="544"/>
        <w:spacing w:after="0" w:line="293" w:lineRule="auto"/>
        <w:rPr>
          <w:sz w:val="20"/>
          <w:szCs w:val="20"/>
          <w:color w:val="auto"/>
        </w:rPr>
      </w:pPr>
      <w:r>
        <w:rPr>
          <w:rFonts w:ascii="Arial" w:cs="Arial" w:eastAsia="Arial" w:hAnsi="Arial"/>
          <w:sz w:val="18"/>
          <w:szCs w:val="18"/>
          <w:color w:val="auto"/>
        </w:rPr>
        <w:t>We have focused on rapidly growing our business and plan to continue to make investments to help us address some of the challenges facing us to support this growth, such as demand for our CRM Platform by existing and new customers, significant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ind w:right="20"/>
        <w:spacing w:after="0" w:line="293" w:lineRule="auto"/>
        <w:rPr>
          <w:sz w:val="20"/>
          <w:szCs w:val="20"/>
          <w:color w:val="auto"/>
        </w:rPr>
      </w:pPr>
      <w:r>
        <w:rPr>
          <w:rFonts w:ascii="Arial" w:cs="Arial" w:eastAsia="Arial" w:hAnsi="Arial"/>
          <w:sz w:val="18"/>
          <w:szCs w:val="18"/>
          <w:color w:val="auto"/>
        </w:rPr>
        <w:t>competition from other providers of marketing, sales, customer service, and content management software and related applications and rapid technological change in our industry.</w:t>
      </w:r>
    </w:p>
    <w:p>
      <w:pPr>
        <w:spacing w:after="0" w:line="170" w:lineRule="exact"/>
        <w:rPr>
          <w:sz w:val="20"/>
          <w:szCs w:val="20"/>
          <w:color w:val="auto"/>
        </w:rPr>
      </w:pPr>
    </w:p>
    <w:p>
      <w:pPr>
        <w:ind w:right="100" w:firstLine="544"/>
        <w:spacing w:after="0" w:line="306" w:lineRule="auto"/>
        <w:rPr>
          <w:sz w:val="20"/>
          <w:szCs w:val="20"/>
          <w:color w:val="auto"/>
        </w:rPr>
      </w:pPr>
      <w:r>
        <w:rPr>
          <w:rFonts w:ascii="Arial" w:cs="Arial" w:eastAsia="Arial" w:hAnsi="Arial"/>
          <w:sz w:val="16"/>
          <w:szCs w:val="16"/>
          <w:color w:val="auto"/>
        </w:rPr>
        <w:t>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expect to increase our investment in sales and marketing as we continue to expand our sales teams, increase our marketing activities and grow our international operations. We also expect to increase our investment in research and development as we continue to introduce new products and applications to extend the functionality of our CRM Platform. We also intend to invest in maintaining a high level of customer service and support which we consider critical for our continued success. We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and prior stock offerings to fund these growth strategies and support our business and do not expect to be profitable in the near term.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ind w:right="60" w:firstLine="360"/>
        <w:spacing w:after="0" w:line="319" w:lineRule="auto"/>
        <w:rPr>
          <w:sz w:val="20"/>
          <w:szCs w:val="20"/>
          <w:color w:val="auto"/>
        </w:rPr>
      </w:pPr>
      <w:r>
        <w:rPr>
          <w:rFonts w:ascii="Arial" w:cs="Arial" w:eastAsia="Arial" w:hAnsi="Arial"/>
          <w:sz w:val="16"/>
          <w:szCs w:val="16"/>
          <w:color w:val="auto"/>
        </w:rPr>
        <w:t>In March 2020, the World Health Organization, or WHO, declared the outbreak of a disease caused by a novel strain of the coronavirus (“COVID-19”) to be a pandemic (the “pandemic”). This pandemic has had widespread, rapidly-evolving, and unpredictable impacts on global societies, economies, financial markets, and business practices. Federal and state governments have implemented various measures in an effort to contain the virus, which have caused, and are continuing to cause, business slowdowns or shutdowns in affected areas, both regionally and worldwide.</w:t>
      </w:r>
    </w:p>
    <w:p>
      <w:pPr>
        <w:spacing w:after="0" w:line="169" w:lineRule="exact"/>
        <w:rPr>
          <w:sz w:val="20"/>
          <w:szCs w:val="20"/>
          <w:color w:val="auto"/>
        </w:rPr>
      </w:pPr>
    </w:p>
    <w:p>
      <w:pPr>
        <w:ind w:right="60" w:firstLine="540"/>
        <w:spacing w:after="0" w:line="319" w:lineRule="auto"/>
        <w:rPr>
          <w:sz w:val="20"/>
          <w:szCs w:val="20"/>
          <w:color w:val="auto"/>
        </w:rPr>
      </w:pPr>
      <w:r>
        <w:rPr>
          <w:rFonts w:ascii="Arial" w:cs="Arial" w:eastAsia="Arial" w:hAnsi="Arial"/>
          <w:sz w:val="16"/>
          <w:szCs w:val="16"/>
          <w:color w:val="auto"/>
        </w:rPr>
        <w:t>Our focus remains on promoting employee health and safety, serving our customers, complying with regulations, and ensuring business continuity. As we continue to reassess local regulations and restrictions across the globe and the administration of vaccine programs ramps up and cases decline, we are moving towards slowly re-opening some of our offices on a staggered, region-to-region basis in accordance with local authority guidelines while ensuring that our return to work is thoughtful, prudent, and handled with an abundance of caution with the health of our employees being the top priority.</w:t>
      </w:r>
    </w:p>
    <w:p>
      <w:pPr>
        <w:spacing w:after="0" w:line="169" w:lineRule="exact"/>
        <w:rPr>
          <w:sz w:val="20"/>
          <w:szCs w:val="20"/>
          <w:color w:val="auto"/>
        </w:rPr>
      </w:pPr>
    </w:p>
    <w:p>
      <w:pPr>
        <w:ind w:firstLine="540"/>
        <w:spacing w:after="0" w:line="279" w:lineRule="auto"/>
        <w:rPr>
          <w:sz w:val="20"/>
          <w:szCs w:val="20"/>
          <w:color w:val="auto"/>
        </w:rPr>
      </w:pPr>
      <w:r>
        <w:rPr>
          <w:rFonts w:ascii="Arial" w:cs="Arial" w:eastAsia="Arial" w:hAnsi="Arial"/>
          <w:sz w:val="18"/>
          <w:szCs w:val="18"/>
          <w:color w:val="auto"/>
        </w:rPr>
        <w:t>While the pandemic has not had a material adverse financial impact on our business to date, the broader implications of the pandemic on our results of operations and overall financial performance will depend on future developments and conditions. See the section titled “Risk Factors” included under Part II, Item 1A below for further discussion of the possible impact of the pandemic on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2021 and 2020</w:t>
      </w:r>
    </w:p>
    <w:p>
      <w:pPr>
        <w:spacing w:after="0" w:line="135"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4" w:name="page25"/>
    <w:bookmarkEnd w:id="24"/>
    <w:p>
      <w:pPr>
        <w:spacing w:after="0" w:line="293" w:lineRule="auto"/>
        <w:rPr>
          <w:sz w:val="20"/>
          <w:szCs w:val="20"/>
          <w:color w:val="auto"/>
        </w:rPr>
      </w:pPr>
      <w:r>
        <w:rPr>
          <w:rFonts w:ascii="Arial" w:cs="Arial" w:eastAsia="Arial" w:hAnsi="Arial"/>
          <w:sz w:val="18"/>
          <w:szCs w:val="18"/>
          <w:color w:val="auto"/>
        </w:rPr>
        <w:t>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4"/>
          </w:tcPr>
          <w:p>
            <w:pPr>
              <w:ind w:left="600"/>
              <w:spacing w:after="0"/>
              <w:rPr>
                <w:sz w:val="20"/>
                <w:szCs w:val="20"/>
                <w:color w:val="auto"/>
              </w:rPr>
            </w:pPr>
            <w:r>
              <w:rPr>
                <w:rFonts w:ascii="Arial" w:cs="Arial" w:eastAsia="Arial" w:hAnsi="Arial"/>
                <w:sz w:val="14"/>
                <w:szCs w:val="14"/>
                <w:b w:val="1"/>
                <w:bCs w:val="1"/>
                <w:color w:val="auto"/>
                <w:w w:val="95"/>
              </w:rPr>
              <w:t>Three Months</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Nine Months</w:t>
            </w:r>
          </w:p>
        </w:tc>
      </w:tr>
      <w:tr>
        <w:trPr>
          <w:trHeight w:val="192"/>
        </w:trPr>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Ended September 30,</w:t>
            </w:r>
          </w:p>
        </w:tc>
        <w:tc>
          <w:tcPr>
            <w:tcW w:w="160" w:type="dxa"/>
            <w:vAlign w:val="bottom"/>
          </w:tcPr>
          <w:p>
            <w:pPr>
              <w:spacing w:after="0"/>
              <w:rPr>
                <w:sz w:val="16"/>
                <w:szCs w:val="16"/>
                <w:color w:val="auto"/>
              </w:rPr>
            </w:pPr>
          </w:p>
        </w:tc>
        <w:tc>
          <w:tcPr>
            <w:tcW w:w="22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Ended September 30,</w:t>
            </w:r>
          </w:p>
        </w:tc>
      </w:tr>
      <w:tr>
        <w:trPr>
          <w:trHeight w:val="196"/>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39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40" w:type="dxa"/>
            <w:vAlign w:val="bottom"/>
            <w:tcBorders>
              <w:lef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96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328,975</w:t>
            </w:r>
          </w:p>
        </w:tc>
        <w:tc>
          <w:tcPr>
            <w:tcW w:w="240" w:type="dxa"/>
            <w:vAlign w:val="bottom"/>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221,058</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899,661</w:t>
            </w:r>
          </w:p>
        </w:tc>
        <w:tc>
          <w:tcPr>
            <w:tcW w:w="200" w:type="dxa"/>
            <w:vAlign w:val="bottom"/>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608,702</w:t>
            </w:r>
          </w:p>
        </w:tc>
        <w:tc>
          <w:tcPr>
            <w:tcW w:w="100" w:type="dxa"/>
            <w:vAlign w:val="bottom"/>
          </w:tcPr>
          <w:p>
            <w:pPr>
              <w:spacing w:after="0"/>
              <w:rPr>
                <w:sz w:val="21"/>
                <w:szCs w:val="21"/>
                <w:color w:val="auto"/>
              </w:rPr>
            </w:pPr>
          </w:p>
        </w:tc>
      </w:tr>
      <w:tr>
        <w:trPr>
          <w:trHeight w:val="263"/>
        </w:trPr>
        <w:tc>
          <w:tcPr>
            <w:tcW w:w="396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1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10,220</w:t>
            </w:r>
          </w:p>
        </w:tc>
        <w:tc>
          <w:tcPr>
            <w:tcW w:w="240" w:type="dxa"/>
            <w:vAlign w:val="bottom"/>
            <w:tcBorders>
              <w:left w:val="single" w:sz="8" w:color="CFF0FC"/>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7,327</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31,688</w:t>
            </w: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960" w:type="dxa"/>
            <w:vAlign w:val="bottom"/>
          </w:tcPr>
          <w:p>
            <w:pPr>
              <w:ind w:left="54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339,195</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228,385</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931,349</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630,961</w:t>
            </w:r>
          </w:p>
        </w:tc>
        <w:tc>
          <w:tcPr>
            <w:tcW w:w="100" w:type="dxa"/>
            <w:vAlign w:val="bottom"/>
          </w:tcPr>
          <w:p>
            <w:pPr>
              <w:spacing w:after="0"/>
              <w:rPr>
                <w:sz w:val="21"/>
                <w:szCs w:val="21"/>
                <w:color w:val="auto"/>
              </w:rPr>
            </w:pPr>
          </w:p>
        </w:tc>
      </w:tr>
      <w:tr>
        <w:trPr>
          <w:trHeight w:val="250"/>
        </w:trPr>
        <w:tc>
          <w:tcPr>
            <w:tcW w:w="39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96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57,547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33,181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152,533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93,316</w:t>
            </w:r>
          </w:p>
        </w:tc>
        <w:tc>
          <w:tcPr>
            <w:tcW w:w="100" w:type="dxa"/>
            <w:vAlign w:val="bottom"/>
          </w:tcPr>
          <w:p>
            <w:pPr>
              <w:spacing w:after="0"/>
              <w:rPr>
                <w:sz w:val="21"/>
                <w:szCs w:val="21"/>
                <w:color w:val="auto"/>
              </w:rPr>
            </w:pPr>
          </w:p>
        </w:tc>
      </w:tr>
      <w:tr>
        <w:trPr>
          <w:trHeight w:val="263"/>
        </w:trPr>
        <w:tc>
          <w:tcPr>
            <w:tcW w:w="396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1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12,059</w:t>
            </w:r>
          </w:p>
        </w:tc>
        <w:tc>
          <w:tcPr>
            <w:tcW w:w="240" w:type="dxa"/>
            <w:vAlign w:val="bottom"/>
            <w:tcBorders>
              <w:left w:val="single" w:sz="8" w:color="CFF0FC"/>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9,422</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34,685</w:t>
            </w: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26,348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960" w:type="dxa"/>
            <w:vAlign w:val="bottom"/>
          </w:tcPr>
          <w:p>
            <w:pPr>
              <w:ind w:left="54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42,603</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187,218</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119,664</w:t>
            </w:r>
          </w:p>
        </w:tc>
        <w:tc>
          <w:tcPr>
            <w:tcW w:w="100" w:type="dxa"/>
            <w:vAlign w:val="bottom"/>
          </w:tcPr>
          <w:p>
            <w:pPr>
              <w:spacing w:after="0"/>
              <w:rPr>
                <w:sz w:val="21"/>
                <w:szCs w:val="21"/>
                <w:color w:val="auto"/>
              </w:rPr>
            </w:pPr>
          </w:p>
        </w:tc>
      </w:tr>
      <w:tr>
        <w:trPr>
          <w:trHeight w:val="250"/>
        </w:trPr>
        <w:tc>
          <w:tcPr>
            <w:tcW w:w="3960" w:type="dxa"/>
            <w:vAlign w:val="bottom"/>
            <w:tcBorders>
              <w:bottom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269,589</w:t>
            </w:r>
          </w:p>
        </w:tc>
        <w:tc>
          <w:tcPr>
            <w:tcW w:w="240" w:type="dxa"/>
            <w:vAlign w:val="bottom"/>
            <w:tcBorders>
              <w:left w:val="single" w:sz="8" w:color="CFF0FC"/>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185,782</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744,131</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511,297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96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78,473</w:t>
            </w:r>
          </w:p>
        </w:tc>
        <w:tc>
          <w:tcPr>
            <w:tcW w:w="240" w:type="dxa"/>
            <w:vAlign w:val="bottom"/>
            <w:tcBorders>
              <w:lef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54,456</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218,973</w:t>
            </w:r>
          </w:p>
        </w:tc>
        <w:tc>
          <w:tcPr>
            <w:tcW w:w="20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150,026</w:t>
            </w:r>
          </w:p>
        </w:tc>
        <w:tc>
          <w:tcPr>
            <w:tcW w:w="100" w:type="dxa"/>
            <w:vAlign w:val="bottom"/>
            <w:shd w:val="clear" w:color="auto" w:fill="CFF0FC"/>
          </w:tcPr>
          <w:p>
            <w:pPr>
              <w:spacing w:after="0"/>
              <w:rPr>
                <w:sz w:val="22"/>
                <w:szCs w:val="22"/>
                <w:color w:val="auto"/>
              </w:rPr>
            </w:pPr>
          </w:p>
        </w:tc>
      </w:tr>
      <w:tr>
        <w:trPr>
          <w:trHeight w:val="250"/>
        </w:trPr>
        <w:tc>
          <w:tcPr>
            <w:tcW w:w="39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170,016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119,299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468,836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324,230</w:t>
            </w:r>
          </w:p>
        </w:tc>
        <w:tc>
          <w:tcPr>
            <w:tcW w:w="100" w:type="dxa"/>
            <w:vAlign w:val="bottom"/>
          </w:tcPr>
          <w:p>
            <w:pPr>
              <w:spacing w:after="0"/>
              <w:rPr>
                <w:sz w:val="21"/>
                <w:szCs w:val="21"/>
                <w:color w:val="auto"/>
              </w:rPr>
            </w:pPr>
          </w:p>
        </w:tc>
      </w:tr>
      <w:tr>
        <w:trPr>
          <w:trHeight w:val="263"/>
        </w:trPr>
        <w:tc>
          <w:tcPr>
            <w:tcW w:w="396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36,027</w:t>
            </w:r>
          </w:p>
        </w:tc>
        <w:tc>
          <w:tcPr>
            <w:tcW w:w="240" w:type="dxa"/>
            <w:vAlign w:val="bottom"/>
            <w:tcBorders>
              <w:left w:val="single" w:sz="8" w:color="CFF0FC"/>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27,488</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102,883</w:t>
            </w: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80,228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9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284,516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201,243</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790,692</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554,484</w:t>
            </w:r>
          </w:p>
        </w:tc>
        <w:tc>
          <w:tcPr>
            <w:tcW w:w="100" w:type="dxa"/>
            <w:vAlign w:val="bottom"/>
          </w:tcPr>
          <w:p>
            <w:pPr>
              <w:spacing w:after="0"/>
              <w:rPr>
                <w:sz w:val="21"/>
                <w:szCs w:val="21"/>
                <w:color w:val="auto"/>
              </w:rPr>
            </w:pPr>
          </w:p>
        </w:tc>
      </w:tr>
      <w:tr>
        <w:trPr>
          <w:trHeight w:val="250"/>
        </w:trPr>
        <w:tc>
          <w:tcPr>
            <w:tcW w:w="39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(14,927 )</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(15,461 )</w:t>
            </w:r>
          </w:p>
        </w:tc>
        <w:tc>
          <w:tcPr>
            <w:tcW w:w="160" w:type="dxa"/>
            <w:vAlign w:val="bottom"/>
            <w:shd w:val="clear" w:color="auto" w:fill="CFF0FC"/>
          </w:tcPr>
          <w:p>
            <w:pPr>
              <w:spacing w:after="0"/>
              <w:rPr>
                <w:sz w:val="21"/>
                <w:szCs w:val="21"/>
                <w:color w:val="auto"/>
              </w:rPr>
            </w:pPr>
          </w:p>
        </w:tc>
        <w:tc>
          <w:tcPr>
            <w:tcW w:w="10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(46,561 )</w:t>
            </w:r>
          </w:p>
        </w:tc>
        <w:tc>
          <w:tcPr>
            <w:tcW w:w="2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(43,187 )</w:t>
            </w:r>
          </w:p>
        </w:tc>
      </w:tr>
      <w:tr>
        <w:trPr>
          <w:trHeight w:val="243"/>
        </w:trPr>
        <w:tc>
          <w:tcPr>
            <w:tcW w:w="39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Other expense:</w:t>
            </w: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396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Borders>
              <w:lef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1,046</w:t>
            </w:r>
          </w:p>
        </w:tc>
        <w:tc>
          <w:tcPr>
            <w:tcW w:w="20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7,150</w:t>
            </w:r>
          </w:p>
        </w:tc>
        <w:tc>
          <w:tcPr>
            <w:tcW w:w="100" w:type="dxa"/>
            <w:vAlign w:val="bottom"/>
            <w:shd w:val="clear" w:color="auto" w:fill="CFF0FC"/>
          </w:tcPr>
          <w:p>
            <w:pPr>
              <w:spacing w:after="0"/>
              <w:rPr>
                <w:sz w:val="22"/>
                <w:szCs w:val="22"/>
                <w:color w:val="auto"/>
              </w:rPr>
            </w:pPr>
          </w:p>
        </w:tc>
      </w:tr>
      <w:tr>
        <w:trPr>
          <w:trHeight w:val="250"/>
        </w:trPr>
        <w:tc>
          <w:tcPr>
            <w:tcW w:w="39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(7,798 )</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(7,062 )</w:t>
            </w:r>
          </w:p>
        </w:tc>
        <w:tc>
          <w:tcPr>
            <w:tcW w:w="16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(24,376 )</w:t>
            </w:r>
          </w:p>
        </w:tc>
        <w:tc>
          <w:tcPr>
            <w:tcW w:w="20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(29,823 )</w:t>
            </w:r>
          </w:p>
        </w:tc>
      </w:tr>
      <w:tr>
        <w:trPr>
          <w:trHeight w:val="263"/>
        </w:trPr>
        <w:tc>
          <w:tcPr>
            <w:tcW w:w="396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9,877</w:t>
            </w:r>
          </w:p>
        </w:tc>
        <w:tc>
          <w:tcPr>
            <w:tcW w:w="240" w:type="dxa"/>
            <w:vAlign w:val="bottom"/>
            <w:tcBorders>
              <w:lef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(7 )</w:t>
            </w:r>
          </w:p>
        </w:tc>
        <w:tc>
          <w:tcPr>
            <w:tcW w:w="16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11,064</w:t>
            </w:r>
          </w:p>
        </w:tc>
        <w:tc>
          <w:tcPr>
            <w:tcW w:w="20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(1,152 )</w:t>
            </w:r>
          </w:p>
        </w:tc>
      </w:tr>
      <w:tr>
        <w:trPr>
          <w:trHeight w:val="20"/>
        </w:trPr>
        <w:tc>
          <w:tcPr>
            <w:tcW w:w="39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3960" w:type="dxa"/>
            <w:vAlign w:val="bottom"/>
          </w:tcPr>
          <w:p>
            <w:pPr>
              <w:ind w:left="360"/>
              <w:spacing w:after="0"/>
              <w:rPr>
                <w:sz w:val="20"/>
                <w:szCs w:val="20"/>
                <w:color w:val="auto"/>
              </w:rPr>
            </w:pPr>
            <w:r>
              <w:rPr>
                <w:rFonts w:ascii="Arial" w:cs="Arial" w:eastAsia="Arial" w:hAnsi="Arial"/>
                <w:sz w:val="18"/>
                <w:szCs w:val="18"/>
                <w:color w:val="auto"/>
              </w:rPr>
              <w:t>Total other income (expense)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(6,111 )</w:t>
            </w:r>
          </w:p>
        </w:tc>
        <w:tc>
          <w:tcPr>
            <w:tcW w:w="16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(12,266 )</w:t>
            </w:r>
          </w:p>
        </w:tc>
        <w:tc>
          <w:tcPr>
            <w:tcW w:w="20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(23,825 )</w:t>
            </w:r>
          </w:p>
        </w:tc>
      </w:tr>
      <w:tr>
        <w:trPr>
          <w:trHeight w:val="20"/>
        </w:trPr>
        <w:tc>
          <w:tcPr>
            <w:tcW w:w="3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9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(12,618 )</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(21,572 )</w:t>
            </w:r>
          </w:p>
        </w:tc>
        <w:tc>
          <w:tcPr>
            <w:tcW w:w="160" w:type="dxa"/>
            <w:vAlign w:val="bottom"/>
            <w:shd w:val="clear" w:color="auto" w:fill="CFF0FC"/>
          </w:tcPr>
          <w:p>
            <w:pPr>
              <w:spacing w:after="0"/>
              <w:rPr>
                <w:sz w:val="21"/>
                <w:szCs w:val="21"/>
                <w:color w:val="auto"/>
              </w:rPr>
            </w:pPr>
          </w:p>
        </w:tc>
        <w:tc>
          <w:tcPr>
            <w:tcW w:w="10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(58,827 )</w:t>
            </w:r>
          </w:p>
        </w:tc>
        <w:tc>
          <w:tcPr>
            <w:tcW w:w="2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(67,012 )</w:t>
            </w:r>
          </w:p>
        </w:tc>
      </w:tr>
      <w:tr>
        <w:trPr>
          <w:trHeight w:val="256"/>
        </w:trPr>
        <w:tc>
          <w:tcPr>
            <w:tcW w:w="39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(1,117 )</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(926 )</w:t>
            </w:r>
          </w:p>
        </w:tc>
        <w:tc>
          <w:tcPr>
            <w:tcW w:w="160" w:type="dxa"/>
            <w:vAlign w:val="bottom"/>
          </w:tcPr>
          <w:p>
            <w:pPr>
              <w:spacing w:after="0"/>
              <w:rPr>
                <w:sz w:val="22"/>
                <w:szCs w:val="2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(2,639 )</w:t>
            </w:r>
          </w:p>
        </w:tc>
        <w:tc>
          <w:tcPr>
            <w:tcW w:w="200" w:type="dxa"/>
            <w:vAlign w:val="bottom"/>
          </w:tcPr>
          <w:p>
            <w:pPr>
              <w:spacing w:after="0"/>
              <w:rPr>
                <w:sz w:val="22"/>
                <w:szCs w:val="2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(2,603 )</w:t>
            </w:r>
          </w:p>
        </w:tc>
      </w:tr>
      <w:tr>
        <w:trPr>
          <w:trHeight w:val="20"/>
        </w:trPr>
        <w:tc>
          <w:tcPr>
            <w:tcW w:w="3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9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(13,735 )</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3"/>
                <w:szCs w:val="23"/>
                <w:color w:val="auto"/>
              </w:rPr>
            </w:pP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(22,498 )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(61,466 )</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(69,615 )</w:t>
            </w:r>
          </w:p>
        </w:tc>
      </w:tr>
      <w:tr>
        <w:trPr>
          <w:trHeight w:val="20"/>
        </w:trPr>
        <w:tc>
          <w:tcPr>
            <w:tcW w:w="3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19"/>
        </w:trPr>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2"/>
        </w:trPr>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Ended September 30,</w:t>
            </w:r>
          </w:p>
        </w:tc>
        <w:tc>
          <w:tcPr>
            <w:tcW w:w="160" w:type="dxa"/>
            <w:vAlign w:val="bottom"/>
          </w:tcPr>
          <w:p>
            <w:pPr>
              <w:spacing w:after="0"/>
              <w:rPr>
                <w:sz w:val="16"/>
                <w:szCs w:val="16"/>
                <w:color w:val="auto"/>
              </w:rPr>
            </w:pPr>
          </w:p>
        </w:tc>
        <w:tc>
          <w:tcPr>
            <w:tcW w:w="220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Ended September 30,</w:t>
            </w:r>
          </w:p>
        </w:tc>
      </w:tr>
      <w:tr>
        <w:trPr>
          <w:trHeight w:val="196"/>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39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40" w:type="dxa"/>
            <w:vAlign w:val="bottom"/>
            <w:tcBorders>
              <w:lef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96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1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97 %</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97 %</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1"/>
                <w:szCs w:val="21"/>
                <w:color w:val="auto"/>
              </w:rPr>
            </w:pPr>
          </w:p>
        </w:tc>
      </w:tr>
      <w:tr>
        <w:trPr>
          <w:trHeight w:val="263"/>
        </w:trPr>
        <w:tc>
          <w:tcPr>
            <w:tcW w:w="396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left w:val="single" w:sz="8" w:color="CFF0FC"/>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96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9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tcBorders>
              <w:lef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96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96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left w:val="single" w:sz="8" w:color="CFF0FC"/>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96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960" w:type="dxa"/>
            <w:vAlign w:val="bottom"/>
            <w:tcBorders>
              <w:bottom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left w:val="single" w:sz="8" w:color="CFF0FC"/>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96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lef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9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96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left w:val="single" w:sz="8" w:color="CFF0FC"/>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9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9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(7 )</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(5 )</w:t>
            </w: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FF0FC"/>
          </w:tcPr>
          <w:p>
            <w:pPr>
              <w:spacing w:after="0"/>
              <w:rPr>
                <w:sz w:val="21"/>
                <w:szCs w:val="21"/>
                <w:color w:val="auto"/>
              </w:rPr>
            </w:pPr>
          </w:p>
        </w:tc>
      </w:tr>
      <w:tr>
        <w:trPr>
          <w:trHeight w:val="256"/>
        </w:trPr>
        <w:tc>
          <w:tcPr>
            <w:tcW w:w="3960" w:type="dxa"/>
            <w:vAlign w:val="bottom"/>
          </w:tcPr>
          <w:p>
            <w:pPr>
              <w:ind w:left="360"/>
              <w:spacing w:after="0"/>
              <w:rPr>
                <w:sz w:val="20"/>
                <w:szCs w:val="20"/>
                <w:color w:val="auto"/>
              </w:rPr>
            </w:pPr>
            <w:r>
              <w:rPr>
                <w:rFonts w:ascii="Arial" w:cs="Arial" w:eastAsia="Arial" w:hAnsi="Arial"/>
                <w:sz w:val="18"/>
                <w:szCs w:val="18"/>
                <w:color w:val="auto"/>
              </w:rPr>
              <w:t>Total other income (expense)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2"/>
                <w:szCs w:val="22"/>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9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(9 )</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FF0FC"/>
          </w:tcPr>
          <w:p>
            <w:pPr>
              <w:spacing w:after="0"/>
              <w:rPr>
                <w:sz w:val="21"/>
                <w:szCs w:val="21"/>
                <w:color w:val="auto"/>
              </w:rPr>
            </w:pPr>
          </w:p>
        </w:tc>
      </w:tr>
      <w:tr>
        <w:trPr>
          <w:trHeight w:val="257"/>
        </w:trPr>
        <w:tc>
          <w:tcPr>
            <w:tcW w:w="39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(0 )</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2"/>
                <w:szCs w:val="22"/>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9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spacing w:after="0"/>
              <w:rPr>
                <w:sz w:val="23"/>
                <w:szCs w:val="23"/>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(4 )%</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(7 )%</w:t>
            </w:r>
          </w:p>
        </w:tc>
        <w:tc>
          <w:tcPr>
            <w:tcW w:w="200" w:type="dxa"/>
            <w:vAlign w:val="bottom"/>
            <w:tcBorders>
              <w:right w:val="single" w:sz="8" w:color="CFF0FC"/>
            </w:tcBorders>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FF0FC"/>
          </w:tcPr>
          <w:p>
            <w:pPr>
              <w:spacing w:after="0"/>
              <w:rPr>
                <w:sz w:val="23"/>
                <w:szCs w:val="23"/>
                <w:color w:val="auto"/>
              </w:rPr>
            </w:pPr>
          </w:p>
        </w:tc>
      </w:tr>
      <w:tr>
        <w:trPr>
          <w:trHeight w:val="20"/>
        </w:trPr>
        <w:tc>
          <w:tcPr>
            <w:tcW w:w="3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-7248525</wp:posOffset>
            </wp:positionV>
            <wp:extent cx="12890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-7248525</wp:posOffset>
            </wp:positionV>
            <wp:extent cx="12001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-7248525</wp:posOffset>
            </wp:positionV>
            <wp:extent cx="11112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-7248525</wp:posOffset>
            </wp:positionV>
            <wp:extent cx="5969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-6579870</wp:posOffset>
            </wp:positionV>
            <wp:extent cx="12890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-6579870</wp:posOffset>
            </wp:positionV>
            <wp:extent cx="12001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-6579870</wp:posOffset>
            </wp:positionV>
            <wp:extent cx="11112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-6579870</wp:posOffset>
            </wp:positionV>
            <wp:extent cx="5969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-6236970</wp:posOffset>
            </wp:positionV>
            <wp:extent cx="12890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-6236970</wp:posOffset>
            </wp:positionV>
            <wp:extent cx="12001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-6236970</wp:posOffset>
            </wp:positionV>
            <wp:extent cx="11112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-6236970</wp:posOffset>
            </wp:positionV>
            <wp:extent cx="5969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-5577205</wp:posOffset>
            </wp:positionV>
            <wp:extent cx="12890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-5577205</wp:posOffset>
            </wp:positionV>
            <wp:extent cx="12001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-5577205</wp:posOffset>
            </wp:positionV>
            <wp:extent cx="11112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-5577205</wp:posOffset>
            </wp:positionV>
            <wp:extent cx="5969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-5234305</wp:posOffset>
            </wp:positionV>
            <wp:extent cx="12890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-5234305</wp:posOffset>
            </wp:positionV>
            <wp:extent cx="12001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-5234305</wp:posOffset>
            </wp:positionV>
            <wp:extent cx="11112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-5234305</wp:posOffset>
            </wp:positionV>
            <wp:extent cx="5969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-4573905</wp:posOffset>
            </wp:positionV>
            <wp:extent cx="12890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-4573905</wp:posOffset>
            </wp:positionV>
            <wp:extent cx="12001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-4573905</wp:posOffset>
            </wp:positionV>
            <wp:extent cx="1111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-4573905</wp:posOffset>
            </wp:positionV>
            <wp:extent cx="5969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-3899535</wp:posOffset>
            </wp:positionV>
            <wp:extent cx="1289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-3882390</wp:posOffset>
            </wp:positionV>
            <wp:extent cx="1289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-3899535</wp:posOffset>
            </wp:positionV>
            <wp:extent cx="1200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-3882390</wp:posOffset>
            </wp:positionV>
            <wp:extent cx="1200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-3899535</wp:posOffset>
            </wp:positionV>
            <wp:extent cx="1111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-3882390</wp:posOffset>
            </wp:positionV>
            <wp:extent cx="1111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-3899535</wp:posOffset>
            </wp:positionV>
            <wp:extent cx="59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-3882390</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-2705100</wp:posOffset>
            </wp:positionV>
            <wp:extent cx="30861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-2705100</wp:posOffset>
            </wp:positionV>
            <wp:extent cx="28257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-2705100</wp:posOffset>
            </wp:positionV>
            <wp:extent cx="29146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-2705100</wp:posOffset>
            </wp:positionV>
            <wp:extent cx="2311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-2036445</wp:posOffset>
            </wp:positionV>
            <wp:extent cx="30861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-2036445</wp:posOffset>
            </wp:positionV>
            <wp:extent cx="28257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-2036445</wp:posOffset>
            </wp:positionV>
            <wp:extent cx="29146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-2036445</wp:posOffset>
            </wp:positionV>
            <wp:extent cx="23114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-1693545</wp:posOffset>
            </wp:positionV>
            <wp:extent cx="30861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-1693545</wp:posOffset>
            </wp:positionV>
            <wp:extent cx="28257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-1693545</wp:posOffset>
            </wp:positionV>
            <wp:extent cx="29146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-1693545</wp:posOffset>
            </wp:positionV>
            <wp:extent cx="23114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-1033780</wp:posOffset>
            </wp:positionV>
            <wp:extent cx="30861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-1033780</wp:posOffset>
            </wp:positionV>
            <wp:extent cx="28257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-1033780</wp:posOffset>
            </wp:positionV>
            <wp:extent cx="29146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-1033780</wp:posOffset>
            </wp:positionV>
            <wp:extent cx="23114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30861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30861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2825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2825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29146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29146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2311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23114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Percentages are based on actual values. Totals may not sum due to rounding.</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Three and Nine Months Ended September 30, 2021 Compared to the Three and Nine Months Ended September 30, 2020</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4"/>
          </w:tcPr>
          <w:p>
            <w:pPr>
              <w:jc w:val="right"/>
              <w:ind w:right="501"/>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Ended September 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w w:val="98"/>
              </w:rPr>
              <w:t>Ended 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29"/>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2740" w:type="dxa"/>
            <w:vAlign w:val="bottom"/>
            <w:gridSpan w:val="2"/>
          </w:tcPr>
          <w:p>
            <w:pPr>
              <w:ind w:left="200"/>
              <w:spacing w:after="0"/>
              <w:rPr>
                <w:sz w:val="20"/>
                <w:szCs w:val="20"/>
                <w:color w:val="auto"/>
              </w:rPr>
            </w:pPr>
            <w:r>
              <w:rPr>
                <w:rFonts w:ascii="Arial" w:cs="Arial" w:eastAsia="Arial" w:hAnsi="Arial"/>
                <w:sz w:val="16"/>
                <w:szCs w:val="16"/>
                <w:color w:val="auto"/>
              </w:rPr>
              <w:t>Subscription</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328,975</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221,058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107,917</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49 %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899,661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608,702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290,959</w:t>
            </w: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48 %</w:t>
            </w:r>
          </w:p>
        </w:tc>
      </w:tr>
      <w:tr>
        <w:trPr>
          <w:trHeight w:val="236"/>
        </w:trPr>
        <w:tc>
          <w:tcPr>
            <w:tcW w:w="2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Professional services and other</w:t>
            </w: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10,220</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7,327</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2,893</w:t>
            </w:r>
          </w:p>
        </w:tc>
        <w:tc>
          <w:tcPr>
            <w:tcW w:w="13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39 %</w:t>
            </w:r>
          </w:p>
        </w:tc>
        <w:tc>
          <w:tcPr>
            <w:tcW w:w="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31,688</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22,259</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9,429</w:t>
            </w:r>
          </w:p>
        </w:tc>
        <w:tc>
          <w:tcPr>
            <w:tcW w:w="122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42 %</w:t>
            </w:r>
          </w:p>
        </w:tc>
      </w:tr>
      <w:tr>
        <w:trPr>
          <w:trHeight w:val="226"/>
        </w:trPr>
        <w:tc>
          <w:tcPr>
            <w:tcW w:w="2740" w:type="dxa"/>
            <w:vAlign w:val="bottom"/>
            <w:gridSpan w:val="2"/>
          </w:tcPr>
          <w:p>
            <w:pPr>
              <w:ind w:left="380"/>
              <w:spacing w:after="0"/>
              <w:rPr>
                <w:sz w:val="20"/>
                <w:szCs w:val="20"/>
                <w:color w:val="auto"/>
              </w:rPr>
            </w:pPr>
            <w:r>
              <w:rPr>
                <w:rFonts w:ascii="Arial" w:cs="Arial" w:eastAsia="Arial" w:hAnsi="Arial"/>
                <w:sz w:val="16"/>
                <w:szCs w:val="16"/>
                <w:color w:val="auto"/>
              </w:rPr>
              <w:t>Total revenue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339,195</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228,385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110,810</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49 %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931,349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630,961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300,388</w:t>
            </w: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48 %</w:t>
            </w:r>
          </w:p>
        </w:tc>
      </w:tr>
      <w:tr>
        <w:trPr>
          <w:trHeight w:val="20"/>
        </w:trPr>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-176530</wp:posOffset>
            </wp:positionV>
            <wp:extent cx="9461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-176530</wp:posOffset>
            </wp:positionV>
            <wp:extent cx="939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-176530</wp:posOffset>
            </wp:positionV>
            <wp:extent cx="685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-176530</wp:posOffset>
            </wp:positionV>
            <wp:extent cx="685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-176530</wp:posOffset>
            </wp:positionV>
            <wp:extent cx="5969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-176530</wp:posOffset>
            </wp:positionV>
            <wp:extent cx="685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33"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Subscription revenue increased during the three months ended September 30, 2021 compared to the same period in 2020 primarily due to the increase in Total Customers, which grew from 95,634 as of September 30, 2020 to 128,144 as of September 30, 2021. Total Average Subscription Revenue per Customer increased from $9,669 for the three months ended September 30, 2020 to $10,536 for the three months ended September 30, 2021. The growth in Total Customers was primarily driven by our increased sales representative capacity to meet market demand as well as an increase in demand primarily for our Professional and Enterprise products. The increase in average subscription revenue per customer was primarily driven by an increase in demand for our Professional and Enterprise products, product upgrades by existing customers and impact from customer mix.</w:t>
      </w:r>
    </w:p>
    <w:p>
      <w:pPr>
        <w:spacing w:after="0" w:line="24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Professional services and other revenue increased during the three months ended September 30, 2021 compared to the same period in 2020 resulted primarily from the increase in Total Customers and from the delivery of on-boarding and training services for the additional subscriptions sold, as well as fees earned on revenue share arrangements with third parties.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293"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Subscription revenue increased during the nine months ended September 30, 2021 compared to the same period in 2020 primarily due to the increase in Total Customers, which grew from 95,634 as of September 30, 2020 to 128,144 as of September 30, 2021. Total Average Subscription Revenue per Customer increased from $9,568 for the nine months ended September 30, 2020 to $10,305 for the nine months ended September 30, 2021. The growth in Total Customers was primarily driven by our increased sales representative capacity to meet market demand as well as an increase in demand primarily for our Professional and Enterprise products. The increase in average subscription revenue per customer was primarily driven by an increase in demand for our Professional and Enterprise products, product upgrades by existing customers and impact from customer mix.</w:t>
      </w:r>
    </w:p>
    <w:p>
      <w:pPr>
        <w:spacing w:after="0" w:line="244"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Professional services and other revenue increased during the nine months ended September 30, 2021 compared to the same period in 2020 resulted primarily from the increase in Total Customers and from the delivery of on-boarding and training services for the additional subscriptions sold, as well as additional advertising revenue generated from our acquisition of the Hustle, which is not expected to recur, and fees earned on revenue share arrangements with third parties.</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7"/>
        </w:trPr>
        <w:tc>
          <w:tcPr>
            <w:tcW w:w="22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7"/>
                <w:szCs w:val="17"/>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3"/>
              </w:rPr>
              <w:t>2020</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29"/>
        </w:trPr>
        <w:tc>
          <w:tcPr>
            <w:tcW w:w="2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cost of revenue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69,606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42,603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27,003</w:t>
            </w: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63 %</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187,218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119,664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67,554</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56 %</w:t>
            </w:r>
          </w:p>
        </w:tc>
      </w:tr>
      <w:tr>
        <w:trPr>
          <w:trHeight w:val="220"/>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269,589</w:t>
            </w:r>
          </w:p>
        </w:tc>
        <w:tc>
          <w:tcPr>
            <w:tcW w:w="3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185,782</w:t>
            </w:r>
          </w:p>
        </w:tc>
        <w:tc>
          <w:tcPr>
            <w:tcW w:w="3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83,807</w:t>
            </w: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45 %</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744,131</w:t>
            </w:r>
          </w:p>
        </w:tc>
        <w:tc>
          <w:tcPr>
            <w:tcW w:w="28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511,297</w:t>
            </w:r>
          </w:p>
        </w:tc>
        <w:tc>
          <w:tcPr>
            <w:tcW w:w="2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232,834</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46 %</w:t>
            </w:r>
          </w:p>
        </w:tc>
      </w:tr>
      <w:tr>
        <w:trPr>
          <w:trHeight w:val="239"/>
        </w:trPr>
        <w:tc>
          <w:tcPr>
            <w:tcW w:w="2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Gross margin percentage</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79 %</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81 %</w:t>
            </w: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80 %</w:t>
            </w:r>
          </w:p>
        </w:tc>
        <w:tc>
          <w:tcPr>
            <w:tcW w:w="3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81 %</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bl>
    <w:p>
      <w:pPr>
        <w:spacing w:after="0" w:line="29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Total cost of revenue for the three and nine months ended September 30, 2021 increased compared to the same period in 2020 primarily due to an increase in subscription and hosting costs, employee-related costs, amortization of capitalized software development costs, allocated overhead expenses, offset by a decrease in amortization of acquired technology due to certain acquired technology reaching the end of its useful life during the third quarter of 2020. Gross margins remained consistent year-over-year.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ind w:left="360"/>
              <w:spacing w:after="0"/>
              <w:rPr>
                <w:sz w:val="20"/>
                <w:szCs w:val="20"/>
                <w:color w:val="auto"/>
              </w:rPr>
            </w:pPr>
            <w:r>
              <w:rPr>
                <w:rFonts w:ascii="Arial" w:cs="Arial" w:eastAsia="Arial" w:hAnsi="Arial"/>
                <w:sz w:val="14"/>
                <w:szCs w:val="14"/>
                <w:b w:val="1"/>
                <w:bCs w:val="1"/>
                <w:color w:val="auto"/>
                <w:w w:val="92"/>
              </w:rPr>
              <w:t>Nine Months</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Ended September 30,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29"/>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Subscription cost of revenue</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57,547</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33,181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24,366</w:t>
            </w:r>
          </w:p>
        </w:tc>
        <w:tc>
          <w:tcPr>
            <w:tcW w:w="1500" w:type="dxa"/>
            <w:vAlign w:val="bottom"/>
            <w:gridSpan w:val="4"/>
            <w:shd w:val="clear" w:color="auto" w:fill="CFF0FC"/>
          </w:tcPr>
          <w:p>
            <w:pPr>
              <w:jc w:val="right"/>
              <w:ind w:right="100"/>
              <w:spacing w:after="0"/>
              <w:rPr>
                <w:sz w:val="20"/>
                <w:szCs w:val="20"/>
                <w:color w:val="auto"/>
              </w:rPr>
            </w:pPr>
            <w:r>
              <w:rPr>
                <w:rFonts w:ascii="Arial" w:cs="Arial" w:eastAsia="Arial" w:hAnsi="Arial"/>
                <w:sz w:val="16"/>
                <w:szCs w:val="16"/>
                <w:color w:val="auto"/>
              </w:rPr>
              <w:t>73 %  $</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152,533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93,316</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59,217</w:t>
            </w: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63 %</w:t>
            </w:r>
          </w:p>
        </w:tc>
      </w:tr>
      <w:tr>
        <w:trPr>
          <w:trHeight w:val="210"/>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Percentage of subscription revenue</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17 %</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17 %</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15 %</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6" w:name="page27"/>
    <w:bookmarkEnd w:id="26"/>
    <w:p>
      <w:pPr>
        <w:ind w:right="400" w:firstLine="509"/>
        <w:spacing w:after="0" w:line="293" w:lineRule="auto"/>
        <w:rPr>
          <w:sz w:val="20"/>
          <w:szCs w:val="20"/>
          <w:color w:val="auto"/>
        </w:rPr>
      </w:pPr>
      <w:r>
        <w:rPr>
          <w:rFonts w:ascii="Arial" w:cs="Arial" w:eastAsia="Arial" w:hAnsi="Arial"/>
          <w:sz w:val="18"/>
          <w:szCs w:val="18"/>
          <w:color w:val="auto"/>
        </w:rPr>
        <w:t>The increase in subscription cost of revenue for the three and nine months ended September 30, 2021 compared to the same period in 2020 was primarily due to the following:</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Change</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Three Months</w:t>
            </w:r>
          </w:p>
        </w:tc>
        <w:tc>
          <w:tcPr>
            <w:tcW w:w="200" w:type="dxa"/>
            <w:vAlign w:val="bottom"/>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7"/>
              </w:rPr>
              <w:t>Nine Months</w:t>
            </w:r>
          </w:p>
        </w:tc>
        <w:tc>
          <w:tcPr>
            <w:tcW w:w="100" w:type="dxa"/>
            <w:vAlign w:val="bottom"/>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18,109</w:t>
            </w:r>
          </w:p>
        </w:tc>
        <w:tc>
          <w:tcPr>
            <w:tcW w:w="120" w:type="dxa"/>
            <w:vAlign w:val="bottom"/>
            <w:shd w:val="clear" w:color="auto" w:fill="CFF0FC"/>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43,025</w:t>
            </w:r>
          </w:p>
        </w:tc>
        <w:tc>
          <w:tcPr>
            <w:tcW w:w="100" w:type="dxa"/>
            <w:vAlign w:val="bottom"/>
            <w:shd w:val="clear" w:color="auto" w:fill="CFF0FC"/>
          </w:tcPr>
          <w:p>
            <w:pPr>
              <w:spacing w:after="0"/>
              <w:rPr>
                <w:sz w:val="24"/>
                <w:szCs w:val="24"/>
                <w:color w:val="auto"/>
              </w:rPr>
            </w:pPr>
          </w:p>
        </w:tc>
      </w:tr>
      <w:tr>
        <w:trPr>
          <w:trHeight w:val="277"/>
        </w:trPr>
        <w:tc>
          <w:tcPr>
            <w:tcW w:w="5380" w:type="dxa"/>
            <w:vAlign w:val="bottom"/>
          </w:tcPr>
          <w:p>
            <w:pPr>
              <w:spacing w:after="0"/>
              <w:rPr>
                <w:sz w:val="20"/>
                <w:szCs w:val="20"/>
                <w:color w:val="auto"/>
              </w:rPr>
            </w:pPr>
            <w:r>
              <w:rPr>
                <w:rFonts w:ascii="Arial" w:cs="Arial" w:eastAsia="Arial" w:hAnsi="Arial"/>
                <w:sz w:val="18"/>
                <w:szCs w:val="18"/>
                <w:color w:val="auto"/>
              </w:rPr>
              <w:t>Employee-related costs</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11,084</w:t>
            </w:r>
          </w:p>
        </w:tc>
        <w:tc>
          <w:tcPr>
            <w:tcW w:w="100" w:type="dxa"/>
            <w:vAlign w:val="bottom"/>
          </w:tcPr>
          <w:p>
            <w:pPr>
              <w:spacing w:after="0"/>
              <w:rPr>
                <w:sz w:val="24"/>
                <w:szCs w:val="24"/>
                <w:color w:val="auto"/>
              </w:rPr>
            </w:pPr>
          </w:p>
        </w:tc>
      </w:tr>
      <w:tr>
        <w:trPr>
          <w:trHeight w:val="29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240" w:type="dxa"/>
            <w:vAlign w:val="bottom"/>
            <w:shd w:val="clear" w:color="auto" w:fill="CFF0FC"/>
          </w:tcPr>
          <w:p>
            <w:pPr>
              <w:spacing w:after="0"/>
              <w:rPr>
                <w:sz w:val="24"/>
                <w:szCs w:val="2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120" w:type="dxa"/>
            <w:vAlign w:val="bottom"/>
            <w:shd w:val="clear" w:color="auto" w:fill="CFF0FC"/>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5,252</w:t>
            </w:r>
          </w:p>
        </w:tc>
        <w:tc>
          <w:tcPr>
            <w:tcW w:w="100" w:type="dxa"/>
            <w:vAlign w:val="bottom"/>
            <w:shd w:val="clear" w:color="auto" w:fill="CFF0FC"/>
          </w:tcPr>
          <w:p>
            <w:pPr>
              <w:spacing w:after="0"/>
              <w:rPr>
                <w:sz w:val="24"/>
                <w:szCs w:val="24"/>
                <w:color w:val="auto"/>
              </w:rPr>
            </w:pPr>
          </w:p>
        </w:tc>
      </w:tr>
      <w:tr>
        <w:trPr>
          <w:trHeight w:val="277"/>
        </w:trPr>
        <w:tc>
          <w:tcPr>
            <w:tcW w:w="538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4"/>
                <w:szCs w:val="24"/>
                <w:color w:val="auto"/>
              </w:rPr>
            </w:pPr>
          </w:p>
        </w:tc>
      </w:tr>
      <w:tr>
        <w:trPr>
          <w:trHeight w:val="29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acquired technology</w:t>
            </w:r>
          </w:p>
        </w:tc>
        <w:tc>
          <w:tcPr>
            <w:tcW w:w="240" w:type="dxa"/>
            <w:vAlign w:val="bottom"/>
            <w:shd w:val="clear" w:color="auto" w:fill="CFF0FC"/>
          </w:tcPr>
          <w:p>
            <w:pPr>
              <w:spacing w:after="0"/>
              <w:rPr>
                <w:sz w:val="24"/>
                <w:szCs w:val="24"/>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(208 )</w:t>
            </w:r>
          </w:p>
        </w:tc>
        <w:tc>
          <w:tcPr>
            <w:tcW w:w="80" w:type="dxa"/>
            <w:vAlign w:val="bottom"/>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(1,493 )</w:t>
            </w:r>
          </w:p>
        </w:tc>
      </w:tr>
      <w:tr>
        <w:trPr>
          <w:trHeight w:val="270"/>
        </w:trPr>
        <w:tc>
          <w:tcPr>
            <w:tcW w:w="5380" w:type="dxa"/>
            <w:vAlign w:val="bottom"/>
            <w:tcBorders>
              <w:top w:val="single" w:sz="8" w:color="CFF0FC"/>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24,366</w:t>
            </w:r>
          </w:p>
        </w:tc>
        <w:tc>
          <w:tcPr>
            <w:tcW w:w="120" w:type="dxa"/>
            <w:vAlign w:val="bottom"/>
            <w:tcBorders>
              <w:top w:val="single" w:sz="8" w:color="CFF0FC"/>
            </w:tcBorders>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59,217</w:t>
            </w:r>
          </w:p>
        </w:tc>
        <w:tc>
          <w:tcPr>
            <w:tcW w:w="100" w:type="dxa"/>
            <w:vAlign w:val="bottom"/>
            <w:tcBorders>
              <w:top w:val="single" w:sz="8" w:color="CFF0FC"/>
            </w:tcBorders>
          </w:tcPr>
          <w:p>
            <w:pPr>
              <w:spacing w:after="0"/>
              <w:rPr>
                <w:sz w:val="23"/>
                <w:szCs w:val="23"/>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-210820</wp:posOffset>
            </wp:positionV>
            <wp:extent cx="12890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-210820</wp:posOffset>
            </wp:positionV>
            <wp:extent cx="6858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52" w:lineRule="exact"/>
        <w:rPr>
          <w:sz w:val="20"/>
          <w:szCs w:val="20"/>
          <w:color w:val="auto"/>
        </w:rPr>
      </w:pPr>
    </w:p>
    <w:p>
      <w:pPr>
        <w:ind w:firstLine="578"/>
        <w:spacing w:after="0" w:line="269" w:lineRule="auto"/>
        <w:rPr>
          <w:sz w:val="20"/>
          <w:szCs w:val="20"/>
          <w:color w:val="auto"/>
        </w:rPr>
      </w:pPr>
      <w:r>
        <w:rPr>
          <w:rFonts w:ascii="Arial" w:cs="Arial" w:eastAsia="Arial" w:hAnsi="Arial"/>
          <w:sz w:val="18"/>
          <w:szCs w:val="18"/>
          <w:color w:val="auto"/>
        </w:rPr>
        <w:t>Subscription and hosting costs increased primarily due to growth in our Total Customer base from 95,634 as of September 30, 2020 to 128,144 as of September 30, 2021. We also saw higher subscription and hosting costs as we launched an additional data center and continued to focus on the security, reliability and performance of our CRM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the expansion of our leased space and infrastructure as we continued to grow our business and expand headcount. Amortization of acquired technology decreased due to certain acquired technology reaching the end of its useful life during the third quarter of 2020.</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252" w:lineRule="exact"/>
        <w:rPr>
          <w:sz w:val="20"/>
          <w:szCs w:val="20"/>
          <w:color w:val="auto"/>
        </w:rPr>
      </w:pPr>
    </w:p>
    <w:p>
      <w:pPr>
        <w:ind w:firstLine="578"/>
        <w:spacing w:after="0" w:line="269" w:lineRule="auto"/>
        <w:rPr>
          <w:sz w:val="20"/>
          <w:szCs w:val="20"/>
          <w:color w:val="auto"/>
        </w:rPr>
      </w:pPr>
      <w:r>
        <w:rPr>
          <w:rFonts w:ascii="Arial" w:cs="Arial" w:eastAsia="Arial" w:hAnsi="Arial"/>
          <w:sz w:val="18"/>
          <w:szCs w:val="18"/>
          <w:color w:val="auto"/>
        </w:rPr>
        <w:t>Subscription and hosting costs increased primarily due to growth in our Total Customer base from 95,634 as of September 30, 2020 to 128,144 as of September 30, 2021. We also saw higher subscription and hosting costs as we launched an additional data center and continued to focus on the security, reliability and performance of our CRM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the expansion of our leased space and infrastructure as we continued to grow our business and expand headcount. Amortization of acquired technology decreased due to certain acquired technology reaching the end of its useful life during the third quarter of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Ended 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w w:val="98"/>
              </w:rPr>
              <w:t>Ended September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7"/>
                <w:szCs w:val="17"/>
                <w:color w:val="auto"/>
              </w:rPr>
            </w:pPr>
          </w:p>
        </w:tc>
        <w:tc>
          <w:tcPr>
            <w:tcW w:w="7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06"/>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Professional services and other cost</w:t>
            </w: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26"/>
        </w:trPr>
        <w:tc>
          <w:tcPr>
            <w:tcW w:w="29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of revenue</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12,059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9,422</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2,637</w:t>
            </w:r>
          </w:p>
        </w:tc>
        <w:tc>
          <w:tcPr>
            <w:tcW w:w="1460" w:type="dxa"/>
            <w:vAlign w:val="bottom"/>
            <w:gridSpan w:val="4"/>
            <w:shd w:val="clear" w:color="auto" w:fill="CFF0FC"/>
          </w:tcPr>
          <w:p>
            <w:pPr>
              <w:jc w:val="right"/>
              <w:ind w:right="100"/>
              <w:spacing w:after="0"/>
              <w:rPr>
                <w:sz w:val="20"/>
                <w:szCs w:val="20"/>
                <w:color w:val="auto"/>
              </w:rPr>
            </w:pPr>
            <w:r>
              <w:rPr>
                <w:rFonts w:ascii="Arial" w:cs="Arial" w:eastAsia="Arial" w:hAnsi="Arial"/>
                <w:sz w:val="16"/>
                <w:szCs w:val="16"/>
                <w:color w:val="auto"/>
              </w:rPr>
              <w:t>28 %  $</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34,685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26,348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8,337</w:t>
            </w: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32 %</w:t>
            </w:r>
          </w:p>
        </w:tc>
      </w:tr>
      <w:tr>
        <w:trPr>
          <w:trHeight w:val="206"/>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Percentage of professional services</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940" w:type="dxa"/>
            <w:vAlign w:val="bottom"/>
            <w:gridSpan w:val="2"/>
          </w:tcPr>
          <w:p>
            <w:pPr>
              <w:ind w:left="100"/>
              <w:spacing w:after="0"/>
              <w:rPr>
                <w:sz w:val="20"/>
                <w:szCs w:val="20"/>
                <w:color w:val="auto"/>
              </w:rPr>
            </w:pPr>
            <w:r>
              <w:rPr>
                <w:rFonts w:ascii="Arial" w:cs="Arial" w:eastAsia="Arial" w:hAnsi="Arial"/>
                <w:sz w:val="16"/>
                <w:szCs w:val="16"/>
                <w:color w:val="auto"/>
              </w:rPr>
              <w:t>and other revenue</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118 %</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129 %</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109 %</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118 %</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48" w:lineRule="exact"/>
        <w:rPr>
          <w:sz w:val="20"/>
          <w:szCs w:val="20"/>
          <w:color w:val="auto"/>
        </w:rPr>
      </w:pPr>
    </w:p>
    <w:p>
      <w:pPr>
        <w:ind w:right="500" w:firstLine="749"/>
        <w:spacing w:after="0" w:line="293" w:lineRule="auto"/>
        <w:rPr>
          <w:sz w:val="20"/>
          <w:szCs w:val="20"/>
          <w:color w:val="auto"/>
        </w:rPr>
      </w:pPr>
      <w:r>
        <w:rPr>
          <w:rFonts w:ascii="Arial" w:cs="Arial" w:eastAsia="Arial" w:hAnsi="Arial"/>
          <w:sz w:val="18"/>
          <w:szCs w:val="18"/>
          <w:color w:val="auto"/>
        </w:rPr>
        <w:t>The increase in professional services and other cost of revenue for three and nine months ended September 30, 2021 compared to the same period in 2020 was primarily due to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9"/>
        </w:trPr>
        <w:tc>
          <w:tcPr>
            <w:tcW w:w="11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7"/>
              </w:rPr>
              <w:t>Nine Months</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2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6,769</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1140" w:type="dxa"/>
            <w:vAlign w:val="bottom"/>
          </w:tcPr>
          <w:p>
            <w:pPr>
              <w:spacing w:after="0"/>
              <w:rPr>
                <w:sz w:val="22"/>
                <w:szCs w:val="22"/>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2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10"/>
        </w:trPr>
        <w:tc>
          <w:tcPr>
            <w:tcW w:w="1140" w:type="dxa"/>
            <w:vAlign w:val="bottom"/>
          </w:tcPr>
          <w:p>
            <w:pPr>
              <w:spacing w:after="0"/>
              <w:rPr>
                <w:sz w:val="24"/>
                <w:szCs w:val="24"/>
                <w:color w:val="auto"/>
              </w:rPr>
            </w:pPr>
          </w:p>
        </w:tc>
        <w:tc>
          <w:tcPr>
            <w:tcW w:w="3260" w:type="dxa"/>
            <w:vAlign w:val="bottom"/>
            <w:shd w:val="clear" w:color="auto" w:fill="CFF0FC"/>
          </w:tcPr>
          <w:p>
            <w:pPr>
              <w:spacing w:after="0"/>
              <w:rPr>
                <w:sz w:val="24"/>
                <w:szCs w:val="24"/>
                <w:color w:val="auto"/>
              </w:rPr>
            </w:pPr>
          </w:p>
        </w:tc>
        <w:tc>
          <w:tcPr>
            <w:tcW w:w="2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8,337</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62"/>
        </w:trPr>
        <w:tc>
          <w:tcPr>
            <w:tcW w:w="1140" w:type="dxa"/>
            <w:vAlign w:val="bottom"/>
          </w:tcPr>
          <w:p>
            <w:pPr>
              <w:spacing w:after="0"/>
              <w:rPr>
                <w:sz w:val="24"/>
                <w:szCs w:val="24"/>
                <w:color w:val="auto"/>
              </w:rPr>
            </w:pPr>
          </w:p>
        </w:tc>
        <w:tc>
          <w:tcPr>
            <w:tcW w:w="3260" w:type="dxa"/>
            <w:vAlign w:val="bottom"/>
            <w:tcBorders>
              <w:top w:val="single" w:sz="8" w:color="CFF0FC"/>
            </w:tcBorders>
          </w:tcPr>
          <w:p>
            <w:pPr>
              <w:spacing w:after="0"/>
              <w:rPr>
                <w:sz w:val="24"/>
                <w:szCs w:val="24"/>
                <w:color w:val="auto"/>
              </w:rPr>
            </w:pPr>
          </w:p>
        </w:tc>
        <w:tc>
          <w:tcPr>
            <w:tcW w:w="2180" w:type="dxa"/>
            <w:vAlign w:val="bottom"/>
            <w:tcBorders>
              <w:top w:val="single" w:sz="8" w:color="CFF0FC"/>
            </w:tcBorders>
          </w:tcPr>
          <w:p>
            <w:pPr>
              <w:jc w:val="right"/>
              <w:ind w:right="770"/>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-539115</wp:posOffset>
            </wp:positionV>
            <wp:extent cx="1028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-522605</wp:posOffset>
            </wp:positionV>
            <wp:extent cx="1028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-539115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-522605</wp:posOffset>
            </wp:positionV>
            <wp:extent cx="51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20"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 Allocated overhead expenses increased due to the expansion of our leased space and infrastructure as we continued to grow our business and expand headcount.</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33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 Allocated overhead expenses increased due to the expansion of our leased space and infrastructure as we continued to grow our business and expand headcount.</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29"/>
        </w:trPr>
        <w:tc>
          <w:tcPr>
            <w:tcW w:w="2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78,473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54,456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24,017</w:t>
            </w:r>
          </w:p>
        </w:tc>
        <w:tc>
          <w:tcPr>
            <w:tcW w:w="1460" w:type="dxa"/>
            <w:vAlign w:val="bottom"/>
            <w:gridSpan w:val="4"/>
            <w:shd w:val="clear" w:color="auto" w:fill="CFF0FC"/>
          </w:tcPr>
          <w:p>
            <w:pPr>
              <w:jc w:val="right"/>
              <w:ind w:right="100"/>
              <w:spacing w:after="0"/>
              <w:rPr>
                <w:sz w:val="20"/>
                <w:szCs w:val="20"/>
                <w:color w:val="auto"/>
              </w:rPr>
            </w:pPr>
            <w:r>
              <w:rPr>
                <w:rFonts w:ascii="Arial" w:cs="Arial" w:eastAsia="Arial" w:hAnsi="Arial"/>
                <w:sz w:val="16"/>
                <w:szCs w:val="16"/>
                <w:color w:val="auto"/>
              </w:rPr>
              <w:t>44 %  $</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218,973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68,947</w:t>
            </w: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46 %</w:t>
            </w:r>
          </w:p>
        </w:tc>
      </w:tr>
      <w:tr>
        <w:trPr>
          <w:trHeight w:val="210"/>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23 %</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24 %</w:t>
            </w: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24 %</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46"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increase in research and development expense for the three and nine months ended September 30, 2021 compared to the same period in 2020 was primarily due to the following:</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49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8"/>
                <w:szCs w:val="18"/>
                <w:color w:val="auto"/>
              </w:rPr>
            </w:pPr>
          </w:p>
        </w:tc>
      </w:tr>
      <w:tr>
        <w:trPr>
          <w:trHeight w:val="196"/>
        </w:trPr>
        <w:tc>
          <w:tcPr>
            <w:tcW w:w="4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400" w:type="dxa"/>
            <w:vAlign w:val="bottom"/>
            <w:shd w:val="clear" w:color="auto" w:fill="CFF0FC"/>
          </w:tcPr>
          <w:p>
            <w:pPr>
              <w:jc w:val="right"/>
              <w:ind w:right="12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21,843</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57,332</w:t>
            </w:r>
          </w:p>
        </w:tc>
        <w:tc>
          <w:tcPr>
            <w:tcW w:w="80" w:type="dxa"/>
            <w:vAlign w:val="bottom"/>
            <w:shd w:val="clear" w:color="auto" w:fill="CFF0FC"/>
          </w:tcPr>
          <w:p>
            <w:pPr>
              <w:spacing w:after="0"/>
              <w:rPr>
                <w:sz w:val="22"/>
                <w:szCs w:val="22"/>
                <w:color w:val="auto"/>
              </w:rPr>
            </w:pPr>
          </w:p>
        </w:tc>
      </w:tr>
      <w:tr>
        <w:trPr>
          <w:trHeight w:val="277"/>
        </w:trPr>
        <w:tc>
          <w:tcPr>
            <w:tcW w:w="492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6,992</w:t>
            </w:r>
          </w:p>
        </w:tc>
        <w:tc>
          <w:tcPr>
            <w:tcW w:w="80" w:type="dxa"/>
            <w:vAlign w:val="bottom"/>
          </w:tcPr>
          <w:p>
            <w:pPr>
              <w:spacing w:after="0"/>
              <w:rPr>
                <w:sz w:val="24"/>
                <w:szCs w:val="24"/>
                <w:color w:val="auto"/>
              </w:rPr>
            </w:pPr>
          </w:p>
        </w:tc>
      </w:tr>
      <w:tr>
        <w:trPr>
          <w:trHeight w:val="29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Hosting expenses</w:t>
            </w:r>
          </w:p>
        </w:tc>
        <w:tc>
          <w:tcPr>
            <w:tcW w:w="140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4,623</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70"/>
        </w:trPr>
        <w:tc>
          <w:tcPr>
            <w:tcW w:w="4920" w:type="dxa"/>
            <w:vAlign w:val="bottom"/>
          </w:tcPr>
          <w:p>
            <w:pPr>
              <w:spacing w:after="0"/>
              <w:rPr>
                <w:sz w:val="23"/>
                <w:szCs w:val="23"/>
                <w:color w:val="auto"/>
              </w:rPr>
            </w:pPr>
          </w:p>
        </w:tc>
        <w:tc>
          <w:tcPr>
            <w:tcW w:w="1400" w:type="dxa"/>
            <w:vAlign w:val="bottom"/>
          </w:tcPr>
          <w:p>
            <w:pPr>
              <w:jc w:val="right"/>
              <w:ind w:right="12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24,017</w:t>
            </w:r>
          </w:p>
        </w:tc>
        <w:tc>
          <w:tcPr>
            <w:tcW w:w="6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68,947</w:t>
            </w:r>
          </w:p>
        </w:tc>
        <w:tc>
          <w:tcPr>
            <w:tcW w:w="80" w:type="dxa"/>
            <w:vAlign w:val="bottom"/>
          </w:tcPr>
          <w:p>
            <w:pPr>
              <w:spacing w:after="0"/>
              <w:rPr>
                <w:sz w:val="23"/>
                <w:szCs w:val="23"/>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-210820</wp:posOffset>
            </wp:positionV>
            <wp:extent cx="10287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-210820</wp:posOffset>
            </wp:positionV>
            <wp:extent cx="5143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20" w:lineRule="exact"/>
        <w:rPr>
          <w:sz w:val="20"/>
          <w:szCs w:val="20"/>
          <w:color w:val="auto"/>
        </w:rPr>
      </w:pPr>
    </w:p>
    <w:p>
      <w:pPr>
        <w:ind w:right="160" w:firstLine="509"/>
        <w:spacing w:after="0" w:line="292" w:lineRule="auto"/>
        <w:rPr>
          <w:sz w:val="20"/>
          <w:szCs w:val="20"/>
          <w:color w:val="auto"/>
        </w:rPr>
      </w:pPr>
      <w:r>
        <w:rPr>
          <w:rFonts w:ascii="Arial" w:cs="Arial" w:eastAsia="Arial" w:hAnsi="Arial"/>
          <w:sz w:val="17"/>
          <w:szCs w:val="17"/>
          <w:color w:val="auto"/>
        </w:rPr>
        <w:t>Employee-related costs increased as a result of increased headcount as we continue to grow our engineering organization to develop new products, increase functionality and to maintain our existing CRM Platform. Allocated overhead expense increased due to expanding our leased space and infrastructure as we continue to grow our business and expand headcount. Hosting expense increased slightly due to incremental spend associated with product development infrastructure that is unrelated to the hosting of our CRM Platform for paying customers. In July of 2021, we launched a new data center and ongoing expenses related to the hosting of our CRM Platform were moved to subscription cost of revenue.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320" w:lineRule="exact"/>
        <w:rPr>
          <w:sz w:val="20"/>
          <w:szCs w:val="20"/>
          <w:color w:val="auto"/>
        </w:rPr>
      </w:pPr>
    </w:p>
    <w:p>
      <w:pPr>
        <w:ind w:right="120" w:firstLine="509"/>
        <w:spacing w:after="0" w:line="292" w:lineRule="auto"/>
        <w:rPr>
          <w:sz w:val="20"/>
          <w:szCs w:val="20"/>
          <w:color w:val="auto"/>
        </w:rPr>
      </w:pPr>
      <w:r>
        <w:rPr>
          <w:rFonts w:ascii="Arial" w:cs="Arial" w:eastAsia="Arial" w:hAnsi="Arial"/>
          <w:sz w:val="17"/>
          <w:szCs w:val="17"/>
          <w:color w:val="auto"/>
        </w:rPr>
        <w:t>Employee-related costs increased as a result of increased headcount as we continue to grow our engineering organization to develop new products, increase functionality and to maintain our existing CRM Platform. Allocated overhead expense increased due to expanding our leased space and infrastructure as we continue to grow our business and expand headcount. Hosting expense increased due to incremental spend associated with product development infrastructure that is unrelated to the hosting of our CRM Platform for paying customers. In July of 2021, we launched a new data center and ongoing expenses related to the hosting of our CRM Platform were moved to subscription cost of revenue.</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29"/>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170,016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119,299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50,717</w:t>
            </w:r>
          </w:p>
        </w:tc>
        <w:tc>
          <w:tcPr>
            <w:tcW w:w="1460" w:type="dxa"/>
            <w:vAlign w:val="bottom"/>
            <w:gridSpan w:val="4"/>
            <w:shd w:val="clear" w:color="auto" w:fill="CFF0FC"/>
          </w:tcPr>
          <w:p>
            <w:pPr>
              <w:jc w:val="right"/>
              <w:ind w:right="100"/>
              <w:spacing w:after="0"/>
              <w:rPr>
                <w:sz w:val="20"/>
                <w:szCs w:val="20"/>
                <w:color w:val="auto"/>
              </w:rPr>
            </w:pPr>
            <w:r>
              <w:rPr>
                <w:rFonts w:ascii="Arial" w:cs="Arial" w:eastAsia="Arial" w:hAnsi="Arial"/>
                <w:sz w:val="16"/>
                <w:szCs w:val="16"/>
                <w:color w:val="auto"/>
              </w:rPr>
              <w:t>43 %  $</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468,836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324,230</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   144,606</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45 %</w:t>
            </w:r>
          </w:p>
        </w:tc>
      </w:tr>
      <w:tr>
        <w:trPr>
          <w:trHeight w:val="210"/>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50 %</w:t>
            </w:r>
          </w:p>
        </w:tc>
        <w:tc>
          <w:tcPr>
            <w:tcW w:w="3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50 %</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51 %</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8" w:name="page29"/>
    <w:bookmarkEnd w:id="28"/>
    <w:p>
      <w:pPr>
        <w:ind w:right="360" w:firstLine="509"/>
        <w:spacing w:after="0" w:line="293" w:lineRule="auto"/>
        <w:rPr>
          <w:sz w:val="20"/>
          <w:szCs w:val="20"/>
          <w:color w:val="auto"/>
        </w:rPr>
      </w:pPr>
      <w:r>
        <w:rPr>
          <w:rFonts w:ascii="Arial" w:cs="Arial" w:eastAsia="Arial" w:hAnsi="Arial"/>
          <w:sz w:val="18"/>
          <w:szCs w:val="18"/>
          <w:color w:val="auto"/>
        </w:rPr>
        <w:t>The increase in sales and marketing expense for the three and nine months ended September 30, 2021 compared to the same period in 2020 was primarily due to the following:</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0" w:type="dxa"/>
            <w:vAlign w:val="bottom"/>
            <w:gridSpan w:val="4"/>
          </w:tcPr>
          <w:p>
            <w:pPr>
              <w:jc w:val="right"/>
              <w:ind w:right="267"/>
              <w:spacing w:after="0"/>
              <w:rPr>
                <w:sz w:val="20"/>
                <w:szCs w:val="20"/>
                <w:color w:val="auto"/>
              </w:rPr>
            </w:pPr>
            <w:r>
              <w:rPr>
                <w:rFonts w:ascii="Arial" w:cs="Arial" w:eastAsia="Arial" w:hAnsi="Arial"/>
                <w:sz w:val="14"/>
                <w:szCs w:val="14"/>
                <w:b w:val="1"/>
                <w:bCs w:val="1"/>
                <w:color w:val="auto"/>
              </w:rPr>
              <w:t>Change</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46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8"/>
                <w:szCs w:val="18"/>
                <w:color w:val="auto"/>
              </w:rPr>
            </w:pPr>
          </w:p>
        </w:tc>
      </w:tr>
      <w:tr>
        <w:trPr>
          <w:trHeight w:val="196"/>
        </w:trPr>
        <w:tc>
          <w:tcPr>
            <w:tcW w:w="4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500" w:type="dxa"/>
            <w:vAlign w:val="bottom"/>
            <w:shd w:val="clear" w:color="auto" w:fill="CFF0FC"/>
          </w:tcPr>
          <w:p>
            <w:pPr>
              <w:jc w:val="right"/>
              <w:ind w:right="13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33,126</w:t>
            </w:r>
          </w:p>
        </w:tc>
        <w:tc>
          <w:tcPr>
            <w:tcW w:w="8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88,852</w:t>
            </w:r>
          </w:p>
        </w:tc>
        <w:tc>
          <w:tcPr>
            <w:tcW w:w="80" w:type="dxa"/>
            <w:vAlign w:val="bottom"/>
            <w:shd w:val="clear" w:color="auto" w:fill="CFF0FC"/>
          </w:tcPr>
          <w:p>
            <w:pPr>
              <w:spacing w:after="0"/>
              <w:rPr>
                <w:sz w:val="22"/>
                <w:szCs w:val="22"/>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18"/>
                <w:szCs w:val="18"/>
                <w:color w:val="auto"/>
              </w:rPr>
              <w:t>Marketing programs</w:t>
            </w:r>
          </w:p>
        </w:tc>
        <w:tc>
          <w:tcPr>
            <w:tcW w:w="15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23,381</w:t>
            </w:r>
          </w:p>
        </w:tc>
        <w:tc>
          <w:tcPr>
            <w:tcW w:w="80" w:type="dxa"/>
            <w:vAlign w:val="bottom"/>
          </w:tcPr>
          <w:p>
            <w:pPr>
              <w:spacing w:after="0"/>
              <w:rPr>
                <w:sz w:val="21"/>
                <w:szCs w:val="21"/>
                <w:color w:val="auto"/>
              </w:rPr>
            </w:pPr>
          </w:p>
        </w:tc>
      </w:tr>
      <w:tr>
        <w:trPr>
          <w:trHeight w:val="26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Solutions Partner commissions</w:t>
            </w:r>
          </w:p>
        </w:tc>
        <w:tc>
          <w:tcPr>
            <w:tcW w:w="15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7,632</w:t>
            </w:r>
          </w:p>
        </w:tc>
        <w:tc>
          <w:tcPr>
            <w:tcW w:w="8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19,003</w:t>
            </w:r>
          </w:p>
        </w:tc>
        <w:tc>
          <w:tcPr>
            <w:tcW w:w="80" w:type="dxa"/>
            <w:vAlign w:val="bottom"/>
            <w:shd w:val="clear" w:color="auto" w:fill="CFF0FC"/>
          </w:tcPr>
          <w:p>
            <w:pPr>
              <w:spacing w:after="0"/>
              <w:rPr>
                <w:sz w:val="22"/>
                <w:szCs w:val="22"/>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5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13,130</w:t>
            </w:r>
          </w:p>
        </w:tc>
        <w:tc>
          <w:tcPr>
            <w:tcW w:w="80" w:type="dxa"/>
            <w:vAlign w:val="bottom"/>
          </w:tcPr>
          <w:p>
            <w:pPr>
              <w:spacing w:after="0"/>
              <w:rPr>
                <w:sz w:val="21"/>
                <w:szCs w:val="21"/>
                <w:color w:val="auto"/>
              </w:rPr>
            </w:pPr>
          </w:p>
        </w:tc>
      </w:tr>
      <w:tr>
        <w:trPr>
          <w:trHeight w:val="263"/>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acquired intangible asset</w:t>
            </w:r>
          </w:p>
        </w:tc>
        <w:tc>
          <w:tcPr>
            <w:tcW w:w="150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4"/>
        </w:trPr>
        <w:tc>
          <w:tcPr>
            <w:tcW w:w="4620" w:type="dxa"/>
            <w:vAlign w:val="bottom"/>
          </w:tcPr>
          <w:p>
            <w:pPr>
              <w:spacing w:after="0"/>
              <w:rPr>
                <w:sz w:val="21"/>
                <w:szCs w:val="21"/>
                <w:color w:val="auto"/>
              </w:rPr>
            </w:pPr>
          </w:p>
        </w:tc>
        <w:tc>
          <w:tcPr>
            <w:tcW w:w="1500" w:type="dxa"/>
            <w:vAlign w:val="bottom"/>
          </w:tcPr>
          <w:p>
            <w:pPr>
              <w:jc w:val="right"/>
              <w:ind w:right="13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50,717</w:t>
            </w:r>
          </w:p>
        </w:tc>
        <w:tc>
          <w:tcPr>
            <w:tcW w:w="640" w:type="dxa"/>
            <w:vAlign w:val="bottom"/>
            <w:gridSpan w:val="3"/>
          </w:tcPr>
          <w:p>
            <w:pPr>
              <w:jc w:val="right"/>
              <w:ind w:right="327"/>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144,606</w:t>
            </w:r>
          </w:p>
        </w:tc>
        <w:tc>
          <w:tcPr>
            <w:tcW w:w="80" w:type="dxa"/>
            <w:vAlign w:val="bottom"/>
          </w:tcPr>
          <w:p>
            <w:pPr>
              <w:spacing w:after="0"/>
              <w:rPr>
                <w:sz w:val="21"/>
                <w:szCs w:val="21"/>
                <w:color w:val="auto"/>
              </w:rPr>
            </w:pPr>
          </w:p>
        </w:tc>
      </w:tr>
      <w:tr>
        <w:trPr>
          <w:trHeight w:val="20"/>
        </w:trPr>
        <w:tc>
          <w:tcPr>
            <w:tcW w:w="46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-193675</wp:posOffset>
            </wp:positionV>
            <wp:extent cx="9461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20"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Employee-related costs increased as a result of increased headcount as we continue to expand our selling and marketing organizations to grow our customer base. Marketing programs increased due to the timing and size of certain marketing efforts as we continue to make investments in attracting new customers. Solutions Partner commissions increased as a result of increased revenue generated through our partners. Allocated overhead expenses increased due to expanding our leased space and infrastructure as we continue to grow our business and expand headcount. Amortization of acquired intangible assets increased due to the amortization of customer relationships associated with our acquisition of the Hustle in the first quarter of 2021.</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320"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Employee-related costs increased as a result of increased headcount as we continue to expand our selling and marketing organizations to grow our customer base. Marketing programs increased due to the timing and size of certain marketing efforts as we continue to make investments in attracting new customers. Solutions Partner commissions increased as a result of increased revenue generated through our partners. Allocated overhead expenses increased due to expanding our leased space and infrastructure as we continue to grow our business and expand headcount. Amortization of acquired intangible assets increased due to the amortization of customer relationships associated with our acquisition of the Hustle in the first quarter of 2021.</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w w:val="99"/>
              </w:rPr>
              <w:t>Ended September 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7"/>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5"/>
              </w:rPr>
              <w:t>$ Change</w:t>
            </w:r>
          </w:p>
        </w:tc>
        <w:tc>
          <w:tcPr>
            <w:tcW w:w="160" w:type="dxa"/>
            <w:vAlign w:val="bottom"/>
          </w:tcPr>
          <w:p>
            <w:pPr>
              <w:spacing w:after="0"/>
              <w:rPr>
                <w:sz w:val="17"/>
                <w:szCs w:val="17"/>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29"/>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36,027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27,488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8,539</w:t>
            </w:r>
          </w:p>
        </w:tc>
        <w:tc>
          <w:tcPr>
            <w:tcW w:w="142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31 %  $</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102,883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22,655</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28 %</w:t>
            </w:r>
          </w:p>
        </w:tc>
      </w:tr>
      <w:tr>
        <w:trPr>
          <w:trHeight w:val="210"/>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11 %</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12 %</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11 %</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13 %</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89"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The increase in general and administrative expense for the three and nine months ended September 30, 2021 compared to the same period in 2020 was primarily due to the following:</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2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48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8"/>
                <w:szCs w:val="18"/>
                <w:color w:val="auto"/>
              </w:rPr>
            </w:pPr>
          </w:p>
        </w:tc>
      </w:tr>
      <w:tr>
        <w:trPr>
          <w:trHeight w:val="196"/>
        </w:trPr>
        <w:tc>
          <w:tcPr>
            <w:tcW w:w="4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460" w:type="dxa"/>
            <w:vAlign w:val="bottom"/>
            <w:shd w:val="clear" w:color="auto" w:fill="CFF0FC"/>
          </w:tcPr>
          <w:p>
            <w:pPr>
              <w:jc w:val="right"/>
              <w:ind w:right="12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4,866</w:t>
            </w:r>
          </w:p>
        </w:tc>
        <w:tc>
          <w:tcPr>
            <w:tcW w:w="10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11,083</w:t>
            </w:r>
          </w:p>
        </w:tc>
        <w:tc>
          <w:tcPr>
            <w:tcW w:w="80" w:type="dxa"/>
            <w:vAlign w:val="bottom"/>
            <w:shd w:val="clear" w:color="auto" w:fill="CFF0FC"/>
          </w:tcPr>
          <w:p>
            <w:pPr>
              <w:spacing w:after="0"/>
              <w:rPr>
                <w:sz w:val="22"/>
                <w:szCs w:val="22"/>
                <w:color w:val="auto"/>
              </w:rPr>
            </w:pPr>
          </w:p>
        </w:tc>
      </w:t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4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1,964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6,641</w:t>
            </w:r>
          </w:p>
        </w:tc>
        <w:tc>
          <w:tcPr>
            <w:tcW w:w="80" w:type="dxa"/>
            <w:vAlign w:val="bottom"/>
          </w:tcPr>
          <w:p>
            <w:pPr>
              <w:spacing w:after="0"/>
              <w:rPr>
                <w:sz w:val="21"/>
                <w:szCs w:val="21"/>
                <w:color w:val="auto"/>
              </w:rPr>
            </w:pPr>
          </w:p>
        </w:tc>
      </w:tr>
      <w:tr>
        <w:trPr>
          <w:trHeight w:val="263"/>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credit card fees</w:t>
            </w:r>
          </w:p>
        </w:tc>
        <w:tc>
          <w:tcPr>
            <w:tcW w:w="146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1,709</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4,931</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70"/>
        </w:trPr>
        <w:tc>
          <w:tcPr>
            <w:tcW w:w="4840" w:type="dxa"/>
            <w:vAlign w:val="bottom"/>
          </w:tcPr>
          <w:p>
            <w:pPr>
              <w:spacing w:after="0"/>
              <w:rPr>
                <w:sz w:val="23"/>
                <w:szCs w:val="23"/>
                <w:color w:val="auto"/>
              </w:rPr>
            </w:pPr>
          </w:p>
        </w:tc>
        <w:tc>
          <w:tcPr>
            <w:tcW w:w="1460" w:type="dxa"/>
            <w:vAlign w:val="bottom"/>
          </w:tcPr>
          <w:p>
            <w:pPr>
              <w:jc w:val="right"/>
              <w:ind w:right="127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8,539</w:t>
            </w:r>
          </w:p>
        </w:tc>
        <w:tc>
          <w:tcPr>
            <w:tcW w:w="6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22,655</w:t>
            </w:r>
          </w:p>
        </w:tc>
        <w:tc>
          <w:tcPr>
            <w:tcW w:w="80" w:type="dxa"/>
            <w:vAlign w:val="bottom"/>
          </w:tcPr>
          <w:p>
            <w:pPr>
              <w:spacing w:after="0"/>
              <w:rPr>
                <w:sz w:val="23"/>
                <w:szCs w:val="23"/>
                <w:color w:val="auto"/>
              </w:rPr>
            </w:pPr>
          </w:p>
        </w:tc>
      </w:tr>
      <w:tr>
        <w:trPr>
          <w:trHeight w:val="20"/>
        </w:trPr>
        <w:tc>
          <w:tcPr>
            <w:tcW w:w="48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-210820</wp:posOffset>
            </wp:positionV>
            <wp:extent cx="11112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-210820</wp:posOffset>
            </wp:positionV>
            <wp:extent cx="5143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20" w:lineRule="exact"/>
        <w:rPr>
          <w:sz w:val="20"/>
          <w:szCs w:val="20"/>
          <w:color w:val="auto"/>
        </w:rPr>
      </w:pPr>
    </w:p>
    <w:p>
      <w:pPr>
        <w:jc w:val="both"/>
        <w:ind w:right="60" w:firstLine="509"/>
        <w:spacing w:after="0" w:line="329" w:lineRule="auto"/>
        <w:rPr>
          <w:sz w:val="20"/>
          <w:szCs w:val="20"/>
          <w:color w:val="auto"/>
        </w:rPr>
      </w:pPr>
      <w:r>
        <w:rPr>
          <w:rFonts w:ascii="Arial" w:cs="Arial" w:eastAsia="Arial" w:hAnsi="Arial"/>
          <w:sz w:val="16"/>
          <w:szCs w:val="16"/>
          <w:color w:val="auto"/>
        </w:rPr>
        <w:t>Employee-related costs increased as a result of increased headcount as we continue to grow our business and require additional personnel to support our expanded operations.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i w:val="1"/>
          <w:iCs w:val="1"/>
          <w:u w:val="single" w:color="auto"/>
          <w:color w:val="auto"/>
        </w:rPr>
        <w:t>Nine month change</w:t>
      </w:r>
    </w:p>
    <w:p>
      <w:pPr>
        <w:spacing w:after="0" w:line="320" w:lineRule="exact"/>
        <w:rPr>
          <w:sz w:val="20"/>
          <w:szCs w:val="20"/>
          <w:color w:val="auto"/>
        </w:rPr>
      </w:pPr>
    </w:p>
    <w:p>
      <w:pPr>
        <w:jc w:val="both"/>
        <w:ind w:right="60" w:firstLine="509"/>
        <w:spacing w:after="0" w:line="329" w:lineRule="auto"/>
        <w:rPr>
          <w:sz w:val="20"/>
          <w:szCs w:val="20"/>
          <w:color w:val="auto"/>
        </w:rPr>
      </w:pPr>
      <w:r>
        <w:rPr>
          <w:rFonts w:ascii="Arial" w:cs="Arial" w:eastAsia="Arial" w:hAnsi="Arial"/>
          <w:sz w:val="16"/>
          <w:szCs w:val="16"/>
          <w:color w:val="auto"/>
        </w:rPr>
        <w:t>Employee-related costs increased as a result of increased headcount as we continue to grow our business and require additional personnel to support our expanded operations.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2"/>
        </w:trPr>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Ended September 30,</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Ended September 30,</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97"/>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5"/>
              </w:rPr>
              <w:t>$ Change</w:t>
            </w:r>
          </w:p>
        </w:tc>
        <w:tc>
          <w:tcPr>
            <w:tcW w:w="140" w:type="dxa"/>
            <w:vAlign w:val="bottom"/>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7"/>
                <w:szCs w:val="17"/>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 Change</w:t>
            </w:r>
          </w:p>
        </w:tc>
        <w:tc>
          <w:tcPr>
            <w:tcW w:w="320" w:type="dxa"/>
            <w:vAlign w:val="bottom"/>
          </w:tcPr>
          <w:p>
            <w:pPr>
              <w:spacing w:after="0"/>
              <w:rPr>
                <w:sz w:val="17"/>
                <w:szCs w:val="17"/>
                <w:color w:val="auto"/>
              </w:rPr>
            </w:pPr>
          </w:p>
        </w:tc>
      </w:tr>
      <w:tr>
        <w:trPr>
          <w:trHeight w:val="229"/>
        </w:trPr>
        <w:tc>
          <w:tcPr>
            <w:tcW w:w="2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(728 )</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(76 )%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(6,104 )</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(85 )%</w:t>
            </w:r>
          </w:p>
        </w:tc>
      </w:tr>
      <w:tr>
        <w:trPr>
          <w:trHeight w:val="220"/>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9"/>
        </w:trPr>
        <w:tc>
          <w:tcPr>
            <w:tcW w:w="2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(7,798 )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(7,062 )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w:t>
            </w: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(24,376 )</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93"/>
              </w:rPr>
              <w:t>(29,823 )</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(5,447 )</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(18 )%</w:t>
            </w:r>
          </w:p>
        </w:tc>
      </w:tr>
      <w:tr>
        <w:trPr>
          <w:trHeight w:val="220"/>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(2 )%</w:t>
            </w: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(3 )%</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(3 )%</w:t>
            </w: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9"/>
        </w:trPr>
        <w:tc>
          <w:tcPr>
            <w:tcW w:w="23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9,877</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(7 )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9,884</w:t>
            </w: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141200 %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11,064</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(1,152 )</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12,216</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1060 %</w:t>
            </w:r>
          </w:p>
        </w:tc>
      </w:tr>
      <w:tr>
        <w:trPr>
          <w:trHeight w:val="210"/>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(2 )%</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1 %</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4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39" w:lineRule="exact"/>
        <w:rPr>
          <w:sz w:val="20"/>
          <w:szCs w:val="20"/>
          <w:color w:val="auto"/>
        </w:rPr>
      </w:pPr>
    </w:p>
    <w:p>
      <w:pPr>
        <w:ind w:right="100" w:firstLine="544"/>
        <w:spacing w:after="0" w:line="293"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decrease during the three and nine months ended September 30, 2021 is due to a decrease in yields on our investment balances.</w:t>
      </w:r>
    </w:p>
    <w:p>
      <w:pPr>
        <w:spacing w:after="0" w:line="170" w:lineRule="exact"/>
        <w:rPr>
          <w:sz w:val="20"/>
          <w:szCs w:val="20"/>
          <w:color w:val="auto"/>
        </w:rPr>
      </w:pPr>
    </w:p>
    <w:p>
      <w:pPr>
        <w:ind w:right="40" w:firstLine="544"/>
        <w:spacing w:after="0" w:line="279" w:lineRule="auto"/>
        <w:rPr>
          <w:sz w:val="20"/>
          <w:szCs w:val="20"/>
          <w:color w:val="auto"/>
        </w:rPr>
      </w:pPr>
      <w:r>
        <w:rPr>
          <w:rFonts w:ascii="Arial" w:cs="Arial" w:eastAsia="Arial" w:hAnsi="Arial"/>
          <w:sz w:val="18"/>
          <w:szCs w:val="18"/>
          <w:color w:val="auto"/>
        </w:rPr>
        <w:t>Interest expense primarily consists of amortization of the debt discount and issuance costs and contractual interest expense related to our Notes, and the loss on early extinguishment of our 2022 Notes. The change in interest expense for the three and nine months ended September 30, 2021 compared to the same period in 2020 was primarily due to the following:</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Three Months</w:t>
            </w:r>
          </w:p>
        </w:tc>
        <w:tc>
          <w:tcPr>
            <w:tcW w:w="160" w:type="dxa"/>
            <w:vAlign w:val="bottom"/>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2"/>
              </w:rPr>
              <w:t>Nine Months</w:t>
            </w:r>
          </w:p>
        </w:tc>
        <w:tc>
          <w:tcPr>
            <w:tcW w:w="100" w:type="dxa"/>
            <w:vAlign w:val="bottom"/>
          </w:tcPr>
          <w:p>
            <w:pPr>
              <w:spacing w:after="0"/>
              <w:rPr>
                <w:sz w:val="18"/>
                <w:szCs w:val="18"/>
                <w:color w:val="auto"/>
              </w:rPr>
            </w:pPr>
          </w:p>
        </w:tc>
      </w:tr>
      <w:tr>
        <w:trPr>
          <w:trHeight w:val="256"/>
        </w:trPr>
        <w:tc>
          <w:tcPr>
            <w:tcW w:w="56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2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5680" w:type="dxa"/>
            <w:vAlign w:val="bottom"/>
          </w:tcPr>
          <w:p>
            <w:pPr>
              <w:spacing w:after="0"/>
              <w:rPr>
                <w:sz w:val="20"/>
                <w:szCs w:val="20"/>
                <w:color w:val="auto"/>
              </w:rPr>
            </w:pPr>
            <w:r>
              <w:rPr>
                <w:rFonts w:ascii="Arial" w:cs="Arial" w:eastAsia="Arial" w:hAnsi="Arial"/>
                <w:sz w:val="18"/>
                <w:szCs w:val="18"/>
                <w:color w:val="auto"/>
              </w:rPr>
              <w:t>Amortization of the debt discount and issuance costs and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(995 )</w:t>
            </w:r>
          </w:p>
        </w:tc>
        <w:tc>
          <w:tcPr>
            <w:tcW w:w="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r>
      <w:tr>
        <w:trPr>
          <w:trHeight w:val="237"/>
        </w:trPr>
        <w:tc>
          <w:tcPr>
            <w:tcW w:w="5680" w:type="dxa"/>
            <w:vAlign w:val="bottom"/>
          </w:tcPr>
          <w:p>
            <w:pPr>
              <w:ind w:left="100"/>
              <w:spacing w:after="0"/>
              <w:rPr>
                <w:sz w:val="20"/>
                <w:szCs w:val="20"/>
                <w:color w:val="auto"/>
              </w:rPr>
            </w:pPr>
            <w:r>
              <w:rPr>
                <w:rFonts w:ascii="Arial" w:cs="Arial" w:eastAsia="Arial" w:hAnsi="Arial"/>
                <w:sz w:val="18"/>
                <w:szCs w:val="18"/>
                <w:color w:val="auto"/>
              </w:rPr>
              <w:t>contractual interest expense related to our Notes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Loss on early extinguishment of 2022 Convertible Notes</w:t>
            </w: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FF0FC"/>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(5,670 )</w:t>
            </w:r>
          </w:p>
        </w:tc>
      </w:tr>
      <w:tr>
        <w:trPr>
          <w:trHeight w:val="20"/>
        </w:trPr>
        <w:tc>
          <w:tcPr>
            <w:tcW w:w="5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680" w:type="dxa"/>
            <w:vAlign w:val="bottom"/>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(5,447 )</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-193675</wp:posOffset>
            </wp:positionV>
            <wp:extent cx="10287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right="420" w:firstLine="544"/>
        <w:spacing w:after="0" w:line="279" w:lineRule="auto"/>
        <w:rPr>
          <w:sz w:val="20"/>
          <w:szCs w:val="20"/>
          <w:color w:val="auto"/>
        </w:rPr>
      </w:pPr>
      <w:r>
        <w:rPr>
          <w:rFonts w:ascii="Arial" w:cs="Arial" w:eastAsia="Arial" w:hAnsi="Arial"/>
          <w:sz w:val="18"/>
          <w:szCs w:val="18"/>
          <w:color w:val="auto"/>
        </w:rPr>
        <w:t>Other income (expense) primarily consists of the impact of foreign currency transaction gains and losses associated with monetary assets and liabilities, any gains or losses on our strategic investments, and net earnings and losses on our equity method investment. The change in other expense during the three and nine months ended September 30, 2021 is primarily due to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w:t>
            </w:r>
          </w:p>
        </w:tc>
        <w:tc>
          <w:tcPr>
            <w:tcW w:w="2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56"/>
        </w:trPr>
        <w:tc>
          <w:tcPr>
            <w:tcW w:w="1140" w:type="dxa"/>
            <w:vAlign w:val="bottom"/>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20" w:type="dxa"/>
            <w:vAlign w:val="bottom"/>
            <w:gridSpan w:val="8"/>
            <w:shd w:val="clear" w:color="auto" w:fill="CFF0FC"/>
          </w:tcPr>
          <w:p>
            <w:pPr>
              <w:jc w:val="right"/>
              <w:ind w:right="480"/>
              <w:spacing w:after="0"/>
              <w:rPr>
                <w:sz w:val="20"/>
                <w:szCs w:val="20"/>
                <w:color w:val="auto"/>
              </w:rPr>
            </w:pPr>
            <w:r>
              <w:rPr>
                <w:rFonts w:ascii="Arial" w:cs="Arial" w:eastAsia="Arial" w:hAnsi="Arial"/>
                <w:sz w:val="14"/>
                <w:szCs w:val="14"/>
                <w:b w:val="1"/>
                <w:bCs w:val="1"/>
                <w:color w:val="auto"/>
                <w:w w:val="95"/>
              </w:rPr>
              <w:t>(in thousands)</w:t>
            </w:r>
          </w:p>
        </w:tc>
        <w:tc>
          <w:tcPr>
            <w:tcW w:w="720" w:type="dxa"/>
            <w:vAlign w:val="bottom"/>
            <w:shd w:val="clear" w:color="auto" w:fill="CFF0FC"/>
          </w:tcPr>
          <w:p>
            <w:pPr>
              <w:spacing w:after="0"/>
              <w:rPr>
                <w:sz w:val="22"/>
                <w:szCs w:val="22"/>
                <w:color w:val="auto"/>
              </w:rPr>
            </w:pPr>
          </w:p>
        </w:tc>
        <w:tc>
          <w:tcPr>
            <w:tcW w:w="100" w:type="dxa"/>
            <w:vAlign w:val="bottom"/>
            <w:tcBorders>
              <w:right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auto"/>
                <w:w w:val="94"/>
              </w:rPr>
              <w:t>Foreign currency gains and losses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(695 )</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640" w:type="dxa"/>
            <w:vAlign w:val="bottom"/>
            <w:gridSpan w:val="9"/>
            <w:shd w:val="clear" w:color="auto" w:fill="CFF0FC"/>
          </w:tcPr>
          <w:p>
            <w:pPr>
              <w:spacing w:after="0"/>
              <w:rPr>
                <w:sz w:val="20"/>
                <w:szCs w:val="20"/>
                <w:color w:val="auto"/>
              </w:rPr>
            </w:pPr>
            <w:r>
              <w:rPr>
                <w:rFonts w:ascii="Arial" w:cs="Arial" w:eastAsia="Arial" w:hAnsi="Arial"/>
                <w:sz w:val="18"/>
                <w:szCs w:val="18"/>
                <w:color w:val="auto"/>
              </w:rPr>
              <w:t>Gain on strategic investments (Note 4)</w:t>
            </w:r>
          </w:p>
        </w:tc>
        <w:tc>
          <w:tcPr>
            <w:tcW w:w="8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10,717</w:t>
            </w:r>
          </w:p>
        </w:tc>
        <w:tc>
          <w:tcPr>
            <w:tcW w:w="120" w:type="dxa"/>
            <w:vAlign w:val="bottom"/>
            <w:tcBorders>
              <w:right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11,739</w:t>
            </w:r>
          </w:p>
        </w:tc>
        <w:tc>
          <w:tcPr>
            <w:tcW w:w="100" w:type="dxa"/>
            <w:vAlign w:val="bottom"/>
            <w:tcBorders>
              <w:right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640" w:type="dxa"/>
            <w:vAlign w:val="bottom"/>
            <w:gridSpan w:val="9"/>
          </w:tcPr>
          <w:p>
            <w:pPr>
              <w:spacing w:after="0"/>
              <w:rPr>
                <w:sz w:val="20"/>
                <w:szCs w:val="20"/>
                <w:color w:val="auto"/>
              </w:rPr>
            </w:pPr>
            <w:r>
              <w:rPr>
                <w:rFonts w:ascii="Arial" w:cs="Arial" w:eastAsia="Arial" w:hAnsi="Arial"/>
                <w:sz w:val="18"/>
                <w:szCs w:val="18"/>
                <w:color w:val="auto"/>
              </w:rPr>
              <w:t>Loss on equity method investment (Note 5)</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(138 )</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90"/>
        </w:trPr>
        <w:tc>
          <w:tcPr>
            <w:tcW w:w="1140" w:type="dxa"/>
            <w:vAlign w:val="bottom"/>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spacing w:after="0"/>
              <w:rPr>
                <w:sz w:val="24"/>
                <w:szCs w:val="24"/>
                <w:color w:val="auto"/>
              </w:rPr>
            </w:pP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9,884</w:t>
            </w:r>
          </w:p>
        </w:tc>
        <w:tc>
          <w:tcPr>
            <w:tcW w:w="120" w:type="dxa"/>
            <w:vAlign w:val="bottom"/>
            <w:tcBorders>
              <w:bottom w:val="single" w:sz="8" w:color="CFF0FC"/>
              <w:right w:val="single" w:sz="8" w:color="CFF0FC"/>
            </w:tcBorders>
            <w:shd w:val="clear" w:color="auto" w:fill="CFF0FC"/>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12,216</w:t>
            </w:r>
          </w:p>
        </w:tc>
        <w:tc>
          <w:tcPr>
            <w:tcW w:w="100" w:type="dxa"/>
            <w:vAlign w:val="bottom"/>
            <w:tcBorders>
              <w:bottom w:val="single" w:sz="8" w:color="CFF0FC"/>
              <w:right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0"/>
        </w:trPr>
        <w:tc>
          <w:tcPr>
            <w:tcW w:w="2320" w:type="dxa"/>
            <w:vAlign w:val="bottom"/>
            <w:gridSpan w:val="3"/>
          </w:tcPr>
          <w:p>
            <w:pPr>
              <w:ind w:left="560"/>
              <w:spacing w:after="0"/>
              <w:rPr>
                <w:sz w:val="20"/>
                <w:szCs w:val="20"/>
                <w:color w:val="auto"/>
              </w:rPr>
            </w:pPr>
            <w:r>
              <w:rPr>
                <w:rFonts w:ascii="Arial" w:cs="Arial" w:eastAsia="Arial" w:hAnsi="Arial"/>
                <w:sz w:val="18"/>
                <w:szCs w:val="18"/>
                <w:b w:val="1"/>
                <w:bCs w:val="1"/>
                <w:i w:val="1"/>
                <w:iCs w:val="1"/>
                <w:color w:val="auto"/>
              </w:rPr>
              <w:t>Income tax expense</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09"/>
        </w:trPr>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Nine Months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2"/>
        </w:trPr>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Ended September 30,</w:t>
            </w:r>
          </w:p>
        </w:tc>
        <w:tc>
          <w:tcPr>
            <w:tcW w:w="44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Ended September 30,</w:t>
            </w:r>
          </w:p>
        </w:tc>
        <w:tc>
          <w:tcPr>
            <w:tcW w:w="1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547"/>
        </w:trPr>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240" w:type="dxa"/>
            <w:vAlign w:val="bottom"/>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24"/>
                <w:szCs w:val="2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24"/>
                <w:szCs w:val="24"/>
                <w:color w:val="auto"/>
              </w:rPr>
            </w:pPr>
          </w:p>
        </w:tc>
      </w:tr>
      <w:tr>
        <w:trPr>
          <w:trHeight w:val="256"/>
        </w:trPr>
        <w:tc>
          <w:tcPr>
            <w:tcW w:w="23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(1,117 )   $</w:t>
            </w: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(926 )   $</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(191 )</w:t>
            </w:r>
          </w:p>
        </w:tc>
        <w:tc>
          <w:tcPr>
            <w:tcW w:w="13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21 % $</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(2,639 )</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22"/>
                <w:szCs w:val="22"/>
                <w:color w:val="auto"/>
              </w:rPr>
            </w:pPr>
          </w:p>
        </w:tc>
        <w:tc>
          <w:tcPr>
            <w:tcW w:w="8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w w:val="97"/>
              </w:rPr>
              <w:t>(2,603 )  $</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(36 )</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1 %</w:t>
            </w:r>
          </w:p>
        </w:tc>
      </w:tr>
      <w:tr>
        <w:trPr>
          <w:trHeight w:val="243"/>
        </w:trPr>
        <w:tc>
          <w:tcPr>
            <w:tcW w:w="2320" w:type="dxa"/>
            <w:vAlign w:val="bottom"/>
            <w:gridSpan w:val="3"/>
          </w:tcPr>
          <w:p>
            <w:pPr>
              <w:ind w:left="20"/>
              <w:spacing w:after="0"/>
              <w:rPr>
                <w:sz w:val="20"/>
                <w:szCs w:val="20"/>
                <w:color w:val="auto"/>
              </w:rPr>
            </w:pPr>
            <w:r>
              <w:rPr>
                <w:rFonts w:ascii="Arial" w:cs="Arial" w:eastAsia="Arial" w:hAnsi="Arial"/>
                <w:sz w:val="18"/>
                <w:szCs w:val="18"/>
                <w:color w:val="auto"/>
              </w:rPr>
              <w:t>Effective tax rate</w:t>
            </w:r>
          </w:p>
        </w:tc>
        <w:tc>
          <w:tcPr>
            <w:tcW w:w="2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9 %</w:t>
            </w:r>
          </w:p>
        </w:tc>
        <w:tc>
          <w:tcPr>
            <w:tcW w:w="2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4"/>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-1447800</wp:posOffset>
            </wp:positionV>
            <wp:extent cx="1028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-1430655</wp:posOffset>
            </wp:positionV>
            <wp:extent cx="1028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-1447800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-1430655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ind w:right="80" w:firstLine="749"/>
        <w:spacing w:after="0" w:line="311" w:lineRule="auto"/>
        <w:rPr>
          <w:sz w:val="20"/>
          <w:szCs w:val="20"/>
          <w:color w:val="auto"/>
        </w:rPr>
      </w:pPr>
      <w:r>
        <w:rPr>
          <w:rFonts w:ascii="Arial" w:cs="Arial" w:eastAsia="Arial" w:hAnsi="Arial"/>
          <w:sz w:val="16"/>
          <w:szCs w:val="16"/>
          <w:color w:val="auto"/>
        </w:rPr>
        <w:t>Income tax expense consists of current and deferred taxes for U.S. and foreign income taxes. The increase in the income tax expense in the three months ended September 30, 2021 compared to the same period in 2020 was primarily driven by increased income in jurisdictions outside of the United States that are profitable from a tax perspective. The increase in the nine months ended September 30, 2021 compared to the same period in 2020 was primarily driven by increased income in jurisdictions outside of the United States that are profitable from a tax perspective, offset by a non-recurring income tax benefit relating to the release of a portion of the Company’s valuation allowance. The release was due to recording net deferred tax liabilities related to the Hustle acquisition, which are a source of income to support the realizability of the Company’s pre-existing U.S. deferred tax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offerings.</w:t>
      </w:r>
    </w:p>
    <w:p>
      <w:pPr>
        <w:spacing w:after="0" w:line="183" w:lineRule="exact"/>
        <w:rPr>
          <w:sz w:val="20"/>
          <w:szCs w:val="20"/>
          <w:color w:val="auto"/>
        </w:rPr>
      </w:pPr>
    </w:p>
    <w:p>
      <w:pPr>
        <w:jc w:val="both"/>
        <w:ind w:right="180" w:firstLine="509"/>
        <w:spacing w:after="0" w:line="268"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nine months ended September 30, 2021 and 2020.</w:t>
      </w: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280" w:type="dxa"/>
            <w:vAlign w:val="bottom"/>
            <w:tcBorders>
              <w:bottom w:val="single" w:sz="8" w:color="auto"/>
            </w:tcBorders>
            <w:gridSpan w:val="4"/>
          </w:tcPr>
          <w:p>
            <w:pPr>
              <w:jc w:val="center"/>
              <w:ind w:left="642"/>
              <w:spacing w:after="0"/>
              <w:rPr>
                <w:sz w:val="20"/>
                <w:szCs w:val="20"/>
                <w:color w:val="auto"/>
              </w:rPr>
            </w:pPr>
            <w:r>
              <w:rPr>
                <w:rFonts w:ascii="Arial" w:cs="Arial" w:eastAsia="Arial" w:hAnsi="Arial"/>
                <w:sz w:val="14"/>
                <w:szCs w:val="14"/>
                <w:b w:val="1"/>
                <w:bCs w:val="1"/>
                <w:color w:val="auto"/>
                <w:w w:val="92"/>
              </w:rPr>
              <w:t>Nine Months ended 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1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40" w:type="dxa"/>
            <w:vAlign w:val="bottom"/>
            <w:gridSpan w:val="3"/>
          </w:tcPr>
          <w:p>
            <w:pPr>
              <w:jc w:val="center"/>
              <w:ind w:right="339"/>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FF0FC"/>
          </w:tcPr>
          <w:p>
            <w:pPr>
              <w:jc w:val="right"/>
              <w:ind w:right="96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288,334</w:t>
            </w: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124,895</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861,244</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986,442</w:t>
            </w:r>
          </w:p>
        </w:tc>
        <w:tc>
          <w:tcPr>
            <w:tcW w:w="100" w:type="dxa"/>
            <w:vAlign w:val="bottom"/>
          </w:tcPr>
          <w:p>
            <w:pPr>
              <w:spacing w:after="0"/>
              <w:rPr>
                <w:sz w:val="21"/>
                <w:szCs w:val="21"/>
                <w:color w:val="auto"/>
              </w:rPr>
            </w:pPr>
          </w:p>
        </w:tc>
      </w:tr>
      <w:tr>
        <w:trPr>
          <w:trHeight w:val="26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and cash equivalents provided by operating activities</w:t>
            </w:r>
          </w:p>
        </w:tc>
        <w:tc>
          <w:tcPr>
            <w:tcW w:w="11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143,544</w:t>
            </w: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27,988</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Net cash and cash equivalents used in investing activities</w:t>
            </w:r>
          </w:p>
        </w:tc>
        <w:tc>
          <w:tcPr>
            <w:tcW w:w="1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(169,704 )</w:t>
            </w:r>
          </w:p>
        </w:tc>
        <w:tc>
          <w:tcPr>
            <w:tcW w:w="1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(398,637 )</w:t>
            </w:r>
          </w:p>
        </w:tc>
      </w:tr>
      <w:tr>
        <w:trPr>
          <w:trHeight w:val="26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and cash equivalents (used in) provided by financing activities</w:t>
            </w:r>
          </w:p>
        </w:tc>
        <w:tc>
          <w:tcPr>
            <w:tcW w:w="11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(57,303 )</w:t>
            </w:r>
          </w:p>
        </w:tc>
        <w:tc>
          <w:tcPr>
            <w:tcW w:w="112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217,697</w:t>
            </w:r>
          </w:p>
        </w:tc>
        <w:tc>
          <w:tcPr>
            <w:tcW w:w="100" w:type="dxa"/>
            <w:vAlign w:val="bottom"/>
            <w:shd w:val="clear" w:color="auto" w:fill="CFF0FC"/>
          </w:tcPr>
          <w:p>
            <w:pPr>
              <w:spacing w:after="0"/>
              <w:rPr>
                <w:sz w:val="22"/>
                <w:szCs w:val="22"/>
                <w:color w:val="auto"/>
              </w:rPr>
            </w:pPr>
          </w:p>
        </w:tc>
      </w:tr>
    </w:tbl>
    <w:p>
      <w:pPr>
        <w:spacing w:after="0" w:line="296" w:lineRule="exact"/>
        <w:rPr>
          <w:sz w:val="20"/>
          <w:szCs w:val="20"/>
          <w:color w:val="auto"/>
        </w:rPr>
      </w:pPr>
    </w:p>
    <w:p>
      <w:pPr>
        <w:ind w:right="280" w:firstLine="509"/>
        <w:spacing w:after="0" w:line="319" w:lineRule="auto"/>
        <w:rPr>
          <w:sz w:val="20"/>
          <w:szCs w:val="20"/>
          <w:color w:val="auto"/>
        </w:rPr>
      </w:pPr>
      <w:r>
        <w:rPr>
          <w:rFonts w:ascii="Arial" w:cs="Arial" w:eastAsia="Arial" w:hAnsi="Arial"/>
          <w:sz w:val="16"/>
          <w:szCs w:val="16"/>
          <w:color w:val="auto"/>
        </w:rPr>
        <w:t>Our cash and cash equivalents at September 30, 2021 were held for working capital purposes. At September 30, 2021, $119.0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250"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Cash from operations could be affected by various risks and uncertainties, including, but not limited to, the effects of the pandemic and other risks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Operating Activities</w:t>
      </w:r>
    </w:p>
    <w:p>
      <w:pPr>
        <w:spacing w:after="0" w:line="131"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and cash equivalents provided by operating activities during the nine months ended September 30, 2021 primarily reflected our net loss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$61.5 million, the portion of the repayment of the 2022 Notes attributable to the debt discount of $24.5 million, benefit from deferred income taxes of $1.3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gain on termination of operating leases of $4.3 million, and gains on strategic investments of $11.7 million, offset by non-cash expenses that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included $33.2 million of depreciation and amortization, $120.8 million in stock-based compensation, $2.9 million amortization of bond discounts, $18.1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 of amortization of debt discount and issuance costs, loss on disposal of fixed assets of $6.5 million, and $4.8 million of loss on early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extinguishment of 2022 Notes. Working capital sources of cash and cash equivalents primarily included a $66.8 million increase in deferred revenue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primarily resulting from the growth in the number of customers invoiced during the period, a $26.9 million increase in right-of-use asset, and $38.2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 in accrued expenses and other liabilities. These sources of cash and cash equivalents were offset by a $12.0 million increase in accounts payable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related to timing of bill payments, a $7.1 million increase in prepaid expenses and other assets, a $26.4 million decrease in operating lease liabilities,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$24.4 million increase in deferred commissions, and a $2.2 million increase in accounts receivable as a result of increased billings to customers consistent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the overall growth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ind w:firstLine="544"/>
        <w:spacing w:after="0" w:line="269" w:lineRule="auto"/>
        <w:rPr>
          <w:sz w:val="20"/>
          <w:szCs w:val="20"/>
          <w:color w:val="auto"/>
        </w:rPr>
      </w:pPr>
      <w:r>
        <w:rPr>
          <w:rFonts w:ascii="Arial" w:cs="Arial" w:eastAsia="Arial" w:hAnsi="Arial"/>
          <w:sz w:val="18"/>
          <w:szCs w:val="18"/>
          <w:color w:val="auto"/>
        </w:rPr>
        <w:t>Net cash and cash equivalents provided by operating activities during the nine months ended September 30, 2020, primarily reflected our net loss of $69.6 million, the portion of the repayment of the 2022 Notes attributable to the debt discount of $48.7 million, benefit for deferred income taxes of $0.7 million and accretion of bond discounts of $3.7 million, offset by non-cash expenses that included $27.1 million of depreciation and amortization, $90.0 million in stock-based compensation, $10.5 million of loss on early extinguishment of 2022 Notes and $18.2 million of amortization of debt discount and issuance costs. Working capital sources of cash and cash equivalents included a $21.5 million increase in deferred revenue primarily resulting from the growth in the number of customers invoiced during the period, a $22.6 million increase in right-of-use assets, a $3.1 million increase in accounts payable related to timing of bill payments and an $13.8 million increase in accrued expenses and other liabilities. These sources of cash and cash equivalents were offset by a $22.6 million increase in prepaid expenses and other assets, a $21.6 million decrease in operating lease liabilities, and a $11.4 million increase in deferred commissions.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Used in Investing Activities</w:t>
      </w:r>
    </w:p>
    <w:p>
      <w:pPr>
        <w:spacing w:after="0" w:line="131" w:lineRule="exact"/>
        <w:rPr>
          <w:sz w:val="20"/>
          <w:szCs w:val="20"/>
          <w:color w:val="auto"/>
        </w:rPr>
      </w:pPr>
    </w:p>
    <w:p>
      <w:pPr>
        <w:ind w:right="40" w:firstLine="544"/>
        <w:spacing w:after="0" w:line="329" w:lineRule="auto"/>
        <w:rPr>
          <w:sz w:val="20"/>
          <w:szCs w:val="20"/>
          <w:color w:val="auto"/>
        </w:rPr>
      </w:pPr>
      <w:r>
        <w:rPr>
          <w:rFonts w:ascii="Arial" w:cs="Arial" w:eastAsia="Arial" w:hAnsi="Arial"/>
          <w:sz w:val="16"/>
          <w:szCs w:val="16"/>
          <w:color w:val="auto"/>
        </w:rPr>
        <w:t>Our investing activities have consisted primarily of purchases, maturities and sale of investments, property and equipment purchases, an acquisition of a business, purchases of strategic investments, an equity method investment and capitalization of software development costs. Capitalized software development costs are related to new products or improvements to our existing software platform that expands the functionality for our customers.</w:t>
      </w:r>
    </w:p>
    <w:p>
      <w:pPr>
        <w:spacing w:after="0" w:line="148" w:lineRule="exact"/>
        <w:rPr>
          <w:sz w:val="20"/>
          <w:szCs w:val="20"/>
          <w:color w:val="auto"/>
        </w:rPr>
      </w:pPr>
    </w:p>
    <w:p>
      <w:pPr>
        <w:ind w:right="80" w:firstLine="544"/>
        <w:spacing w:after="0" w:line="275" w:lineRule="auto"/>
        <w:rPr>
          <w:sz w:val="20"/>
          <w:szCs w:val="20"/>
          <w:color w:val="auto"/>
        </w:rPr>
      </w:pPr>
      <w:r>
        <w:rPr>
          <w:rFonts w:ascii="Arial" w:cs="Arial" w:eastAsia="Arial" w:hAnsi="Arial"/>
          <w:sz w:val="18"/>
          <w:szCs w:val="18"/>
          <w:color w:val="auto"/>
        </w:rPr>
        <w:t>Net cash and cash equivalents used in investing activities during the nine months ended September 30, 2021 consisted primarily of $1.0 billion purchases of investments, $17.4 million of purchased property and equipment, a $16.8 million business acquisition, $10.2 million of purchases of strategic investments, $3.1 million in an equity method investment and $25.6 million of capitalized software development costs. These uses of cash were offset by $940.8 million received related to the maturity of investments.</w:t>
      </w:r>
    </w:p>
    <w:p>
      <w:pPr>
        <w:spacing w:after="0" w:line="185" w:lineRule="exact"/>
        <w:rPr>
          <w:sz w:val="20"/>
          <w:szCs w:val="20"/>
          <w:color w:val="auto"/>
        </w:rPr>
      </w:pPr>
    </w:p>
    <w:p>
      <w:pPr>
        <w:ind w:right="200" w:firstLine="544"/>
        <w:spacing w:after="0" w:line="275" w:lineRule="auto"/>
        <w:rPr>
          <w:sz w:val="20"/>
          <w:szCs w:val="20"/>
          <w:color w:val="auto"/>
        </w:rPr>
      </w:pPr>
      <w:r>
        <w:rPr>
          <w:rFonts w:ascii="Arial" w:cs="Arial" w:eastAsia="Arial" w:hAnsi="Arial"/>
          <w:sz w:val="18"/>
          <w:szCs w:val="18"/>
          <w:color w:val="auto"/>
        </w:rPr>
        <w:t>Net cash and cash equivalents used in investing activities during the nine months ended September 30, 2020 consisted primarily of $1.4 billion in purchases of investments, $27.8 million of purchased property and equipment, $2.0 million of purchases of strategic investments, and $15.6 million of capitalized software development costs. These uses of cash were offset by $1.0 billion received related to the maturity of investments and $10.9 million received for sale of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Financing Activities</w:t>
      </w:r>
    </w:p>
    <w:p>
      <w:pPr>
        <w:spacing w:after="0" w:line="131"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Our financing activities have consisted primarily of the various components of our 2022 Notes repayment, the various components of our 2025 Notes offering, the issuance of common stock under our stock plans, payments of employee taxes related to the net share settlement of stock-based awards, and repayments of our finance lease obligations.</w:t>
      </w:r>
    </w:p>
    <w:p>
      <w:pPr>
        <w:spacing w:after="0" w:line="183" w:lineRule="exact"/>
        <w:rPr>
          <w:sz w:val="20"/>
          <w:szCs w:val="20"/>
          <w:color w:val="auto"/>
        </w:rPr>
      </w:pPr>
    </w:p>
    <w:p>
      <w:pPr>
        <w:ind w:right="120" w:firstLine="544"/>
        <w:spacing w:after="0" w:line="275" w:lineRule="auto"/>
        <w:rPr>
          <w:sz w:val="20"/>
          <w:szCs w:val="20"/>
          <w:color w:val="auto"/>
        </w:rPr>
      </w:pPr>
      <w:r>
        <w:rPr>
          <w:rFonts w:ascii="Arial" w:cs="Arial" w:eastAsia="Arial" w:hAnsi="Arial"/>
          <w:sz w:val="18"/>
          <w:szCs w:val="18"/>
          <w:color w:val="auto"/>
        </w:rPr>
        <w:t>For the nine months ended September 30, 2021 cash used in financing activities consisted of $80.4 million used for repayment of the 2022 Notes attributable to the principal and $11.7 million used for payment of employee taxes related to the net share settlement of stock-based awards, offset by $0.7 million of proceeds from the settlement of the Convertible Note Hedges related to the 2022 Notes and $34.1 million of proceeds related to issuance of common stock under stock plans.</w:t>
      </w:r>
    </w:p>
    <w:p>
      <w:pPr>
        <w:spacing w:after="0" w:line="185" w:lineRule="exact"/>
        <w:rPr>
          <w:sz w:val="20"/>
          <w:szCs w:val="20"/>
          <w:color w:val="auto"/>
        </w:rPr>
      </w:pPr>
    </w:p>
    <w:p>
      <w:pPr>
        <w:jc w:val="both"/>
        <w:ind w:right="20" w:firstLine="544"/>
        <w:spacing w:after="0" w:line="314" w:lineRule="auto"/>
        <w:rPr>
          <w:sz w:val="20"/>
          <w:szCs w:val="20"/>
          <w:color w:val="auto"/>
        </w:rPr>
      </w:pPr>
      <w:r>
        <w:rPr>
          <w:rFonts w:ascii="Arial" w:cs="Arial" w:eastAsia="Arial" w:hAnsi="Arial"/>
          <w:sz w:val="16"/>
          <w:szCs w:val="16"/>
          <w:color w:val="auto"/>
        </w:rPr>
        <w:t>For the nine months ended September 30, 2020 cash provided by financing activities consisted of $450.1 million of net proceeds from the issuance of the 2025 Notes, $362.5 million of proceeds from the settlement of the Convertible Note Hedges related to the 2022 Notes, and $22.3 million of proceeds related to issuance of common stock under stock plans. This source of cash was offset by $234.4 million used for repayment of the 2022 Notes attributable to the principal, $327.5 million for payment to settle the Warrants related to the 2022 Notes, $50.6 million for payment of the Capped Call Options related to the 2025 Notes, and $4.6 million used for payment of employee taxes related to the net share settlement of stock-based awards.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280" w:firstLine="749"/>
        <w:spacing w:after="0" w:line="359" w:lineRule="auto"/>
        <w:rPr>
          <w:sz w:val="20"/>
          <w:szCs w:val="20"/>
          <w:color w:val="auto"/>
        </w:rPr>
      </w:pPr>
      <w:r>
        <w:rPr>
          <w:rFonts w:ascii="Arial" w:cs="Arial" w:eastAsia="Arial" w:hAnsi="Arial"/>
          <w:sz w:val="16"/>
          <w:szCs w:val="16"/>
          <w:color w:val="auto"/>
        </w:rPr>
        <w:t>There have been no significant changes in our critical accounting policies and estimates during the nine months ended September 30, 2021 as compared to the critical accounting policies and estimates disclosed in our Annual Report on Form 10-K for the year ended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6" w:lineRule="exact"/>
        <w:rPr>
          <w:sz w:val="20"/>
          <w:szCs w:val="20"/>
          <w:color w:val="auto"/>
        </w:rPr>
      </w:pPr>
    </w:p>
    <w:p>
      <w:pPr>
        <w:ind w:right="300" w:firstLine="509"/>
        <w:spacing w:after="0" w:line="300" w:lineRule="auto"/>
        <w:rPr>
          <w:sz w:val="20"/>
          <w:szCs w:val="20"/>
          <w:color w:val="auto"/>
        </w:rPr>
      </w:pPr>
      <w:r>
        <w:rPr>
          <w:rFonts w:ascii="Arial" w:cs="Arial" w:eastAsia="Arial" w:hAnsi="Arial"/>
          <w:sz w:val="16"/>
          <w:szCs w:val="16"/>
          <w:color w:val="auto"/>
        </w:rPr>
        <w:t xml:space="preserve">Contractual obligations are cash that we are obligated to pay as part of certain contracts that we have entered during our course of business. Certain of our leases contain optional termination dates. The table below only includes payments up to the optional termination date. </w:t>
      </w:r>
      <w:r>
        <w:rPr>
          <w:rFonts w:ascii="Arial" w:cs="Arial" w:eastAsia="Arial" w:hAnsi="Arial"/>
          <w:sz w:val="17"/>
          <w:szCs w:val="17"/>
          <w:color w:val="auto"/>
        </w:rPr>
        <w:t>The following table summarizes all significant</w:t>
      </w:r>
      <w:r>
        <w:rPr>
          <w:rFonts w:ascii="Arial" w:cs="Arial" w:eastAsia="Arial" w:hAnsi="Arial"/>
          <w:sz w:val="16"/>
          <w:szCs w:val="16"/>
          <w:color w:val="auto"/>
        </w:rPr>
        <w:t xml:space="preserve"> </w:t>
      </w:r>
      <w:r>
        <w:rPr>
          <w:rFonts w:ascii="Arial" w:cs="Arial" w:eastAsia="Arial" w:hAnsi="Arial"/>
          <w:sz w:val="17"/>
          <w:szCs w:val="17"/>
          <w:color w:val="auto"/>
        </w:rPr>
        <w:t>contractual obligations as of September 30, 2021 and agreements entered into since then: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Payments due in:</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5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39"/>
              <w:spacing w:after="0"/>
              <w:rPr>
                <w:sz w:val="20"/>
                <w:szCs w:val="20"/>
                <w:color w:val="auto"/>
              </w:rPr>
            </w:pPr>
            <w:r>
              <w:rPr>
                <w:rFonts w:ascii="Arial" w:cs="Arial" w:eastAsia="Arial" w:hAnsi="Arial"/>
                <w:sz w:val="14"/>
                <w:szCs w:val="14"/>
                <w:b w:val="1"/>
                <w:bCs w:val="1"/>
                <w:color w:val="auto"/>
                <w:w w:val="81"/>
              </w:rPr>
              <w:t>Less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More</w:t>
            </w:r>
          </w:p>
        </w:tc>
        <w:tc>
          <w:tcPr>
            <w:tcW w:w="80" w:type="dxa"/>
            <w:vAlign w:val="bottom"/>
          </w:tcPr>
          <w:p>
            <w:pPr>
              <w:spacing w:after="0"/>
              <w:rPr>
                <w:sz w:val="15"/>
                <w:szCs w:val="15"/>
                <w:color w:val="auto"/>
              </w:rPr>
            </w:pPr>
          </w:p>
        </w:tc>
      </w:tr>
      <w:tr>
        <w:trPr>
          <w:trHeight w:val="175"/>
        </w:trPr>
        <w:tc>
          <w:tcPr>
            <w:tcW w:w="5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than</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39"/>
              <w:spacing w:after="0"/>
              <w:rPr>
                <w:sz w:val="20"/>
                <w:szCs w:val="20"/>
                <w:color w:val="auto"/>
              </w:rPr>
            </w:pPr>
            <w:r>
              <w:rPr>
                <w:rFonts w:ascii="Arial" w:cs="Arial" w:eastAsia="Arial" w:hAnsi="Arial"/>
                <w:sz w:val="14"/>
                <w:szCs w:val="14"/>
                <w:b w:val="1"/>
                <w:bCs w:val="1"/>
                <w:color w:val="auto"/>
              </w:rPr>
              <w:t>1-3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37"/>
              <w:spacing w:after="0"/>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than</w:t>
            </w:r>
          </w:p>
        </w:tc>
        <w:tc>
          <w:tcPr>
            <w:tcW w:w="80" w:type="dxa"/>
            <w:vAlign w:val="bottom"/>
          </w:tcPr>
          <w:p>
            <w:pPr>
              <w:spacing w:after="0"/>
              <w:rPr>
                <w:sz w:val="15"/>
                <w:szCs w:val="15"/>
                <w:color w:val="auto"/>
              </w:rPr>
            </w:pPr>
          </w:p>
        </w:tc>
      </w:tr>
      <w:tr>
        <w:trPr>
          <w:trHeight w:val="192"/>
        </w:trPr>
        <w:tc>
          <w:tcPr>
            <w:tcW w:w="510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8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119"/>
              <w:spacing w:after="0"/>
              <w:rPr>
                <w:sz w:val="20"/>
                <w:szCs w:val="20"/>
                <w:color w:val="auto"/>
              </w:rPr>
            </w:pPr>
            <w:r>
              <w:rPr>
                <w:rFonts w:ascii="Arial" w:cs="Arial" w:eastAsia="Arial" w:hAnsi="Arial"/>
                <w:sz w:val="14"/>
                <w:szCs w:val="14"/>
                <w:b w:val="1"/>
                <w:bCs w:val="1"/>
                <w:color w:val="auto"/>
                <w:w w:val="88"/>
              </w:rPr>
              <w:t>5 Years</w:t>
            </w:r>
          </w:p>
        </w:tc>
        <w:tc>
          <w:tcPr>
            <w:tcW w:w="80" w:type="dxa"/>
            <w:vAlign w:val="bottom"/>
          </w:tcPr>
          <w:p>
            <w:pPr>
              <w:spacing w:after="0"/>
              <w:rPr>
                <w:sz w:val="16"/>
                <w:szCs w:val="16"/>
                <w:color w:val="auto"/>
              </w:rPr>
            </w:pPr>
          </w:p>
        </w:tc>
      </w:tr>
      <w:tr>
        <w:trPr>
          <w:trHeight w:val="196"/>
        </w:trPr>
        <w:tc>
          <w:tcPr>
            <w:tcW w:w="5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 obligations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394,297</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86,088</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82,097</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214,508</w:t>
            </w:r>
          </w:p>
        </w:tc>
        <w:tc>
          <w:tcPr>
            <w:tcW w:w="80" w:type="dxa"/>
            <w:vAlign w:val="bottom"/>
            <w:shd w:val="clear" w:color="auto" w:fill="CFF0FC"/>
          </w:tcPr>
          <w:p>
            <w:pPr>
              <w:spacing w:after="0"/>
              <w:rPr>
                <w:sz w:val="22"/>
                <w:szCs w:val="22"/>
                <w:color w:val="auto"/>
              </w:rPr>
            </w:pPr>
          </w:p>
        </w:tc>
      </w:tr>
      <w:tr>
        <w:trPr>
          <w:trHeight w:val="257"/>
        </w:trPr>
        <w:tc>
          <w:tcPr>
            <w:tcW w:w="5100" w:type="dxa"/>
            <w:vAlign w:val="bottom"/>
          </w:tcPr>
          <w:p>
            <w:pPr>
              <w:ind w:left="20"/>
              <w:spacing w:after="0"/>
              <w:rPr>
                <w:sz w:val="20"/>
                <w:szCs w:val="20"/>
                <w:color w:val="auto"/>
              </w:rPr>
            </w:pPr>
            <w:r>
              <w:rPr>
                <w:rFonts w:ascii="Arial" w:cs="Arial" w:eastAsia="Arial" w:hAnsi="Arial"/>
                <w:sz w:val="18"/>
                <w:szCs w:val="18"/>
                <w:color w:val="auto"/>
              </w:rPr>
              <w:t>Vendor commitments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1,085,609</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26,092</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285,759</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366,258</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407,500</w:t>
            </w:r>
          </w:p>
        </w:tc>
        <w:tc>
          <w:tcPr>
            <w:tcW w:w="80" w:type="dxa"/>
            <w:vAlign w:val="bottom"/>
          </w:tcPr>
          <w:p>
            <w:pPr>
              <w:spacing w:after="0"/>
              <w:rPr>
                <w:sz w:val="22"/>
                <w:szCs w:val="22"/>
                <w:color w:val="auto"/>
              </w:rPr>
            </w:pPr>
          </w:p>
        </w:tc>
      </w:tr>
      <w:tr>
        <w:trPr>
          <w:trHeight w:val="290"/>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   1,479,906</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37,696</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371,847</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448,355</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622,008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137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137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1200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1200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1117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1117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1454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1454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jc w:val="both"/>
        <w:ind w:right="80" w:firstLine="509"/>
        <w:spacing w:after="0" w:line="293"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ind w:right="280" w:firstLine="509"/>
        <w:spacing w:after="0" w:line="303" w:lineRule="auto"/>
        <w:rPr>
          <w:sz w:val="20"/>
          <w:szCs w:val="20"/>
          <w:color w:val="auto"/>
        </w:rPr>
      </w:pPr>
      <w:r>
        <w:rPr>
          <w:rFonts w:ascii="Arial" w:cs="Arial" w:eastAsia="Arial" w:hAnsi="Arial"/>
          <w:sz w:val="17"/>
          <w:szCs w:val="17"/>
          <w:color w:val="auto"/>
        </w:rPr>
        <w:t>As of September 30, 2021, we are committed to contribute additional capital of $9.4 million to the Black Economic Development Fund (Note 5). There were no other material off-balance sheet arrangements exclusive of operating leases and indemnifications of officers, directors and employees for certain events or occurrences while the officer, director or employee is, or was, serving at our request in such capacity.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jc w:val="both"/>
        <w:ind w:right="280" w:firstLine="544"/>
        <w:spacing w:after="0" w:line="303"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56" w:lineRule="exact"/>
        <w:rPr>
          <w:sz w:val="20"/>
          <w:szCs w:val="20"/>
          <w:color w:val="auto"/>
        </w:rPr>
      </w:pPr>
    </w:p>
    <w:p>
      <w:pPr>
        <w:ind w:right="40" w:firstLine="544"/>
        <w:spacing w:after="0" w:line="314" w:lineRule="auto"/>
        <w:rPr>
          <w:sz w:val="20"/>
          <w:szCs w:val="20"/>
          <w:color w:val="auto"/>
        </w:rPr>
      </w:pPr>
      <w:r>
        <w:rPr>
          <w:rFonts w:ascii="Arial" w:cs="Arial" w:eastAsia="Arial" w:hAnsi="Arial"/>
          <w:sz w:val="16"/>
          <w:szCs w:val="16"/>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31" w:lineRule="exact"/>
        <w:rPr>
          <w:sz w:val="20"/>
          <w:szCs w:val="20"/>
          <w:color w:val="auto"/>
        </w:rPr>
      </w:pPr>
    </w:p>
    <w:p>
      <w:pPr>
        <w:ind w:right="120" w:firstLine="544"/>
        <w:spacing w:after="0" w:line="292"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31" w:lineRule="exact"/>
        <w:rPr>
          <w:sz w:val="20"/>
          <w:szCs w:val="20"/>
          <w:color w:val="auto"/>
        </w:rPr>
      </w:pPr>
    </w:p>
    <w:p>
      <w:pPr>
        <w:ind w:right="40" w:firstLine="544"/>
        <w:spacing w:after="0" w:line="279"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31" w:lineRule="exact"/>
        <w:rPr>
          <w:sz w:val="20"/>
          <w:szCs w:val="20"/>
          <w:color w:val="auto"/>
        </w:rPr>
      </w:pPr>
    </w:p>
    <w:p>
      <w:pPr>
        <w:ind w:right="180" w:firstLine="509"/>
        <w:spacing w:after="0" w:line="270" w:lineRule="auto"/>
        <w:rPr>
          <w:sz w:val="20"/>
          <w:szCs w:val="20"/>
          <w:color w:val="auto"/>
        </w:rPr>
      </w:pPr>
      <w:r>
        <w:rPr>
          <w:rFonts w:ascii="Arial" w:cs="Arial" w:eastAsia="Arial" w:hAnsi="Arial"/>
          <w:sz w:val="18"/>
          <w:szCs w:val="18"/>
          <w:color w:val="auto"/>
        </w:rPr>
        <w:t>In May 2017, we issued $400.0 million aggregate principal amount of 0.25% convertible senior due June 1, 2022, of which $272.1 million was repurchased in June 2020 and $46.4 million was settled in cash in the third quarter of 2021. As of September 30, 2021, $22.2 million of principal remains outstanding on the 2022 Notes. Also in June 2020, we issued $460 million aggregate principal amount of convertible senior notes due June 1, 2025.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3" w:name="page34"/>
    <w:bookmarkEnd w:id="33"/>
    <w:p>
      <w:pPr>
        <w:jc w:val="both"/>
        <w:spacing w:after="0" w:line="279" w:lineRule="auto"/>
        <w:rPr>
          <w:sz w:val="20"/>
          <w:szCs w:val="20"/>
          <w:color w:val="auto"/>
        </w:rPr>
      </w:pPr>
      <w:r>
        <w:rPr>
          <w:rFonts w:ascii="Arial" w:cs="Arial" w:eastAsia="Arial" w:hAnsi="Arial"/>
          <w:sz w:val="18"/>
          <w:szCs w:val="18"/>
          <w:color w:val="auto"/>
        </w:rPr>
        <w:t>operations due to the fixed nature of the debt obligation. Generally, the fair values of 2022 Notes and the 2025 Notes (the “Notes”) will increase as interest rates fall and decrease as interest rates rise. Additionally, we carry the convertible senior notes at face value less unamortized discount on our balance sheet, and we present the fair value for required disclosure purposes only.</w:t>
      </w:r>
    </w:p>
    <w:p>
      <w:pPr>
        <w:spacing w:after="0" w:line="277" w:lineRule="exact"/>
        <w:rPr>
          <w:sz w:val="20"/>
          <w:szCs w:val="20"/>
          <w:color w:val="auto"/>
        </w:rPr>
      </w:pPr>
    </w:p>
    <w:p>
      <w:pPr>
        <w:ind w:firstLine="544"/>
        <w:spacing w:after="0" w:line="279"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September 30, 2021 and the estimated impact on the fair value of the Notes. The selected scenarios are not predictions of future events, but rather are intended to illustrate the effect such event may have on the fair value of the Notes.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2022 Notes</w:t>
      </w:r>
    </w:p>
    <w:p>
      <w:pPr>
        <w:sectPr>
          <w:pgSz w:w="11900" w:h="16838" w:orient="portrait"/>
          <w:cols w:equalWidth="0" w:num="1">
            <w:col w:w="11220"/>
          </w:cols>
          <w:pgMar w:left="320" w:top="4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Hypothetical change in HubSpot stock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Estimated change in fair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value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020"/>
        <w:spacing w:after="0" w:line="291" w:lineRule="auto"/>
        <w:rPr>
          <w:sz w:val="20"/>
          <w:szCs w:val="20"/>
          <w:color w:val="auto"/>
        </w:rPr>
      </w:pPr>
      <w:r>
        <w:rPr>
          <w:rFonts w:ascii="Arial" w:cs="Arial" w:eastAsia="Arial" w:hAnsi="Arial"/>
          <w:sz w:val="15"/>
          <w:szCs w:val="15"/>
          <w:b w:val="1"/>
          <w:bCs w:val="1"/>
          <w:color w:val="auto"/>
        </w:rPr>
        <w:t>Hypothetical percentage increase (decrease) in    fair value</w:t>
      </w:r>
    </w:p>
    <w:p>
      <w:pPr>
        <w:spacing w:after="0" w:line="1" w:lineRule="exact"/>
        <w:rPr>
          <w:sz w:val="20"/>
          <w:szCs w:val="20"/>
          <w:color w:val="auto"/>
        </w:rPr>
      </w:pPr>
    </w:p>
    <w:p>
      <w:pPr>
        <w:sectPr>
          <w:pgSz w:w="11900" w:h="16838" w:orient="portrait"/>
          <w:cols w:equalWidth="0" w:num="4">
            <w:col w:w="4580" w:space="720"/>
            <w:col w:w="700" w:space="680"/>
            <w:col w:w="1680" w:space="380"/>
            <w:col w:w="2480"/>
          </w:cols>
          <w:pgMar w:left="320" w:top="476" w:right="359" w:bottom="1440" w:gutter="0" w:footer="0" w:header="0"/>
          <w:type w:val="continuous"/>
        </w:sectPr>
      </w:pPr>
    </w:p>
    <w:tbl>
      <w:tblPr>
        <w:tblLayout w:type="fixed"/>
        <w:tblInd w:w="5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10% increase</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173,870</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15,558</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10 %</w:t>
            </w:r>
          </w:p>
        </w:tc>
      </w:tr>
      <w:tr>
        <w:trPr>
          <w:trHeight w:val="250"/>
        </w:trPr>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 change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158,312</w:t>
            </w:r>
          </w:p>
        </w:tc>
        <w:tc>
          <w:tcPr>
            <w:tcW w:w="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10% decrease</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142,185</w:t>
            </w:r>
          </w:p>
        </w:tc>
        <w:tc>
          <w:tcPr>
            <w:tcW w:w="2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(16,127 )</w:t>
            </w:r>
          </w:p>
        </w:tc>
        <w:tc>
          <w:tcPr>
            <w:tcW w:w="12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(10 )%</w:t>
            </w:r>
          </w:p>
        </w:tc>
      </w:tr>
      <w:tr>
        <w:trPr>
          <w:trHeight w:val="45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2025 Notes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left="279"/>
              <w:spacing w:after="0"/>
              <w:rPr>
                <w:sz w:val="20"/>
                <w:szCs w:val="20"/>
                <w:color w:val="auto"/>
              </w:rPr>
            </w:pPr>
            <w:r>
              <w:rPr>
                <w:rFonts w:ascii="Arial" w:cs="Arial" w:eastAsia="Arial" w:hAnsi="Arial"/>
                <w:sz w:val="16"/>
                <w:szCs w:val="16"/>
                <w:b w:val="1"/>
                <w:bCs w:val="1"/>
                <w:color w:val="auto"/>
                <w:w w:val="93"/>
              </w:rPr>
              <w:t>Hypothetical</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7"/>
              </w:rPr>
              <w:t>percentage increase</w:t>
            </w: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w w:val="93"/>
              </w:rPr>
              <w:t>Estimated change in</w:t>
            </w:r>
          </w:p>
        </w:tc>
        <w:tc>
          <w:tcPr>
            <w:tcW w:w="1260" w:type="dxa"/>
            <w:vAlign w:val="bottom"/>
          </w:tcPr>
          <w:p>
            <w:pPr>
              <w:ind w:left="80"/>
              <w:spacing w:after="0"/>
              <w:rPr>
                <w:sz w:val="20"/>
                <w:szCs w:val="20"/>
                <w:color w:val="auto"/>
              </w:rPr>
            </w:pPr>
            <w:r>
              <w:rPr>
                <w:rFonts w:ascii="Arial" w:cs="Arial" w:eastAsia="Arial" w:hAnsi="Arial"/>
                <w:sz w:val="16"/>
                <w:szCs w:val="16"/>
                <w:b w:val="1"/>
                <w:bCs w:val="1"/>
                <w:color w:val="auto"/>
              </w:rPr>
              <w:t>(decrease) in</w:t>
            </w:r>
          </w:p>
        </w:tc>
        <w:tc>
          <w:tcPr>
            <w:tcW w:w="7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fair</w:t>
            </w: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Hypothetical change in HubSpot stock price</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w w:val="87"/>
              </w:rPr>
              <w:t>value</w:t>
            </w:r>
          </w:p>
        </w:tc>
        <w:tc>
          <w:tcPr>
            <w:tcW w:w="3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10% increase</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1,225,813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109,397</w:t>
            </w:r>
          </w:p>
        </w:tc>
        <w:tc>
          <w:tcPr>
            <w:tcW w:w="1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10 %</w:t>
            </w:r>
          </w:p>
        </w:tc>
      </w:tr>
      <w:tr>
        <w:trPr>
          <w:trHeight w:val="250"/>
        </w:trPr>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 change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1,116,415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10% decrease</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1,012,363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(104,052 )</w:t>
            </w:r>
          </w:p>
        </w:tc>
        <w:tc>
          <w:tcPr>
            <w:tcW w:w="126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(9 )%</w:t>
            </w:r>
          </w:p>
        </w:tc>
      </w:tr>
    </w:tbl>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35"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9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83"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u w:val="single" w:color="auto"/>
          <w:color w:val="auto"/>
        </w:rPr>
        <w:t>Inherent Limitations of Internal Controls</w:t>
      </w:r>
      <w:r>
        <w:rPr>
          <w:rFonts w:ascii="Arial" w:cs="Arial" w:eastAsia="Arial" w:hAnsi="Arial"/>
          <w:sz w:val="16"/>
          <w:szCs w:val="16"/>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type w:val="continuous"/>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35"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364" w:lineRule="exact"/>
        <w:rPr>
          <w:sz w:val="20"/>
          <w:szCs w:val="20"/>
          <w:color w:val="auto"/>
        </w:rPr>
      </w:pPr>
    </w:p>
    <w:p>
      <w:pPr>
        <w:ind w:right="160"/>
        <w:spacing w:after="0" w:line="324" w:lineRule="auto"/>
        <w:rPr>
          <w:sz w:val="20"/>
          <w:szCs w:val="20"/>
          <w:color w:val="auto"/>
        </w:rPr>
      </w:pPr>
      <w:r>
        <w:rPr>
          <w:rFonts w:ascii="Arial" w:cs="Arial" w:eastAsia="Arial" w:hAnsi="Arial"/>
          <w:sz w:val="17"/>
          <w:szCs w:val="17"/>
          <w:b w:val="1"/>
          <w:bCs w:val="1"/>
          <w:i w:val="1"/>
          <w:iCs w:val="1"/>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spacing w:after="0" w:line="39" w:lineRule="exact"/>
        <w:rPr>
          <w:sz w:val="20"/>
          <w:szCs w:val="20"/>
          <w:color w:val="auto"/>
        </w:rPr>
      </w:pPr>
    </w:p>
    <w:p>
      <w:pPr>
        <w:ind w:right="260" w:firstLine="749"/>
        <w:spacing w:after="0" w:line="303" w:lineRule="auto"/>
        <w:rPr>
          <w:sz w:val="20"/>
          <w:szCs w:val="20"/>
          <w:color w:val="auto"/>
        </w:rPr>
      </w:pPr>
      <w:r>
        <w:rPr>
          <w:rFonts w:ascii="Arial" w:cs="Arial" w:eastAsia="Arial" w:hAnsi="Arial"/>
          <w:sz w:val="17"/>
          <w:szCs w:val="17"/>
          <w:color w:val="auto"/>
        </w:rPr>
        <w:t>The COVID-19 pandemic has had widespread, rapidly-evolving, and unpredictable impacts on global societies, economies, financial markets, and business practices. Federal and state governments have implemented various measures in an effort to contain the virus, which have caused, and are continuing to cause, business slowdowns or shutdowns in affected areas, both regionally and worldwide.</w:t>
      </w:r>
    </w:p>
    <w:p>
      <w:pPr>
        <w:spacing w:after="0" w:line="56" w:lineRule="exact"/>
        <w:rPr>
          <w:sz w:val="20"/>
          <w:szCs w:val="20"/>
          <w:color w:val="auto"/>
        </w:rPr>
      </w:pPr>
    </w:p>
    <w:p>
      <w:pPr>
        <w:ind w:right="140" w:firstLine="749"/>
        <w:spacing w:after="0" w:line="309" w:lineRule="auto"/>
        <w:rPr>
          <w:sz w:val="20"/>
          <w:szCs w:val="20"/>
          <w:color w:val="auto"/>
        </w:rPr>
      </w:pPr>
      <w:r>
        <w:rPr>
          <w:rFonts w:ascii="Arial" w:cs="Arial" w:eastAsia="Arial" w:hAnsi="Arial"/>
          <w:sz w:val="16"/>
          <w:szCs w:val="16"/>
          <w:color w:val="auto"/>
        </w:rPr>
        <w:t>In response to the pandemic, we temporarily closed our global offices, including our corporate headquarters, suspended all company-related travel, and all HubSpot employees globally were required to work from home for several months during the height of the pandemic. We shifted our Solutions Partner events, INBOUND 2020 and INBOUND 2021 to virtual-only experiences and have cancelled other customer and industry events. Although we have begun to slowly re-open our offices on a staggered, region-by-region basis in accordance with local authority guidelines, we may deem it advisable to similarly alter, postpone or cancel entirely additional customer, employee or industry events in the future. All of these changes may disrupt the way we operate our business. In addition, our management team has, and will likely continue, to spend significant time, attention and resources monitoring the COVID-19 pandemic and seeking to minimize the risk of the virus and manage its effects on our business and workforce.</w:t>
      </w:r>
    </w:p>
    <w:p>
      <w:pPr>
        <w:spacing w:after="0" w:line="56" w:lineRule="exact"/>
        <w:rPr>
          <w:sz w:val="20"/>
          <w:szCs w:val="20"/>
          <w:color w:val="auto"/>
        </w:rPr>
      </w:pPr>
    </w:p>
    <w:p>
      <w:pPr>
        <w:ind w:right="80" w:firstLine="749"/>
        <w:spacing w:after="0" w:line="314" w:lineRule="auto"/>
        <w:rPr>
          <w:sz w:val="20"/>
          <w:szCs w:val="20"/>
          <w:color w:val="auto"/>
        </w:rPr>
      </w:pPr>
      <w:r>
        <w:rPr>
          <w:rFonts w:ascii="Arial" w:cs="Arial" w:eastAsia="Arial" w:hAnsi="Arial"/>
          <w:sz w:val="16"/>
          <w:szCs w:val="16"/>
          <w:color w:val="auto"/>
        </w:rPr>
        <w:t>Moreover, the conditions caused by the pandemic may affect the rate of spending on software products and may adversely affect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 If the pandemic and its residual effects have a substantial impact on the ability of our customers to purchase our offerings, our results of operations, and overall financial performance may be harmed.</w:t>
      </w:r>
    </w:p>
    <w:p>
      <w:pPr>
        <w:spacing w:after="0" w:line="52" w:lineRule="exact"/>
        <w:rPr>
          <w:sz w:val="20"/>
          <w:szCs w:val="20"/>
          <w:color w:val="auto"/>
        </w:rPr>
      </w:pPr>
    </w:p>
    <w:p>
      <w:pPr>
        <w:ind w:right="20" w:firstLine="749"/>
        <w:spacing w:after="0" w:line="296" w:lineRule="auto"/>
        <w:rPr>
          <w:sz w:val="20"/>
          <w:szCs w:val="20"/>
          <w:color w:val="auto"/>
        </w:rPr>
      </w:pPr>
      <w:r>
        <w:rPr>
          <w:rFonts w:ascii="Arial" w:cs="Arial" w:eastAsia="Arial" w:hAnsi="Arial"/>
          <w:sz w:val="17"/>
          <w:szCs w:val="17"/>
          <w:color w:val="auto"/>
        </w:rPr>
        <w:t>The duration and extent of the impact from the pandemic depends on future developments that cannot be accurately predicted at this time, such as the severity and transmission rate of the virus, future spikes of COVID-19 infections (including the spread of variants or mutant strains), the extent and effectiveness of containment actions, the disruption caused by such actions, and the impact of these and other factors on our employees, customers, partners and vendors. If we are not able to respond to and manage the impact of such events effectively, our business will be harmed.</w:t>
      </w:r>
    </w:p>
    <w:p>
      <w:pPr>
        <w:spacing w:after="0" w:line="62" w:lineRule="exact"/>
        <w:rPr>
          <w:sz w:val="20"/>
          <w:szCs w:val="20"/>
          <w:color w:val="auto"/>
        </w:rPr>
      </w:pPr>
    </w:p>
    <w:p>
      <w:pPr>
        <w:ind w:right="80" w:firstLine="749"/>
        <w:spacing w:after="0" w:line="319" w:lineRule="auto"/>
        <w:rPr>
          <w:sz w:val="20"/>
          <w:szCs w:val="20"/>
          <w:color w:val="auto"/>
        </w:rPr>
      </w:pPr>
      <w:r>
        <w:rPr>
          <w:rFonts w:ascii="Arial" w:cs="Arial" w:eastAsia="Arial" w:hAnsi="Arial"/>
          <w:sz w:val="16"/>
          <w:szCs w:val="16"/>
          <w:color w:val="auto"/>
        </w:rPr>
        <w:t>To the extent the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264"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CRM Platform.</w:t>
      </w:r>
    </w:p>
    <w:p>
      <w:pPr>
        <w:spacing w:after="0" w:line="62"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We derive, and expect to continue to derive, a substantial portion of our revenue from the sale of subscriptions to our CRM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jc w:val="both"/>
        <w:ind w:right="140"/>
        <w:spacing w:after="0" w:line="279" w:lineRule="auto"/>
        <w:rPr>
          <w:sz w:val="20"/>
          <w:szCs w:val="20"/>
          <w:color w:val="auto"/>
        </w:rPr>
      </w:pPr>
      <w:r>
        <w:rPr>
          <w:rFonts w:ascii="Arial" w:cs="Arial" w:eastAsia="Arial" w:hAnsi="Arial"/>
          <w:sz w:val="18"/>
          <w:szCs w:val="18"/>
          <w:color w:val="auto"/>
        </w:rPr>
        <w:t>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3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26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89"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The marketing, sales, customer service,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83"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face intense competition from other software companies that develop marketing, sales, customer service,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include: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cloud-based marketing automation providers;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email marketing software vendors;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force automation and CRM software vendors;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large-scale enterprise suites;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customer service software providers;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content management systems.</w:t>
      </w:r>
    </w:p>
    <w:p>
      <w:pPr>
        <w:spacing w:after="0" w:line="239"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63"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Our current and potential competitors may have significantly more financial, technical, marketing and other resources than we have, be able to devote greater resources to the development, promotion, sale and support of their products and services, may have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7" w:name="page38"/>
    <w:bookmarkEnd w:id="37"/>
    <w:p>
      <w:pPr>
        <w:ind w:right="20"/>
        <w:spacing w:after="0" w:line="311" w:lineRule="auto"/>
        <w:rPr>
          <w:sz w:val="20"/>
          <w:szCs w:val="20"/>
          <w:color w:val="auto"/>
        </w:rPr>
      </w:pPr>
      <w:r>
        <w:rPr>
          <w:rFonts w:ascii="Arial" w:cs="Arial" w:eastAsia="Arial" w:hAnsi="Arial"/>
          <w:sz w:val="16"/>
          <w:szCs w:val="16"/>
          <w:color w:val="auto"/>
        </w:rPr>
        <w:t>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spacing w:after="0" w:line="163"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85" w:lineRule="exact"/>
        <w:rPr>
          <w:sz w:val="20"/>
          <w:szCs w:val="20"/>
          <w:color w:val="auto"/>
        </w:rPr>
      </w:pPr>
    </w:p>
    <w:p>
      <w:pPr>
        <w:ind w:right="200"/>
        <w:spacing w:after="0" w:line="362"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6"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Our headcount and operations have grown substantially. For example, we had 5,496 full-time employees as of September 30, 2021, compared with 4,225 as of December 31, 2020 and we have opened 8 international offices since 2012. We also plan to open additional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Furthermore, while we have begun to slowly re-open our offices on a staggered, region-by-region basis in accordance with local authority guidelines, preservation of our corporate culture has been made more difficult as our work force has been working from home in connection with restrictions placed upon businesses due to the pandemic. A long-term continuation of these restrictions could, among other things, negatively impact employee morale and productivity. Any failure to preserve our culture could harm our future success, including our ability to retain and recruit personnel, innovate and operate effectively and execute on our business strategy. Additionally, as our employees work remotely from geographic areas across the globe and more of our employees work remotely on a permanent basis due to the pandemic, and pursuant to our newly implemented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and we may experience unpredictability in our expenses and employee work culture. If we experience any of these effects in connection with future growth, if our new employees perform poorly, or if we are unsuccessful in recruiting, hiring, training, managing and integrating these new employees, or retaining these or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69"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In addition, to manage the expected continued growth of our headcount, operations and geographic expansion, we will need to continue to expand our information technology infrastructure, operational, financial and management systems and procedures. Our anticipated additional headcount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191"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customer service, and content management capabilities could harm our ability to increase our customer base and achieve broader market acceptance of our platform.</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To increase Total Customers and achieve broader market acceptance of our CRM Platform, we will need to continue to expand our marketing, sales, customer service and content management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17"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212529"/>
        </w:rPr>
        <w:t xml:space="preserve">We rely on our Solutions Partners to provide certain services to our customers, as well as pursue sales of our </w:t>
      </w:r>
      <w:r>
        <w:rPr>
          <w:rFonts w:ascii="Arial" w:cs="Arial" w:eastAsia="Arial" w:hAnsi="Arial"/>
          <w:sz w:val="16"/>
          <w:szCs w:val="16"/>
          <w:color w:val="000000"/>
        </w:rPr>
        <w:t>CRM</w:t>
      </w:r>
      <w:r>
        <w:rPr>
          <w:rFonts w:ascii="Arial" w:cs="Arial" w:eastAsia="Arial" w:hAnsi="Arial"/>
          <w:sz w:val="16"/>
          <w:szCs w:val="16"/>
          <w:color w:val="212529"/>
        </w:rPr>
        <w:t xml:space="preserve">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1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We believe that maintaining our thought leadership position in inbound marketing, sales, services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62"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286"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CRM Platform may become less competitive.</w:t>
      </w:r>
    </w:p>
    <w:p>
      <w:pPr>
        <w:spacing w:after="0" w:line="62" w:lineRule="exact"/>
        <w:rPr>
          <w:sz w:val="20"/>
          <w:szCs w:val="20"/>
          <w:color w:val="auto"/>
        </w:rPr>
      </w:pPr>
    </w:p>
    <w:p>
      <w:pPr>
        <w:ind w:right="140" w:firstLine="509"/>
        <w:spacing w:after="0" w:line="287" w:lineRule="auto"/>
        <w:rPr>
          <w:sz w:val="20"/>
          <w:szCs w:val="20"/>
          <w:color w:val="auto"/>
        </w:rPr>
      </w:pPr>
      <w:r>
        <w:rPr>
          <w:rFonts w:ascii="Arial" w:cs="Arial" w:eastAsia="Arial" w:hAnsi="Arial"/>
          <w:sz w:val="17"/>
          <w:szCs w:val="17"/>
          <w:color w:val="auto"/>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239" w:lineRule="exact"/>
        <w:rPr>
          <w:sz w:val="20"/>
          <w:szCs w:val="20"/>
          <w:color w:val="auto"/>
        </w:rPr>
      </w:pPr>
    </w:p>
    <w:p>
      <w:pPr>
        <w:ind w:right="60" w:firstLine="509"/>
        <w:spacing w:after="0" w:line="270" w:lineRule="auto"/>
        <w:rPr>
          <w:sz w:val="20"/>
          <w:szCs w:val="20"/>
          <w:color w:val="auto"/>
        </w:rPr>
      </w:pPr>
      <w:r>
        <w:rPr>
          <w:rFonts w:ascii="Arial" w:cs="Arial" w:eastAsia="Arial" w:hAnsi="Arial"/>
          <w:sz w:val="18"/>
          <w:szCs w:val="18"/>
          <w:color w:val="auto"/>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spacing w:after="0" w:line="84"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70"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As usage of our CRM Platform grows and as customers use our platform for additional inbound applications, such as sales and services, we will need to devote additional resources to improving our application architecture, integrating with third-party systems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39" w:name="page40"/>
    <w:bookmarkEnd w:id="39"/>
    <w:p>
      <w:pPr>
        <w:ind w:right="20"/>
        <w:spacing w:after="0" w:line="306" w:lineRule="auto"/>
        <w:rPr>
          <w:sz w:val="20"/>
          <w:szCs w:val="20"/>
          <w:color w:val="auto"/>
        </w:rPr>
      </w:pPr>
      <w:r>
        <w:rPr>
          <w:rFonts w:ascii="Arial" w:cs="Arial" w:eastAsia="Arial" w:hAnsi="Arial"/>
          <w:sz w:val="16"/>
          <w:szCs w:val="16"/>
          <w:color w:val="auto"/>
        </w:rPr>
        <w:t>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78" w:lineRule="exact"/>
        <w:rPr>
          <w:sz w:val="20"/>
          <w:szCs w:val="20"/>
          <w:color w:val="auto"/>
        </w:rPr>
      </w:pPr>
    </w:p>
    <w:p>
      <w:pPr>
        <w:ind w:right="280"/>
        <w:spacing w:after="0" w:line="359"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7"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89"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84"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97"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75"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the acquisition of PieSync in 2019 and the Hustle in 2021.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91"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0" w:name="page41"/>
    <w:bookmarkEnd w:id="40"/>
    <w:p>
      <w:pPr>
        <w:ind w:right="60"/>
        <w:spacing w:after="0" w:line="285" w:lineRule="auto"/>
        <w:rPr>
          <w:sz w:val="20"/>
          <w:szCs w:val="20"/>
          <w:color w:val="auto"/>
        </w:rPr>
      </w:pPr>
      <w:r>
        <w:rPr>
          <w:rFonts w:ascii="Arial" w:cs="Arial" w:eastAsia="Arial" w:hAnsi="Arial"/>
          <w:sz w:val="17"/>
          <w:szCs w:val="17"/>
          <w:color w:val="auto"/>
        </w:rPr>
        <w:t>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79"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2" w:lineRule="exact"/>
        <w:rPr>
          <w:sz w:val="20"/>
          <w:szCs w:val="20"/>
          <w:color w:val="auto"/>
        </w:rPr>
      </w:pPr>
    </w:p>
    <w:p>
      <w:pPr>
        <w:ind w:right="420" w:firstLine="509"/>
        <w:spacing w:after="0" w:line="286"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We have opened 8 international offices since 2012. We also plan to open additional offices in the future. These international offices focus primarily on sales, professional services and support. Our current international operations and future initiatives will involve a variety of risks, including:</w:t>
      </w:r>
    </w:p>
    <w:p>
      <w:pPr>
        <w:spacing w:after="0" w:line="5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maintaining our company culture with a dispersed and distant workforce;</w:t>
      </w:r>
    </w:p>
    <w:p>
      <w:pPr>
        <w:spacing w:after="0" w:line="117" w:lineRule="exact"/>
        <w:rPr>
          <w:sz w:val="20"/>
          <w:szCs w:val="20"/>
          <w:color w:val="auto"/>
        </w:rPr>
      </w:pPr>
    </w:p>
    <w:p>
      <w:pPr>
        <w:ind w:left="960" w:right="860"/>
        <w:spacing w:after="0" w:line="277" w:lineRule="auto"/>
        <w:rPr>
          <w:sz w:val="20"/>
          <w:szCs w:val="20"/>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unexpected changes in regulatory requirements, taxes or trade laws;</w:t>
      </w:r>
    </w:p>
    <w:p>
      <w:pPr>
        <w:spacing w:after="0" w:line="117" w:lineRule="exact"/>
        <w:rPr>
          <w:sz w:val="20"/>
          <w:szCs w:val="20"/>
          <w:color w:val="auto"/>
        </w:rPr>
      </w:pPr>
    </w:p>
    <w:p>
      <w:pPr>
        <w:ind w:left="960" w:right="40"/>
        <w:spacing w:after="0" w:line="277" w:lineRule="auto"/>
        <w:rPr>
          <w:sz w:val="20"/>
          <w:szCs w:val="20"/>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2" w:lineRule="exact"/>
        <w:rPr>
          <w:sz w:val="20"/>
          <w:szCs w:val="20"/>
          <w:color w:val="auto"/>
        </w:rPr>
      </w:pPr>
    </w:p>
    <w:p>
      <w:pPr>
        <w:ind w:left="960" w:right="80"/>
        <w:spacing w:after="0" w:line="277" w:lineRule="auto"/>
        <w:rPr>
          <w:sz w:val="20"/>
          <w:szCs w:val="20"/>
          <w:color w:val="auto"/>
        </w:rPr>
      </w:pPr>
      <w:r>
        <w:rPr>
          <w:rFonts w:ascii="Arial" w:cs="Arial" w:eastAsia="Arial" w:hAnsi="Arial"/>
          <w:sz w:val="18"/>
          <w:szCs w:val="18"/>
          <w:color w:val="auto"/>
        </w:rPr>
        <w:t>challenges inherent in efficiently managing an increased number of employees, including remote employees, over large geographic distances, including the need to implement appropriate systems, policies, benefits and compliance programs;</w:t>
      </w:r>
    </w:p>
    <w:p>
      <w:pPr>
        <w:spacing w:after="0" w:line="62"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sz w:val="20"/>
          <w:szCs w:val="20"/>
          <w:color w:val="auto"/>
        </w:rPr>
      </w:pPr>
    </w:p>
    <w:p>
      <w:pPr>
        <w:ind w:left="960" w:right="100"/>
        <w:spacing w:after="0" w:line="277" w:lineRule="auto"/>
        <w:rPr>
          <w:sz w:val="20"/>
          <w:szCs w:val="20"/>
          <w:color w:val="auto"/>
        </w:rPr>
      </w:pPr>
      <w:r>
        <w:rPr>
          <w:rFonts w:ascii="Arial" w:cs="Arial" w:eastAsia="Arial" w:hAnsi="Arial"/>
          <w:sz w:val="18"/>
          <w:szCs w:val="18"/>
          <w:color w:val="auto"/>
        </w:rPr>
        <w:t>global economic uncertainty caused by global political events, including the United Kingdom's exit from the European Union, on January 31, 2020, or "Brexit", and similar geopolitical developments;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limited or insufficient intellectual property protection;</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political instability or terrorist activities;</w:t>
      </w:r>
    </w:p>
    <w:p>
      <w:pPr>
        <w:spacing w:after="0" w:line="117"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left="960" w:right="680"/>
        <w:spacing w:after="0" w:line="440" w:lineRule="auto"/>
        <w:rPr>
          <w:sz w:val="20"/>
          <w:szCs w:val="20"/>
          <w:color w:val="auto"/>
        </w:rPr>
      </w:pPr>
      <w:r>
        <w:rPr>
          <w:rFonts w:ascii="Arial" w:cs="Arial" w:eastAsia="Arial" w:hAnsi="Arial"/>
          <w:sz w:val="17"/>
          <w:szCs w:val="17"/>
          <w:color w:val="auto"/>
        </w:rPr>
        <w:t>which likelihood may increase with an increase of sales or operations in foreign jurisdictions and operations in certain industries; and adverse tax burdens and foreign exchange controls that could make it difficult to repatriate earnings and cash.</w:t>
      </w:r>
    </w:p>
    <w:p>
      <w:pPr>
        <w:spacing w:after="0" w:line="3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3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76"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believe that a critical component to our success has been our company culture, which is based on transparency and personal autonomy. We have invested substantial time and resources in building our team within this company culture. In the third quarter of 2020, we made the decision to permanently move to a hybrid workplace model, which means that as of January 1, 2021, our employees will have the option to be fully remote, work full-time from one of our offices, or have the flexibility to work both in the office and remotely. Furthermore, while we have begun to slowly re-open our offices on a staggered, region-by-region basis in accordance with local authority guidelines, preservation of our corporate culture has been made more difficult as our work force has been working from home in connection with restrictions placed upon businesses due to the pandemic. Any failure to preserve our culture could negatively affect our ability to retain and recruit personnel and to effectively focus on and pursue our corporate objectives. As we grow and continue to develop our company infrastructure, we may find it difficult to maintain these important aspects of our company culture and our business may be adversely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31"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31" w:lineRule="exact"/>
        <w:rPr>
          <w:sz w:val="20"/>
          <w:szCs w:val="20"/>
          <w:color w:val="auto"/>
        </w:rPr>
      </w:pPr>
    </w:p>
    <w:p>
      <w:pPr>
        <w:ind w:right="100" w:firstLine="509"/>
        <w:spacing w:after="0" w:line="305" w:lineRule="auto"/>
        <w:rPr>
          <w:sz w:val="20"/>
          <w:szCs w:val="20"/>
          <w:color w:val="auto"/>
        </w:rPr>
      </w:pPr>
      <w:r>
        <w:rPr>
          <w:rFonts w:ascii="Arial" w:cs="Arial" w:eastAsia="Arial" w:hAnsi="Arial"/>
          <w:sz w:val="16"/>
          <w:szCs w:val="16"/>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Technical Operations Infrastructure and Dependence on Third Parties</w:t>
      </w:r>
    </w:p>
    <w:p>
      <w:pPr>
        <w:spacing w:after="0" w:line="324"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52" w:lineRule="exact"/>
        <w:rPr>
          <w:sz w:val="20"/>
          <w:szCs w:val="20"/>
          <w:color w:val="auto"/>
        </w:rPr>
      </w:pPr>
    </w:p>
    <w:p>
      <w:pPr>
        <w:ind w:right="120" w:firstLine="578"/>
        <w:spacing w:after="0" w:line="309" w:lineRule="auto"/>
        <w:rPr>
          <w:sz w:val="20"/>
          <w:szCs w:val="20"/>
          <w:color w:val="auto"/>
        </w:rPr>
      </w:pPr>
      <w:r>
        <w:rPr>
          <w:rFonts w:ascii="Arial" w:cs="Arial" w:eastAsia="Arial" w:hAnsi="Arial"/>
          <w:sz w:val="16"/>
          <w:szCs w:val="16"/>
          <w:color w:val="auto"/>
        </w:rPr>
        <w:t>We currently serve the majority of our platform functions from third-party data center hosting facilities operated by Amazon Web Services located in northern Virginia and Frankfurt, Germany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actual or threatened public health emergency (e.g., COVID-19),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64" w:lineRule="exact"/>
        <w:rPr>
          <w:sz w:val="20"/>
          <w:szCs w:val="20"/>
          <w:color w:val="auto"/>
        </w:rPr>
      </w:pPr>
    </w:p>
    <w:p>
      <w:pPr>
        <w:ind w:right="80" w:firstLine="578"/>
        <w:spacing w:after="0" w:line="270"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28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76" w:lineRule="exact"/>
        <w:rPr>
          <w:sz w:val="20"/>
          <w:szCs w:val="20"/>
          <w:color w:val="auto"/>
        </w:rPr>
      </w:pPr>
    </w:p>
    <w:p>
      <w:pPr>
        <w:ind w:right="20" w:firstLine="578"/>
        <w:spacing w:after="0" w:line="304" w:lineRule="auto"/>
        <w:rPr>
          <w:sz w:val="20"/>
          <w:szCs w:val="20"/>
          <w:color w:val="auto"/>
        </w:rPr>
      </w:pPr>
      <w:r>
        <w:rPr>
          <w:rFonts w:ascii="Arial" w:cs="Arial" w:eastAsia="Arial" w:hAnsi="Arial"/>
          <w:sz w:val="16"/>
          <w:szCs w:val="16"/>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Although no data from prior to the outage was lost, our customers experienced disruptions in using our platform during the outage.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73" w:lineRule="exact"/>
        <w:rPr>
          <w:sz w:val="20"/>
          <w:szCs w:val="20"/>
          <w:color w:val="auto"/>
        </w:rPr>
      </w:pPr>
    </w:p>
    <w:p>
      <w:pPr>
        <w:ind w:firstLine="578"/>
        <w:spacing w:after="0" w:line="275" w:lineRule="auto"/>
        <w:rPr>
          <w:sz w:val="20"/>
          <w:szCs w:val="20"/>
          <w:color w:val="auto"/>
        </w:rPr>
      </w:pPr>
      <w:r>
        <w:rPr>
          <w:rFonts w:ascii="Arial" w:cs="Arial" w:eastAsia="Arial" w:hAnsi="Arial"/>
          <w:sz w:val="18"/>
          <w:szCs w:val="18"/>
          <w:color w:val="auto"/>
        </w:rPr>
        <w:t>In addition, third-party apps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CRM Platform or services to cover the changes, which could have a negative impact on our operating results.</w:t>
      </w:r>
    </w:p>
    <w:p>
      <w:pPr>
        <w:spacing w:after="0" w:line="80"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AWS, we may not be able to identify the cause or causes of these problems within a period of time acceptable to our customers. Additionally, as our business continues to grow, to the extent that we do not effectively address capacity constraints, either through AWS or alternative providers of cloud infrastructure, our results of operations may be adversely affected. In addition, any changes in service levels from AWS may adversely affect our ability to meet our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customers’ requirements, result in negative publicity which could harm our reputation and brand and may adversely affect the usage of our platform.</w:t>
      </w:r>
    </w:p>
    <w:p>
      <w:pPr>
        <w:spacing w:after="0" w:line="33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If we do not or cannot maintain the compatibility of our CRM Platform with third-party applications that our customers use in their businesses, our revenue will decline.</w:t>
      </w:r>
    </w:p>
    <w:p>
      <w:pPr>
        <w:spacing w:after="0" w:line="76"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CRM Platform.</w:t>
      </w:r>
    </w:p>
    <w:p>
      <w:pPr>
        <w:spacing w:after="0" w:line="127"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spacing w:after="0" w:line="28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95"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AWS or our other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such as AWS, are compromised, even without any actual compromise of our own systems, we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4" w:name="page45"/>
    <w:bookmarkEnd w:id="44"/>
    <w:p>
      <w:pPr>
        <w:ind w:right="180"/>
        <w:spacing w:after="0" w:line="269" w:lineRule="auto"/>
        <w:rPr>
          <w:sz w:val="20"/>
          <w:szCs w:val="20"/>
          <w:color w:val="auto"/>
        </w:rPr>
      </w:pPr>
      <w:r>
        <w:rPr>
          <w:rFonts w:ascii="Arial" w:cs="Arial" w:eastAsia="Arial" w:hAnsi="Arial"/>
          <w:sz w:val="18"/>
          <w:szCs w:val="18"/>
          <w:color w:val="auto"/>
        </w:rPr>
        <w:t>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96"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viruses, and social engineering (including phishing) are prevalent in our industry, the industries of certain of our service providers (including AWS)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war and telecommunication and electrical failures. Accordingly, if our cybersecurity measures or those of AWS or our other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computer programmers who may attempt to penetrate and sabotage our network security or our website change frequently and may not be recognized until launched against a target, we may be unable to anticipate these techniques. Additionally, during the ongoing pandemic, and potentially beyond as remote work and resource access expand, there is an increased risk that we may experience cybersecurity-related events such as COVID-19 themed phishing attacks, exploitation of any cybersecurity flaws that may exist, an increase in the number cybersecurity threats or attacks, and other security challenges as a result of most of our employees and our service providers continuing to work remotely from non-corporate managed networks. We have previously been, and may in the future become, the target of cyber-attacks by third parties seeking unauthorized access to our or our customers' data or to disrupt our operations or ability to provide our services.</w:t>
      </w:r>
    </w:p>
    <w:p>
      <w:pPr>
        <w:spacing w:after="0" w:line="180"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impact that the SolarWinds supply chain attack had on our business, new information on the scope of the attack is continuing to emerge and there is a residual risk that we may experience a security breach arising from the SolarWinds supply chain attack or a similar attack in the future.</w:t>
      </w:r>
    </w:p>
    <w:p>
      <w:pPr>
        <w:spacing w:after="0" w:line="185" w:lineRule="exact"/>
        <w:rPr>
          <w:sz w:val="20"/>
          <w:szCs w:val="20"/>
          <w:color w:val="auto"/>
        </w:rPr>
      </w:pPr>
    </w:p>
    <w:p>
      <w:pPr>
        <w:ind w:right="60" w:firstLine="509"/>
        <w:spacing w:after="0" w:line="308" w:lineRule="auto"/>
        <w:rPr>
          <w:sz w:val="20"/>
          <w:szCs w:val="20"/>
          <w:color w:val="auto"/>
        </w:rPr>
      </w:pPr>
      <w:r>
        <w:rPr>
          <w:rFonts w:ascii="Arial" w:cs="Arial" w:eastAsia="Arial" w:hAnsi="Arial"/>
          <w:sz w:val="16"/>
          <w:szCs w:val="16"/>
          <w:color w:val="auto"/>
        </w:rPr>
        <w:t>If we were to experience a cyberattack and suffer interruptions in our operations, it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and our competitive position could be harmed. Any breach, loss, or compromise of personal data may also subject us to civil fines and penalties, or claims for damages either under the General Data Protection Regulation (the “GDPR”) and relevant member state law in the European Union, other foreign laws, and other relevant state and federal privacy laws in the United States.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right="20" w:firstLine="509"/>
        <w:spacing w:after="0" w:line="311"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63"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31" w:lineRule="exact"/>
        <w:rPr>
          <w:sz w:val="20"/>
          <w:szCs w:val="20"/>
          <w:color w:val="auto"/>
        </w:rPr>
      </w:pPr>
    </w:p>
    <w:p>
      <w:pPr>
        <w:ind w:firstLine="578"/>
        <w:spacing w:after="0" w:line="304"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p>
    <w:p>
      <w:pPr>
        <w:spacing w:after="0" w:line="166" w:lineRule="exact"/>
        <w:rPr>
          <w:sz w:val="20"/>
          <w:szCs w:val="20"/>
          <w:color w:val="auto"/>
        </w:rPr>
      </w:pPr>
    </w:p>
    <w:p>
      <w:pPr>
        <w:ind w:right="80" w:firstLine="578"/>
        <w:spacing w:after="0" w:line="309"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25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76"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right="220"/>
        <w:spacing w:after="0" w:line="329" w:lineRule="auto"/>
        <w:rPr>
          <w:sz w:val="20"/>
          <w:szCs w:val="20"/>
          <w:color w:val="auto"/>
        </w:rPr>
      </w:pPr>
      <w:r>
        <w:rPr>
          <w:rFonts w:ascii="Arial" w:cs="Arial" w:eastAsia="Arial" w:hAnsi="Arial"/>
          <w:sz w:val="16"/>
          <w:szCs w:val="16"/>
          <w:color w:val="auto"/>
        </w:rPr>
        <w:t>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48" w:lineRule="exact"/>
        <w:rPr>
          <w:sz w:val="20"/>
          <w:szCs w:val="20"/>
          <w:color w:val="auto"/>
        </w:rPr>
      </w:pPr>
    </w:p>
    <w:p>
      <w:pPr>
        <w:ind w:right="220" w:firstLine="578"/>
        <w:spacing w:after="0" w:line="296"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70" w:lineRule="exact"/>
        <w:rPr>
          <w:sz w:val="20"/>
          <w:szCs w:val="20"/>
          <w:color w:val="auto"/>
        </w:rPr>
      </w:pPr>
    </w:p>
    <w:p>
      <w:pPr>
        <w:ind w:right="20" w:firstLine="578"/>
        <w:spacing w:after="0" w:line="288"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337"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87"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91"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64" w:lineRule="exact"/>
        <w:rPr>
          <w:sz w:val="20"/>
          <w:szCs w:val="20"/>
          <w:color w:val="auto"/>
        </w:rPr>
      </w:pPr>
    </w:p>
    <w:p>
      <w:pPr>
        <w:ind w:right="320" w:firstLine="509"/>
        <w:spacing w:after="0" w:line="293" w:lineRule="auto"/>
        <w:rPr>
          <w:sz w:val="20"/>
          <w:szCs w:val="20"/>
          <w:color w:val="auto"/>
        </w:rPr>
      </w:pPr>
      <w:r>
        <w:rPr>
          <w:rFonts w:ascii="Arial" w:cs="Arial" w:eastAsia="Arial" w:hAnsi="Arial"/>
          <w:sz w:val="18"/>
          <w:szCs w:val="18"/>
          <w:color w:val="auto"/>
        </w:rPr>
        <w:t>Laws and regulations concerning privacy, data protection and information security are evolving, and changes to such laws and regulations could require us to change features of our platform or restrict our customers’ ability to collect and use email addresses,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7" w:name="page48"/>
    <w:bookmarkEnd w:id="47"/>
    <w:p>
      <w:pPr>
        <w:ind w:right="100"/>
        <w:spacing w:after="0" w:line="270" w:lineRule="auto"/>
        <w:rPr>
          <w:sz w:val="20"/>
          <w:szCs w:val="20"/>
          <w:color w:val="auto"/>
        </w:rPr>
      </w:pPr>
      <w:r>
        <w:rPr>
          <w:rFonts w:ascii="Arial" w:cs="Arial" w:eastAsia="Arial" w:hAnsi="Arial"/>
          <w:sz w:val="18"/>
          <w:szCs w:val="18"/>
          <w:color w:val="auto"/>
        </w:rPr>
        <w:t>page viewing data and personal information, which may reduce demand for our platform. Our failure to comply with federal, state and international data privacy laws and regulations could harm our ability to successfully operate our business and pursue our business goals. For example, California recently enacted the California Consumer Privacy Act (the “CCPA”), that, among other things, require covered companies to provide new disclosures to California consumers and afford such consumers new abilities to opt-out of certain sales of personal information. The CCPA recently was amended and it is not yet fully clear how the CCPA will be enforced and how certain of its requirements will be interpreted. We cannot yet predict the impact of the CCPA on our business or operations, but it may require us to modify our data processing practices and policies and to incur substantial costs and expenses in an effort to comply.</w:t>
      </w:r>
    </w:p>
    <w:p>
      <w:pPr>
        <w:spacing w:after="0" w:line="19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Additionally,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91"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Certain other state laws impose similar privacy obligations and we also expect that more states may enact legislation similar to the CCPA, which provides consumers with new privacy rights and increases the privacy and security obligations of entities handling certain personal information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91"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In addition, on March 2, 2021, Virginia enacted the Consumer Data Protection Act (the “CDPA”). The CDPA will become effective January 1, 2023. The CDPA will regulate how businesses (which the CDPA refers to as “controllers”) collect and share personal information.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w:t>
      </w:r>
    </w:p>
    <w:p>
      <w:pPr>
        <w:spacing w:after="0" w:line="174" w:lineRule="exact"/>
        <w:rPr>
          <w:sz w:val="20"/>
          <w:szCs w:val="20"/>
          <w:color w:val="auto"/>
        </w:rPr>
      </w:pPr>
    </w:p>
    <w:p>
      <w:pPr>
        <w:ind w:right="80" w:firstLine="509"/>
        <w:spacing w:after="0" w:line="292" w:lineRule="auto"/>
        <w:rPr>
          <w:sz w:val="20"/>
          <w:szCs w:val="20"/>
          <w:color w:val="auto"/>
        </w:rPr>
      </w:pPr>
      <w:r>
        <w:rPr>
          <w:rFonts w:ascii="Arial" w:cs="Arial" w:eastAsia="Arial" w:hAnsi="Arial"/>
          <w:sz w:val="17"/>
          <w:szCs w:val="17"/>
          <w:color w:val="auto"/>
        </w:rPr>
        <w:t>Also, on July 8, 2021, Colorado’s governor signed the Colorado Privacy Act (“CPA”), into law. The CPA will become effective July 1, 2023. The CPA is rather similar to Virginia’s CPDA but also contains additional requirements. The new measure applies to companies conducting business in Colorado or who produce or deliver commercial products or services intentionally targeted to its residents of the state that either: (1) control or process the personal data of at least 100,000 consumers during a calendar year; or (2) derive revenue or receive a discount on the price of goods or services from the sale of personal data and process or control the personal data of at least 25,000 consumers.</w:t>
      </w:r>
    </w:p>
    <w:p>
      <w:pPr>
        <w:spacing w:after="0" w:line="174"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With the CPA, Colorado became the third state to enact a comprehensive privacy law but it is quite possible that other states will follow suit.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83"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In addition, several foreign jurisdictions, including the European Union and Canada, have regulations dealing with the collection and use of personal information obtained from their residents, which are often more restrictive than those in the U.S. Laws and regulations in these jurisdictions apply broadly to the collection, use, storage, disclosure and security of personal information that identifies or may be used to identify an individual. In relevant part, these laws and regulations may affect our ability to engage in lead generation activities by imposing heightened requirements, such as affirmative opt-ins or consent prior to sending commercial correspondence or engaging in electronic tracking activities. For example, a recent ruling of the European Court of Justice in Case C-673/17 provides that a pre-checked opt-in is insufficient to constitute a valid active consumer consent to cookie storage.</w:t>
      </w:r>
    </w:p>
    <w:p>
      <w:pPr>
        <w:spacing w:after="0" w:line="163" w:lineRule="exact"/>
        <w:rPr>
          <w:sz w:val="20"/>
          <w:szCs w:val="20"/>
          <w:color w:val="auto"/>
        </w:rPr>
      </w:pPr>
    </w:p>
    <w:p>
      <w:pPr>
        <w:ind w:right="60" w:firstLine="509"/>
        <w:spacing w:after="0" w:line="308" w:lineRule="auto"/>
        <w:rPr>
          <w:sz w:val="20"/>
          <w:szCs w:val="20"/>
          <w:color w:val="auto"/>
        </w:rPr>
      </w:pPr>
      <w:r>
        <w:rPr>
          <w:rFonts w:ascii="Arial" w:cs="Arial" w:eastAsia="Arial" w:hAnsi="Arial"/>
          <w:sz w:val="16"/>
          <w:szCs w:val="16"/>
          <w:color w:val="auto"/>
        </w:rPr>
        <w:t>Within the European Union, legislators have adopted the GDPR and which became effective in May 2018 which may impose additional obligations and risk upon our business and which may increase substantially the penalties to which we could be subject in the event of any non-compliance.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United Kingdom specific amendments) into United Kingdom law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The United Kingdom, however, is now regarded as a third country under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ind w:right="140"/>
        <w:spacing w:after="0" w:line="311" w:lineRule="auto"/>
        <w:rPr>
          <w:sz w:val="20"/>
          <w:szCs w:val="20"/>
          <w:color w:val="auto"/>
        </w:rPr>
      </w:pPr>
      <w:r>
        <w:rPr>
          <w:rFonts w:ascii="Arial" w:cs="Arial" w:eastAsia="Arial" w:hAnsi="Arial"/>
          <w:sz w:val="16"/>
          <w:szCs w:val="16"/>
          <w:color w:val="auto"/>
        </w:rPr>
        <w:t>the European Union’s GDPR which means that transfers of personal data from the European Economic Area to the United Kingdom will be restricted unless an appropriate safeguard, as recognized by the European Union’s GDPR, has been put in place. However, under the EU-UK Trade Cooperation Agreement it is lawful to transfer personal data between the United Kingdom and the European Economic Area for a 6 month period following the end of the transition period, with a view to achieving an adequacy decision from the European Commission during that period. Like the European Union GDPR, the UK GDPR restricts personal data transfers outside the United Kingdom to countries not regarded by the United Kingdom as providing adequate protection (this means that personal data transfers from the United Kingdom to the European Economic Area remain free flowing).</w:t>
      </w:r>
    </w:p>
    <w:p>
      <w:pPr>
        <w:spacing w:after="0" w:line="163" w:lineRule="exact"/>
        <w:rPr>
          <w:sz w:val="20"/>
          <w:szCs w:val="20"/>
          <w:color w:val="auto"/>
        </w:rPr>
      </w:pPr>
    </w:p>
    <w:p>
      <w:pPr>
        <w:ind w:right="20" w:firstLine="509"/>
        <w:spacing w:after="0" w:line="302" w:lineRule="auto"/>
        <w:rPr>
          <w:sz w:val="20"/>
          <w:szCs w:val="20"/>
          <w:color w:val="auto"/>
        </w:rPr>
      </w:pPr>
      <w:r>
        <w:rPr>
          <w:rFonts w:ascii="Arial" w:cs="Arial" w:eastAsia="Arial" w:hAnsi="Arial"/>
          <w:sz w:val="16"/>
          <w:szCs w:val="16"/>
          <w:color w:val="auto"/>
        </w:rPr>
        <w:t>On July 12, 2016, the European Commission adopted the EU-US Privacy Shield, a framework for the transfer of personal data from the European Union to the United States, as a successor to the Safe Harbor framework that was invalidated by the European Court of Justice in October 2015. We certified to the EU-US Privacy Shield. On July 16, 2020, the European Court of Justice invalidated the EU–US Privacy Shield ruling that it failed to offer adequate protections for European Union personal data transferred to the United States. The European Court of Justice, in the same decision, deemed that the Standard Contractual Clauses, or SCCs, approved by the European Commission for transfers of personal data between European Union controllers and non-European Union processors are valid, however the European Court of Justice deemed that transfers made pursuant to the SCCs need to be analyzed on a case-by-case basis to ensure the European Union’s standards of data protection are met. Our customer agreements include SCCs. However, as a result of this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If such data transfer to the United States is not permitted, it could have a negative effect on our existing business and on our ability to attract and retain new customers.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Union may require their vendors to host all personal data within the European Union and may decide to do business with one of our competitors who hosts personal data within the European Union instead of doing business with us. In addition, on June 4, 2021, the European Commission issued new forms of standard contractual clauses for data transfers from controllers or processors in the EU/EEA (or otherwise subject to the GDPR) to controllers or processors established outside the EU/EEA (and not subject to the GDPR): The new forms of standard contractual clauses will replace the standard contractual clauses that were adopted previously under the Data Protection Directive. We are in the process of transitioning to the new forms of standard contractual clauses and doing so will require significant effort and cost. The new standard contractual clauses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w:t>
      </w:r>
    </w:p>
    <w:p>
      <w:pPr>
        <w:spacing w:after="0" w:line="172"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The regulatory framework governing the collection, processing, storage, use and sharing of certain information, particularly financial and other personal information, is rapidly evolving and is likely to continue to be subject to uncertainty and varying interpretations. It is possible that these laws may be interpreted and applied in a manner that is inconsistent with our existing data management practices or the features of our services and platform capabilities. Any failure or perceived failure by us, or any third parties with which we do business, to comply with our posted privacy policies, changing consumer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94"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82"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9" w:name="page50"/>
    <w:bookmarkEnd w:id="49"/>
    <w:p>
      <w:pPr>
        <w:ind w:right="180"/>
        <w:spacing w:after="0" w:line="359" w:lineRule="auto"/>
        <w:rPr>
          <w:sz w:val="20"/>
          <w:szCs w:val="20"/>
          <w:color w:val="auto"/>
        </w:rPr>
      </w:pPr>
      <w:r>
        <w:rPr>
          <w:rFonts w:ascii="Arial" w:cs="Arial" w:eastAsia="Arial" w:hAnsi="Arial"/>
          <w:sz w:val="16"/>
          <w:szCs w:val="16"/>
          <w:color w:val="auto"/>
        </w:rPr>
        <w:t>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1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62"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31" w:lineRule="exact"/>
        <w:rPr>
          <w:sz w:val="20"/>
          <w:szCs w:val="20"/>
          <w:color w:val="auto"/>
        </w:rPr>
      </w:pPr>
    </w:p>
    <w:p>
      <w:pPr>
        <w:ind w:left="960"/>
        <w:spacing w:after="0" w:line="308" w:lineRule="auto"/>
        <w:rPr>
          <w:sz w:val="20"/>
          <w:szCs w:val="20"/>
          <w:color w:val="auto"/>
        </w:rPr>
      </w:pPr>
      <w:r>
        <w:rPr>
          <w:rFonts w:ascii="Arial" w:cs="Arial" w:eastAsia="Arial" w:hAnsi="Arial"/>
          <w:sz w:val="16"/>
          <w:szCs w:val="16"/>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55" w:lineRule="exact"/>
        <w:rPr>
          <w:sz w:val="20"/>
          <w:szCs w:val="20"/>
          <w:color w:val="auto"/>
        </w:rPr>
      </w:pPr>
    </w:p>
    <w:p>
      <w:pPr>
        <w:ind w:left="960" w:right="40"/>
        <w:spacing w:after="0" w:line="270" w:lineRule="auto"/>
        <w:rPr>
          <w:sz w:val="20"/>
          <w:szCs w:val="20"/>
          <w:color w:val="auto"/>
        </w:rPr>
      </w:pPr>
      <w:r>
        <w:rPr>
          <w:rFonts w:ascii="Arial" w:cs="Arial" w:eastAsia="Arial" w:hAnsi="Arial"/>
          <w:sz w:val="18"/>
          <w:szCs w:val="18"/>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84" w:lineRule="exact"/>
        <w:rPr>
          <w:sz w:val="20"/>
          <w:szCs w:val="20"/>
          <w:color w:val="auto"/>
        </w:rPr>
      </w:pPr>
    </w:p>
    <w:p>
      <w:pPr>
        <w:ind w:left="960"/>
        <w:spacing w:after="0" w:line="287" w:lineRule="auto"/>
        <w:rPr>
          <w:sz w:val="20"/>
          <w:szCs w:val="20"/>
          <w:color w:val="auto"/>
        </w:rPr>
      </w:pPr>
      <w:r>
        <w:rPr>
          <w:rFonts w:ascii="Arial" w:cs="Arial" w:eastAsia="Arial" w:hAnsi="Arial"/>
          <w:sz w:val="17"/>
          <w:szCs w:val="17"/>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6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0" w:name="page51"/>
    <w:bookmarkEnd w:id="50"/>
    <w:p>
      <w:pPr>
        <w:ind w:right="940"/>
        <w:spacing w:after="0" w:line="277"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CRM Platform and our ability to conduct business.</w:t>
      </w:r>
    </w:p>
    <w:p>
      <w:pPr>
        <w:spacing w:after="0" w:line="62" w:lineRule="exact"/>
        <w:rPr>
          <w:sz w:val="20"/>
          <w:szCs w:val="20"/>
          <w:color w:val="auto"/>
        </w:rPr>
      </w:pPr>
    </w:p>
    <w:p>
      <w:pPr>
        <w:ind w:right="260" w:firstLine="509"/>
        <w:spacing w:after="0" w:line="272"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7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296"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spacing w:after="0" w:line="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CRM Platform and could impair our attractiveness to customers, which would harm our business.</w:t>
      </w:r>
    </w:p>
    <w:p>
      <w:pPr>
        <w:spacing w:after="0" w:line="181"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p>
    <w:p>
      <w:pPr>
        <w:spacing w:after="0" w:line="176"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8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1" w:name="page52"/>
    <w:bookmarkEnd w:id="51"/>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3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State, local, and non-U.S. jurisdictions have differing rules and regulations governing sales, use, value added, Digital Services Tax, and other taxes, and these rules and regulations are subject to varying interpretations that may change over time. In particular, the applicability of such taxes to our CRM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2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CRM Platform and adversely impact our business.</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due to the pandemic and other reasons, we may become subject to additional taxes and our compliance burdens with respect to the tax laws of additional jurisdictions may be increased.</w:t>
      </w:r>
    </w:p>
    <w:p>
      <w:pPr>
        <w:spacing w:after="0" w:line="2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2" w:lineRule="exact"/>
        <w:rPr>
          <w:sz w:val="20"/>
          <w:szCs w:val="20"/>
          <w:color w:val="auto"/>
        </w:rPr>
      </w:pPr>
    </w:p>
    <w:p>
      <w:pPr>
        <w:ind w:right="20" w:firstLine="509"/>
        <w:spacing w:after="0" w:line="280" w:lineRule="auto"/>
        <w:rPr>
          <w:sz w:val="20"/>
          <w:szCs w:val="20"/>
          <w:color w:val="auto"/>
        </w:rPr>
      </w:pPr>
      <w:r>
        <w:rPr>
          <w:rFonts w:ascii="Arial" w:cs="Arial" w:eastAsia="Arial" w:hAnsi="Arial"/>
          <w:sz w:val="17"/>
          <w:szCs w:val="17"/>
          <w:color w:val="auto"/>
        </w:rPr>
        <w:t xml:space="preserve">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t>
      </w:r>
      <w:r>
        <w:rPr>
          <w:rFonts w:ascii="Arial" w:cs="Arial" w:eastAsia="Arial" w:hAnsi="Arial"/>
          <w:sz w:val="15"/>
          <w:szCs w:val="15"/>
          <w:color w:val="auto"/>
        </w:rPr>
        <w:t>or challenges to our tax positions by</w:t>
      </w:r>
      <w:r>
        <w:rPr>
          <w:rFonts w:ascii="Arial" w:cs="Arial" w:eastAsia="Arial" w:hAnsi="Arial"/>
          <w:sz w:val="17"/>
          <w:szCs w:val="17"/>
          <w:color w:val="auto"/>
        </w:rPr>
        <w:t xml:space="preserve"> </w:t>
      </w:r>
      <w:r>
        <w:rPr>
          <w:rFonts w:ascii="Arial" w:cs="Arial" w:eastAsia="Arial" w:hAnsi="Arial"/>
          <w:sz w:val="15"/>
          <w:szCs w:val="15"/>
          <w:color w:val="auto"/>
        </w:rPr>
        <w:t xml:space="preserve">tax authorities, any of </w:t>
      </w:r>
      <w:r>
        <w:rPr>
          <w:rFonts w:ascii="Arial" w:cs="Arial" w:eastAsia="Arial" w:hAnsi="Arial"/>
          <w:sz w:val="16"/>
          <w:szCs w:val="16"/>
          <w:color w:val="auto"/>
        </w:rPr>
        <w:t>which could have a material adverse effect on our liquidity, financial condition or operating results. In addition, the authorities in these</w:t>
      </w:r>
      <w:r>
        <w:rPr>
          <w:rFonts w:ascii="Arial" w:cs="Arial" w:eastAsia="Arial" w:hAnsi="Arial"/>
          <w:sz w:val="15"/>
          <w:szCs w:val="15"/>
          <w:color w:val="auto"/>
        </w:rPr>
        <w:t xml:space="preserve"> </w:t>
      </w:r>
      <w:r>
        <w:rPr>
          <w:rFonts w:ascii="Arial" w:cs="Arial" w:eastAsia="Arial" w:hAnsi="Arial"/>
          <w:sz w:val="16"/>
          <w:szCs w:val="16"/>
          <w:color w:val="auto"/>
        </w:rPr>
        <w:t xml:space="preserve">jurisdictions could review our tax returns and impose additional tax, interest and penalties, and the authorities could claim that various withholding requirements apply to us or our subsidiaries or assert that benefits of tax treaties are not available to us or our subsidiaries, </w:t>
      </w:r>
      <w:r>
        <w:rPr>
          <w:rFonts w:ascii="Arial" w:cs="Arial" w:eastAsia="Arial" w:hAnsi="Arial"/>
          <w:sz w:val="15"/>
          <w:szCs w:val="15"/>
          <w:color w:val="auto"/>
        </w:rPr>
        <w:t>or assert that we are subject to tax in</w:t>
      </w:r>
      <w:r>
        <w:rPr>
          <w:rFonts w:ascii="Arial" w:cs="Arial" w:eastAsia="Arial" w:hAnsi="Arial"/>
          <w:sz w:val="16"/>
          <w:szCs w:val="16"/>
          <w:color w:val="auto"/>
        </w:rPr>
        <w:t xml:space="preserve"> </w:t>
      </w:r>
      <w:r>
        <w:rPr>
          <w:rFonts w:ascii="Arial" w:cs="Arial" w:eastAsia="Arial" w:hAnsi="Arial"/>
          <w:sz w:val="15"/>
          <w:szCs w:val="15"/>
          <w:color w:val="auto"/>
        </w:rPr>
        <w:t xml:space="preserve">a jurisdiction where we believe we have not established a taxable nexus, often referred to as a “permanent establishment” under international tax treaties, </w:t>
      </w:r>
      <w:r>
        <w:rPr>
          <w:rFonts w:ascii="Arial" w:cs="Arial" w:eastAsia="Arial" w:hAnsi="Arial"/>
          <w:sz w:val="16"/>
          <w:szCs w:val="16"/>
          <w:color w:val="auto"/>
        </w:rPr>
        <w:t>any of which</w:t>
      </w:r>
      <w:r>
        <w:rPr>
          <w:rFonts w:ascii="Arial" w:cs="Arial" w:eastAsia="Arial" w:hAnsi="Arial"/>
          <w:sz w:val="15"/>
          <w:szCs w:val="15"/>
          <w:color w:val="auto"/>
        </w:rPr>
        <w:t xml:space="preserve"> </w:t>
      </w:r>
      <w:r>
        <w:rPr>
          <w:rFonts w:ascii="Arial" w:cs="Arial" w:eastAsia="Arial" w:hAnsi="Arial"/>
          <w:sz w:val="16"/>
          <w:szCs w:val="16"/>
          <w:color w:val="auto"/>
        </w:rPr>
        <w:t>could have a material impact on us, our financial condition or our operating results.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29"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8"/>
          <w:szCs w:val="18"/>
          <w:color w:val="auto"/>
        </w:rPr>
        <w:t>We have incurred losses during our history and do not expect to become profitable in the near future, and we may never achieve profitability. As of December 31, 2020, we had approximately $760 million of U.S. federal and $508 million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2" w:name="page53"/>
    <w:bookmarkEnd w:id="52"/>
    <w:p>
      <w:pPr>
        <w:ind w:right="20"/>
        <w:spacing w:after="0" w:line="287" w:lineRule="auto"/>
        <w:rPr>
          <w:sz w:val="20"/>
          <w:szCs w:val="20"/>
          <w:color w:val="auto"/>
        </w:rPr>
      </w:pPr>
      <w:r>
        <w:rPr>
          <w:rFonts w:ascii="Arial" w:cs="Arial" w:eastAsia="Arial" w:hAnsi="Arial"/>
          <w:sz w:val="16"/>
          <w:szCs w:val="16"/>
          <w:color w:val="auto"/>
        </w:rPr>
        <w:t>future income tax liabilities, which could adversely affect our profitability. Under current law, U.S federal and certain state net operating loss carryforwards incurred for periods beginning on or after January 1, 2018 would not expire unused because they can be carried forward indefinitely. Our unused U.S. federal net operating losses arising in taxable years beginning after December 31, 2017 and before January 1, 2021 may be carried back to each of the five taxable years preceding the tax year of such losses, but those losses arising in taxable years beginning after December 31, 2020 may not be carried back. Moreover, for taxable years beginning after December 31, 2020, the deductibility of our U.S. federal net operating losses is limited to 80% of our taxable income in any future taxable year.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31" w:lineRule="exact"/>
        <w:rPr>
          <w:sz w:val="20"/>
          <w:szCs w:val="20"/>
          <w:color w:val="auto"/>
        </w:rPr>
      </w:pPr>
    </w:p>
    <w:p>
      <w:pPr>
        <w:ind w:right="60" w:firstLine="509"/>
        <w:spacing w:after="0" w:line="308" w:lineRule="auto"/>
        <w:rPr>
          <w:sz w:val="20"/>
          <w:szCs w:val="20"/>
          <w:color w:val="auto"/>
        </w:rPr>
      </w:pPr>
      <w:r>
        <w:rPr>
          <w:rFonts w:ascii="Arial" w:cs="Arial" w:eastAsia="Arial" w:hAnsi="Arial"/>
          <w:sz w:val="16"/>
          <w:szCs w:val="16"/>
          <w:color w:val="auto"/>
        </w:rPr>
        <w:t>We generated net losses of $61.5 million and $69.6 million for the nine months ended September 30, 2021 and 2020, respectively. As of September 30, 2021, we had an accumulated deficit of $544.6 million. We will need to generate and sustain increased revenue levels in future periods to become profitable, and, even if we do, we may not be able to maintain or increase our level of profitability. We intend to continue to expend significant funds to grow our marketing, sales, customer service,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may invest funds in social impact investment funds, and may receive no return on our investment or lose our entire investment.</w:t>
      </w:r>
    </w:p>
    <w:p>
      <w:pPr>
        <w:spacing w:after="0" w:line="260"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From time to time, we may invest in social impact investment funds. For example, in December 2020, we committed $20 million to social impact investing. Our first allocation of those funds was a commitment to invest $12.5 million in the Black Economic Development Fund (“BEDF”) over the fall. On March 9, 2021, we made a contribution of $2.3 million in cash in the BEDF. On June 22, 2021, we made an additional contribution of $0.8 million in cash for an aggregate of 5.0% ownership interest and income share in the BEDF. The BEDF is managed by the Local Initiatives Support Corporation (“LISC”), which expects to make investments from the BEDF in the form of bank deposits, bridge financing, and other financing to Black-led businesses, financial institutions, and anchor institutions.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pricing our CRM Platform subscriptions effectively so that we are able to attract and retain customers without compromising our profitability;</w:t>
      </w:r>
    </w:p>
    <w:p>
      <w:pPr>
        <w:spacing w:after="0" w:line="140"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attracting new customers for our marketing, sales, customer service, and content management software, increasing our existing customers’ use of our platform and providing our customers with excellent customer support;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customer renewal rates and the amounts for which agreements are renewed;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global awareness of our thought leadership and brand;</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3" w:name="page54"/>
    <w:bookmarkEnd w:id="53"/>
    <w:p>
      <w:pPr>
        <w:ind w:left="960" w:right="360"/>
        <w:spacing w:after="0" w:line="277" w:lineRule="auto"/>
        <w:rPr>
          <w:sz w:val="20"/>
          <w:szCs w:val="20"/>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17"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amount and timing of costs associated with recruiting, training and integrating new employees while maintaining our company culture;</w:t>
      </w:r>
    </w:p>
    <w:p>
      <w:pPr>
        <w:spacing w:after="0" w:line="140" w:lineRule="exact"/>
        <w:rPr>
          <w:sz w:val="20"/>
          <w:szCs w:val="20"/>
          <w:color w:val="auto"/>
        </w:rPr>
      </w:pPr>
    </w:p>
    <w:p>
      <w:pPr>
        <w:ind w:left="960" w:right="600"/>
        <w:spacing w:after="0" w:line="277" w:lineRule="auto"/>
        <w:rPr>
          <w:sz w:val="20"/>
          <w:szCs w:val="20"/>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CRM Platform in new markets outside of the United States;</w:t>
      </w:r>
    </w:p>
    <w:p>
      <w:pPr>
        <w:spacing w:after="0" w:line="62" w:lineRule="exact"/>
        <w:rPr>
          <w:sz w:val="20"/>
          <w:szCs w:val="20"/>
          <w:color w:val="auto"/>
        </w:rPr>
      </w:pPr>
    </w:p>
    <w:p>
      <w:pPr>
        <w:ind w:left="960" w:right="360"/>
        <w:spacing w:after="0" w:line="277" w:lineRule="auto"/>
        <w:rPr>
          <w:sz w:val="20"/>
          <w:szCs w:val="20"/>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foreign currency exchange rate fluctuations;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rising inflation in the economies in which we operate and our ability to control costs, including operating expenses;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and political conditions in our domestic and international markets.</w:t>
      </w:r>
    </w:p>
    <w:p>
      <w:pPr>
        <w:spacing w:after="0" w:line="225" w:lineRule="exact"/>
        <w:rPr>
          <w:sz w:val="20"/>
          <w:szCs w:val="20"/>
          <w:color w:val="auto"/>
        </w:rPr>
      </w:pPr>
    </w:p>
    <w:p>
      <w:pPr>
        <w:jc w:val="both"/>
        <w:ind w:right="160" w:firstLine="509"/>
        <w:spacing w:after="0" w:line="28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2" w:lineRule="exact"/>
        <w:rPr>
          <w:sz w:val="20"/>
          <w:szCs w:val="20"/>
          <w:color w:val="auto"/>
        </w:rPr>
      </w:pPr>
    </w:p>
    <w:p>
      <w:pPr>
        <w:jc w:val="both"/>
        <w:ind w:right="480" w:firstLine="509"/>
        <w:spacing w:after="0" w:line="311" w:lineRule="auto"/>
        <w:rPr>
          <w:sz w:val="20"/>
          <w:szCs w:val="20"/>
          <w:color w:val="auto"/>
        </w:rPr>
      </w:pPr>
      <w:r>
        <w:rPr>
          <w:rFonts w:ascii="Arial" w:cs="Arial" w:eastAsia="Arial" w:hAnsi="Arial"/>
          <w:sz w:val="16"/>
          <w:szCs w:val="16"/>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2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offer our CRM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3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89"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We incurred indebtedness in the aggregate principal amount of $400.0 million in connection with the issuance of our 0.25% convertible senior notes due June 1, 2022 (the “2022 Notes”). In June 2020, the Company exchanged approximately $272.1 million in aggregate principal amount of the 2022 Notes in privately-negotiated transactions for an aggregate of approximately $283.0 million in cash and 1.6 million shares of common stock. As of September 30, 2021, $22.2 million of principal remains outstanding on the 2022 Notes. In June 2020, concurrent with the partial repurchase of the 2022 Notes, we incurred indebtedness in the aggregate principal amount of $460.0 million in connection with the issuance of our 0.375% convertible senior notes due June 1, 2025 (the “2025 Notes”) and together with the 2022 Notes (the “Notes”). Our ability to make scheduled payments of the principal of, to pay interest on or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4" w:name="page55"/>
    <w:bookmarkEnd w:id="54"/>
    <w:p>
      <w:pPr>
        <w:ind w:right="40"/>
        <w:spacing w:after="0" w:line="287" w:lineRule="auto"/>
        <w:rPr>
          <w:sz w:val="20"/>
          <w:szCs w:val="20"/>
          <w:color w:val="auto"/>
        </w:rPr>
      </w:pPr>
      <w:r>
        <w:rPr>
          <w:rFonts w:ascii="Arial" w:cs="Arial" w:eastAsia="Arial" w:hAnsi="Arial"/>
          <w:sz w:val="17"/>
          <w:szCs w:val="17"/>
          <w:color w:val="auto"/>
        </w:rPr>
        <w:t>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74"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78" w:lineRule="exact"/>
        <w:rPr>
          <w:sz w:val="20"/>
          <w:szCs w:val="20"/>
          <w:color w:val="auto"/>
        </w:rPr>
      </w:pPr>
    </w:p>
    <w:p>
      <w:pPr>
        <w:ind w:right="1040" w:firstLine="509"/>
        <w:spacing w:after="0" w:line="293"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48" w:lineRule="exact"/>
        <w:rPr>
          <w:sz w:val="20"/>
          <w:szCs w:val="20"/>
          <w:color w:val="auto"/>
        </w:rPr>
      </w:pPr>
    </w:p>
    <w:p>
      <w:pPr>
        <w:ind w:left="960" w:right="500"/>
        <w:spacing w:after="0" w:line="277" w:lineRule="auto"/>
        <w:rPr>
          <w:sz w:val="20"/>
          <w:szCs w:val="20"/>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 our flexibility in planning for, or reacting to, changes in our business and our industry;</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place us at a disadvantage compared to our competitors who have less debt;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225" w:lineRule="exact"/>
        <w:rPr>
          <w:sz w:val="20"/>
          <w:szCs w:val="20"/>
          <w:color w:val="auto"/>
        </w:rPr>
      </w:pPr>
    </w:p>
    <w:p>
      <w:pPr>
        <w:ind w:right="620" w:firstLine="509"/>
        <w:spacing w:after="0" w:line="308" w:lineRule="auto"/>
        <w:rPr>
          <w:sz w:val="20"/>
          <w:szCs w:val="20"/>
          <w:color w:val="auto"/>
        </w:rPr>
      </w:pPr>
      <w:r>
        <w:rPr>
          <w:rFonts w:ascii="Arial" w:cs="Arial" w:eastAsia="Arial" w:hAnsi="Arial"/>
          <w:sz w:val="17"/>
          <w:szCs w:val="17"/>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1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In the event the conditional conversion feature of the 2022 Notes or the 2025 Notes is triggered, the holders thereof will be entitled to convert the 2022 Notes or the 2025 Notes respectively, at any time during specified periods at their option.</w:t>
      </w:r>
    </w:p>
    <w:p>
      <w:pPr>
        <w:spacing w:after="0" w:line="62"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Because the last reported sale price of our common stock for at least 20 trading days during the period of 30 consecutive trading days ending on the last trading day of the calendar quarter ended September 30, 2021 was equal to or greater than 130% of the applicable conversion price on each applicable trading day, the 2022 Notes are convertible at the option of the holders thereof during the calendar quarter ending December 31, 2021. In the three months ended September 30, 2021, the Company settled $46.4 million of principal balance of the 2022 Notes in cash. As of October 29, 2021, the Company has received conversion notices for approximately $2.0 million of the principal balance of the 2022 Notes, which will be settled in cash during the quarter ended December 31, 2021. Because the last reported sale price of the Company’s common stock for at least 20 trading days during the period of 30 consecutive trading days ending on the last trading day of the calendar quarter ended September 30, 2021 was equal to or greater than 130% of the applicable conversion price on each applicable trading day, the 2025 Notes are convertible at the option of the holders thereof during the calendar quarter ending December 31, 2021. As of October 29, 2021, the Company has received conversion notices for approximately $1 thousand of the principal balance of the 2025 Notes, which will be settled in cash during the quarter ended December 31, 2021. Whether the Notes that remain outstanding will be convertible following the calendar quarter ending September 30, 2021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98"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62" w:lineRule="exact"/>
        <w:rPr>
          <w:sz w:val="20"/>
          <w:szCs w:val="20"/>
          <w:color w:val="auto"/>
        </w:rPr>
      </w:pPr>
    </w:p>
    <w:p>
      <w:pPr>
        <w:ind w:right="80" w:firstLine="509"/>
        <w:spacing w:after="0" w:line="306" w:lineRule="auto"/>
        <w:rPr>
          <w:sz w:val="20"/>
          <w:szCs w:val="20"/>
          <w:color w:val="auto"/>
        </w:rPr>
      </w:pPr>
      <w:r>
        <w:rPr>
          <w:rFonts w:ascii="Arial" w:cs="Arial" w:eastAsia="Arial" w:hAnsi="Arial"/>
          <w:sz w:val="16"/>
          <w:szCs w:val="16"/>
          <w:color w:val="auto"/>
        </w:rPr>
        <w:t>Under Financial Accounting Standards Board (“FASB”) Accounting Standards Codification 470-20, Debt with Conversion and Other Options, which we refer to as ASC 470-20, an entity must separately account for the liability and equity components of convertible debt instruments (such as the Notes) that may be settled entirely or partially in cash upon conversion in a manner that reflects the issuer’s economic interest cost. ASC 470-20 requires the value of the conversion option of the Notes, representing the equity component, to be recorded as additional paid-in capital within stockholders’ equity in our consolidated balance sheet and as a discount to the Notes, which reduces their initial carrying value. The carrying value of the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Notes.</w:t>
      </w:r>
    </w:p>
    <w:p>
      <w:pPr>
        <w:spacing w:after="0" w:line="170" w:lineRule="exact"/>
        <w:rPr>
          <w:sz w:val="20"/>
          <w:szCs w:val="20"/>
          <w:color w:val="auto"/>
        </w:rPr>
      </w:pPr>
    </w:p>
    <w:p>
      <w:pPr>
        <w:ind w:firstLine="578"/>
        <w:spacing w:after="0" w:line="272" w:lineRule="auto"/>
        <w:rPr>
          <w:sz w:val="20"/>
          <w:szCs w:val="20"/>
          <w:color w:val="auto"/>
        </w:rPr>
      </w:pPr>
      <w:r>
        <w:rPr>
          <w:rFonts w:ascii="Arial" w:cs="Arial" w:eastAsia="Arial" w:hAnsi="Arial"/>
          <w:sz w:val="18"/>
          <w:szCs w:val="18"/>
          <w:color w:val="auto"/>
        </w:rPr>
        <w:t>In addition, under certain circumstances, convertible debt instruments (such as the Notes) that may be settled entirely or partly in cash are currently accounted for utilizing the treasury stock method,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$736.15, through September 30, 2021. The market price of our common stock may fluctuate significantly in response to numerous factors, many of which are beyond our control, including:</w:t>
      </w:r>
    </w:p>
    <w:p>
      <w:pPr>
        <w:spacing w:after="0" w:line="79" w:lineRule="exact"/>
        <w:rPr>
          <w:sz w:val="20"/>
          <w:szCs w:val="20"/>
          <w:color w:val="auto"/>
        </w:rPr>
      </w:pPr>
    </w:p>
    <w:p>
      <w:pPr>
        <w:ind w:left="960" w:right="420"/>
        <w:spacing w:after="0" w:line="277" w:lineRule="auto"/>
        <w:rPr>
          <w:sz w:val="20"/>
          <w:szCs w:val="20"/>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62" w:lineRule="exact"/>
        <w:rPr>
          <w:sz w:val="20"/>
          <w:szCs w:val="20"/>
          <w:color w:val="auto"/>
        </w:rPr>
      </w:pPr>
    </w:p>
    <w:p>
      <w:pPr>
        <w:ind w:left="960" w:right="400"/>
        <w:spacing w:after="0" w:line="277" w:lineRule="auto"/>
        <w:rPr>
          <w:sz w:val="20"/>
          <w:szCs w:val="20"/>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56" w:name="page57"/>
    <w:bookmarkEnd w:id="56"/>
    <w:p>
      <w:pPr>
        <w:ind w:left="960"/>
        <w:spacing w:after="0" w:line="308" w:lineRule="auto"/>
        <w:rPr>
          <w:sz w:val="20"/>
          <w:szCs w:val="20"/>
          <w:color w:val="auto"/>
        </w:rPr>
      </w:pPr>
      <w:r>
        <w:rPr>
          <w:rFonts w:ascii="Arial" w:cs="Arial" w:eastAsia="Arial" w:hAnsi="Arial"/>
          <w:sz w:val="17"/>
          <w:szCs w:val="17"/>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38"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62" w:lineRule="exact"/>
        <w:rPr>
          <w:sz w:val="20"/>
          <w:szCs w:val="20"/>
          <w:color w:val="auto"/>
        </w:rPr>
      </w:pPr>
    </w:p>
    <w:p>
      <w:pPr>
        <w:ind w:left="960" w:right="580"/>
        <w:spacing w:after="0" w:line="277" w:lineRule="auto"/>
        <w:rPr>
          <w:sz w:val="20"/>
          <w:szCs w:val="20"/>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of large blocks of our common stock or the dilutive effect of our Notes or any other equity or equity-linked financings;</w:t>
      </w:r>
    </w:p>
    <w:p>
      <w:pPr>
        <w:spacing w:after="0" w:line="117" w:lineRule="exact"/>
        <w:rPr>
          <w:sz w:val="20"/>
          <w:szCs w:val="20"/>
          <w:color w:val="auto"/>
        </w:rPr>
      </w:pPr>
    </w:p>
    <w:p>
      <w:pPr>
        <w:ind w:left="960" w:right="260"/>
        <w:spacing w:after="0" w:line="277" w:lineRule="auto"/>
        <w:rPr>
          <w:sz w:val="20"/>
          <w:szCs w:val="20"/>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lawsuits threatened or filed against us;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key personnel;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225"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84"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6" w:lineRule="exact"/>
        <w:rPr>
          <w:sz w:val="20"/>
          <w:szCs w:val="20"/>
          <w:color w:val="auto"/>
        </w:rPr>
      </w:pPr>
    </w:p>
    <w:p>
      <w:pPr>
        <w:ind w:right="60" w:firstLine="578"/>
        <w:spacing w:after="0" w:line="272"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or the Dodd-Frank Act, and the rules and regulations of the New York Stock Exchange, or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91" w:lineRule="exact"/>
        <w:rPr>
          <w:sz w:val="20"/>
          <w:szCs w:val="20"/>
          <w:color w:val="auto"/>
        </w:rPr>
      </w:pPr>
    </w:p>
    <w:p>
      <w:pPr>
        <w:ind w:right="20" w:firstLine="578"/>
        <w:spacing w:after="0" w:line="30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0" w:lineRule="exact"/>
        <w:rPr>
          <w:sz w:val="20"/>
          <w:szCs w:val="20"/>
          <w:color w:val="auto"/>
        </w:rPr>
      </w:pPr>
    </w:p>
    <w:p>
      <w:pPr>
        <w:ind w:right="20" w:firstLine="578"/>
        <w:spacing w:after="0" w:line="287" w:lineRule="auto"/>
        <w:rPr>
          <w:sz w:val="20"/>
          <w:szCs w:val="20"/>
          <w:color w:val="auto"/>
        </w:rPr>
      </w:pPr>
      <w:r>
        <w:rPr>
          <w:rFonts w:ascii="Arial" w:cs="Arial" w:eastAsia="Arial" w:hAnsi="Arial"/>
          <w:sz w:val="17"/>
          <w:szCs w:val="17"/>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the pandemic, most of our employees – including those critical to maintaining an effective system of disclosure controls and internal control over financial reporting – are working, and are expected to continue to work for the near term,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960" w:right="800"/>
        <w:spacing w:after="0" w:line="277" w:lineRule="auto"/>
        <w:rPr>
          <w:sz w:val="20"/>
          <w:szCs w:val="20"/>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provide for a classified board of directors whose members serve staggered three-year terms;</w:t>
      </w:r>
    </w:p>
    <w:p>
      <w:pPr>
        <w:spacing w:after="0" w:line="117"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prohibit stockholder action by written consent;</w:t>
      </w:r>
    </w:p>
    <w:p>
      <w:pPr>
        <w:spacing w:after="0" w:line="117"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provide that our directors may be removed only for cause;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authorize our board of directors to modify, alter or repeal our amended and restated bylaws;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24"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1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face exposure to movements in currency exchange rates, which may cause our revenue and operating results to differ materially from expectations. As we have expanded our international operations our exposure exchange rate fluctuations has increased, in particular with respect to the Euro, British Pound Sterling, Australian Dollar, Singapore Dollar, Japanese Yen and Colombian Peso.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58" w:name="page59"/>
    <w:bookmarkEnd w:id="58"/>
    <w:p>
      <w:pPr>
        <w:ind w:right="40"/>
        <w:spacing w:after="0" w:line="277" w:lineRule="auto"/>
        <w:rPr>
          <w:sz w:val="20"/>
          <w:szCs w:val="20"/>
          <w:color w:val="auto"/>
        </w:rPr>
      </w:pPr>
      <w:r>
        <w:rPr>
          <w:rFonts w:ascii="Arial" w:cs="Arial" w:eastAsia="Arial" w:hAnsi="Arial"/>
          <w:sz w:val="18"/>
          <w:szCs w:val="18"/>
          <w:color w:val="auto"/>
        </w:rPr>
        <w:t>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inflation and overall uncertainty with respect to the economy, including with respect to tariff and trade issues. In particular, the economies of countries in Europe have been experiencing weakness associated with high sovereign debt levels, weakness in the banking sector, uncertainty over the future of the Euro zone and volatility in the value of the pound sterling and the Euro, including instability surrounding Brexit.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9" w:name="page60"/>
    <w:bookmarkEnd w:id="59"/>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Report.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24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6"/>
        </w:trPr>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6220" w:type="dxa"/>
            <w:vAlign w:val="bottom"/>
            <w:gridSpan w:val="5"/>
          </w:tcPr>
          <w:p>
            <w:pPr>
              <w:ind w:left="840"/>
              <w:spacing w:after="0"/>
              <w:rPr>
                <w:sz w:val="20"/>
                <w:szCs w:val="20"/>
                <w:color w:val="auto"/>
              </w:rPr>
            </w:pPr>
            <w:r>
              <w:rPr>
                <w:rFonts w:ascii="Arial" w:cs="Arial" w:eastAsia="Arial" w:hAnsi="Arial"/>
                <w:sz w:val="14"/>
                <w:szCs w:val="14"/>
                <w:b w:val="1"/>
                <w:bCs w:val="1"/>
                <w:color w:val="auto"/>
              </w:rPr>
              <w:t>Exhibit Title</w:t>
            </w:r>
          </w:p>
        </w:tc>
      </w:tr>
      <w:tr>
        <w:trPr>
          <w:trHeight w:val="377"/>
        </w:trPr>
        <w:tc>
          <w:tcPr>
            <w:tcW w:w="1240" w:type="dxa"/>
            <w:vAlign w:val="bottom"/>
          </w:tcPr>
          <w:p>
            <w:pPr>
              <w:ind w:left="180"/>
              <w:spacing w:after="0"/>
              <w:rPr>
                <w:sz w:val="20"/>
                <w:szCs w:val="20"/>
                <w:color w:val="auto"/>
              </w:rPr>
            </w:pPr>
            <w:r>
              <w:rPr>
                <w:rFonts w:ascii="Arial" w:cs="Arial" w:eastAsia="Arial" w:hAnsi="Arial"/>
                <w:sz w:val="18"/>
                <w:szCs w:val="18"/>
                <w:color w:val="auto"/>
              </w:rPr>
              <w:t>3.1(1)</w:t>
            </w:r>
          </w:p>
        </w:tc>
        <w:tc>
          <w:tcPr>
            <w:tcW w:w="9960" w:type="dxa"/>
            <w:vAlign w:val="bottom"/>
            <w:gridSpan w:val="7"/>
          </w:tcPr>
          <w:p>
            <w:pPr>
              <w:spacing w:after="0"/>
              <w:rPr>
                <w:rFonts w:ascii="Arial" w:cs="Arial" w:eastAsia="Arial" w:hAnsi="Arial"/>
                <w:sz w:val="18"/>
                <w:szCs w:val="18"/>
                <w:color w:val="0000FF"/>
              </w:rPr>
            </w:pPr>
            <w:hyperlink r:id="rId393">
              <w:r>
                <w:rPr>
                  <w:rFonts w:ascii="Arial" w:cs="Arial" w:eastAsia="Arial" w:hAnsi="Arial"/>
                  <w:sz w:val="18"/>
                  <w:szCs w:val="18"/>
                  <w:color w:val="0000FF"/>
                </w:rPr>
                <w:t>Amended and Restated Certificate of Incorporation of the Registrant</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9"/>
        </w:trPr>
        <w:tc>
          <w:tcPr>
            <w:tcW w:w="1240" w:type="dxa"/>
            <w:vAlign w:val="bottom"/>
          </w:tcPr>
          <w:p>
            <w:pPr>
              <w:ind w:left="180"/>
              <w:spacing w:after="0"/>
              <w:rPr>
                <w:sz w:val="20"/>
                <w:szCs w:val="20"/>
                <w:color w:val="auto"/>
              </w:rPr>
            </w:pPr>
            <w:r>
              <w:rPr>
                <w:rFonts w:ascii="Arial" w:cs="Arial" w:eastAsia="Arial" w:hAnsi="Arial"/>
                <w:sz w:val="18"/>
                <w:szCs w:val="18"/>
                <w:color w:val="auto"/>
              </w:rPr>
              <w:t>3.2(2)</w:t>
            </w:r>
          </w:p>
        </w:tc>
        <w:tc>
          <w:tcPr>
            <w:tcW w:w="9960" w:type="dxa"/>
            <w:vAlign w:val="bottom"/>
            <w:gridSpan w:val="7"/>
          </w:tcPr>
          <w:p>
            <w:pPr>
              <w:spacing w:after="0"/>
              <w:rPr>
                <w:rFonts w:ascii="Arial" w:cs="Arial" w:eastAsia="Arial" w:hAnsi="Arial"/>
                <w:sz w:val="18"/>
                <w:szCs w:val="18"/>
                <w:color w:val="0000FF"/>
              </w:rPr>
            </w:pPr>
            <w:hyperlink r:id="rId394">
              <w:r>
                <w:rPr>
                  <w:rFonts w:ascii="Arial" w:cs="Arial" w:eastAsia="Arial" w:hAnsi="Arial"/>
                  <w:sz w:val="18"/>
                  <w:szCs w:val="18"/>
                  <w:color w:val="0000FF"/>
                </w:rPr>
                <w:t>Third Amended and Restated Bylaws of the Registrant (as currently in effect)</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06"/>
        </w:trPr>
        <w:tc>
          <w:tcPr>
            <w:tcW w:w="1240" w:type="dxa"/>
            <w:vAlign w:val="bottom"/>
          </w:tcPr>
          <w:p>
            <w:pPr>
              <w:ind w:left="180"/>
              <w:spacing w:after="0"/>
              <w:rPr>
                <w:sz w:val="20"/>
                <w:szCs w:val="20"/>
                <w:color w:val="auto"/>
              </w:rPr>
            </w:pPr>
            <w:r>
              <w:rPr>
                <w:rFonts w:ascii="Arial" w:cs="Arial" w:eastAsia="Arial" w:hAnsi="Arial"/>
                <w:sz w:val="18"/>
                <w:szCs w:val="18"/>
                <w:color w:val="auto"/>
              </w:rPr>
              <w:t>4.1(3)</w:t>
            </w:r>
          </w:p>
        </w:tc>
        <w:tc>
          <w:tcPr>
            <w:tcW w:w="9960" w:type="dxa"/>
            <w:vAlign w:val="bottom"/>
            <w:gridSpan w:val="7"/>
          </w:tcPr>
          <w:p>
            <w:pPr>
              <w:spacing w:after="0"/>
              <w:rPr>
                <w:rFonts w:ascii="Arial" w:cs="Arial" w:eastAsia="Arial" w:hAnsi="Arial"/>
                <w:sz w:val="18"/>
                <w:szCs w:val="18"/>
                <w:color w:val="0000FF"/>
              </w:rPr>
            </w:pPr>
            <w:hyperlink r:id="rId395">
              <w:r>
                <w:rPr>
                  <w:rFonts w:ascii="Arial" w:cs="Arial" w:eastAsia="Arial" w:hAnsi="Arial"/>
                  <w:sz w:val="18"/>
                  <w:szCs w:val="18"/>
                  <w:color w:val="0000FF"/>
                </w:rPr>
                <w:t>Form of Common Stock certificate of the Registrant</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240" w:type="dxa"/>
            <w:vAlign w:val="bottom"/>
          </w:tcPr>
          <w:p>
            <w:pPr>
              <w:jc w:val="center"/>
              <w:ind w:right="172"/>
              <w:spacing w:after="0"/>
              <w:rPr>
                <w:sz w:val="20"/>
                <w:szCs w:val="20"/>
                <w:color w:val="auto"/>
              </w:rPr>
            </w:pPr>
            <w:r>
              <w:rPr>
                <w:rFonts w:ascii="Arial" w:cs="Arial" w:eastAsia="Arial" w:hAnsi="Arial"/>
                <w:sz w:val="18"/>
                <w:szCs w:val="18"/>
                <w:color w:val="auto"/>
              </w:rPr>
              <w:t>31.1**</w:t>
            </w:r>
          </w:p>
        </w:tc>
        <w:tc>
          <w:tcPr>
            <w:tcW w:w="9960" w:type="dxa"/>
            <w:vAlign w:val="bottom"/>
            <w:gridSpan w:val="7"/>
          </w:tcPr>
          <w:p>
            <w:pPr>
              <w:spacing w:after="0"/>
              <w:rPr>
                <w:rFonts w:ascii="Arial" w:cs="Arial" w:eastAsia="Arial" w:hAnsi="Arial"/>
                <w:sz w:val="18"/>
                <w:szCs w:val="18"/>
                <w:color w:val="0000FF"/>
                <w:w w:val="95"/>
              </w:rPr>
            </w:pPr>
            <w:hyperlink w:anchor="page62">
              <w:r>
                <w:rPr>
                  <w:rFonts w:ascii="Arial" w:cs="Arial" w:eastAsia="Arial" w:hAnsi="Arial"/>
                  <w:sz w:val="18"/>
                  <w:szCs w:val="18"/>
                  <w:color w:val="0000FF"/>
                  <w:w w:val="95"/>
                </w:rPr>
                <w:t>Certification of Principal Executive Officer pursuant to Rule 13a-14(a) or Rule 15d-14(a) of the Securities Exchange Act of 1934, as</w:t>
              </w:r>
            </w:hyperlink>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46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9960" w:type="dxa"/>
            <w:vAlign w:val="bottom"/>
            <w:gridSpan w:val="7"/>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amended</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4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8"/>
        </w:trPr>
        <w:tc>
          <w:tcPr>
            <w:tcW w:w="1240" w:type="dxa"/>
            <w:vAlign w:val="bottom"/>
          </w:tcPr>
          <w:p>
            <w:pPr>
              <w:jc w:val="center"/>
              <w:ind w:right="172"/>
              <w:spacing w:after="0"/>
              <w:rPr>
                <w:sz w:val="20"/>
                <w:szCs w:val="20"/>
                <w:color w:val="auto"/>
              </w:rPr>
            </w:pPr>
            <w:r>
              <w:rPr>
                <w:rFonts w:ascii="Arial" w:cs="Arial" w:eastAsia="Arial" w:hAnsi="Arial"/>
                <w:sz w:val="18"/>
                <w:szCs w:val="18"/>
                <w:color w:val="auto"/>
              </w:rPr>
              <w:t>31.2**</w:t>
            </w:r>
          </w:p>
        </w:tc>
        <w:tc>
          <w:tcPr>
            <w:tcW w:w="9960" w:type="dxa"/>
            <w:vAlign w:val="bottom"/>
            <w:gridSpan w:val="7"/>
          </w:tcPr>
          <w:p>
            <w:pPr>
              <w:spacing w:after="0"/>
              <w:rPr>
                <w:rFonts w:ascii="Arial" w:cs="Arial" w:eastAsia="Arial" w:hAnsi="Arial"/>
                <w:sz w:val="18"/>
                <w:szCs w:val="18"/>
                <w:color w:val="0000FF"/>
                <w:w w:val="96"/>
              </w:rPr>
            </w:pPr>
            <w:hyperlink w:anchor="page63">
              <w:r>
                <w:rPr>
                  <w:rFonts w:ascii="Arial" w:cs="Arial" w:eastAsia="Arial" w:hAnsi="Arial"/>
                  <w:sz w:val="18"/>
                  <w:szCs w:val="18"/>
                  <w:color w:val="0000FF"/>
                  <w:w w:val="96"/>
                </w:rPr>
                <w:t>Certification of Principal Financial Officer pursuant to Rule 13a-14(a) or Rule 15d-14(a) of the Securities Exchange Act of 1934, as</w:t>
              </w:r>
            </w:hyperlink>
          </w:p>
        </w:tc>
      </w:tr>
      <w:tr>
        <w:trPr>
          <w:trHeight w:val="20"/>
        </w:trPr>
        <w:tc>
          <w:tcPr>
            <w:tcW w:w="1240" w:type="dxa"/>
            <w:vAlign w:val="bottom"/>
          </w:tcPr>
          <w:p>
            <w:pPr>
              <w:spacing w:after="0" w:line="20" w:lineRule="exact"/>
              <w:rPr>
                <w:sz w:val="1"/>
                <w:szCs w:val="1"/>
                <w:color w:val="auto"/>
              </w:rPr>
            </w:pPr>
          </w:p>
        </w:tc>
        <w:tc>
          <w:tcPr>
            <w:tcW w:w="910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9960" w:type="dxa"/>
            <w:vAlign w:val="bottom"/>
            <w:gridSpan w:val="7"/>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amended</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46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98"/>
        </w:trPr>
        <w:tc>
          <w:tcPr>
            <w:tcW w:w="1240" w:type="dxa"/>
            <w:vAlign w:val="bottom"/>
          </w:tcPr>
          <w:p>
            <w:pPr>
              <w:jc w:val="center"/>
              <w:ind w:right="192"/>
              <w:spacing w:after="0"/>
              <w:rPr>
                <w:sz w:val="20"/>
                <w:szCs w:val="20"/>
                <w:color w:val="auto"/>
              </w:rPr>
            </w:pPr>
            <w:r>
              <w:rPr>
                <w:rFonts w:ascii="Arial" w:cs="Arial" w:eastAsia="Arial" w:hAnsi="Arial"/>
                <w:sz w:val="18"/>
                <w:szCs w:val="18"/>
                <w:color w:val="auto"/>
                <w:w w:val="95"/>
              </w:rPr>
              <w:t>32.1*</w:t>
            </w:r>
          </w:p>
        </w:tc>
        <w:tc>
          <w:tcPr>
            <w:tcW w:w="9960" w:type="dxa"/>
            <w:vAlign w:val="bottom"/>
            <w:gridSpan w:val="7"/>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Principal Executive Officer and Principal Financial Officer pursuant to Section 906 of the Sarbanes-Oxley Act</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9100" w:type="dxa"/>
            <w:vAlign w:val="bottom"/>
            <w:tcBorders>
              <w:right w:val="single" w:sz="8" w:color="0000EE"/>
            </w:tcBorders>
            <w:gridSpan w:val="5"/>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38"/>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7"/>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r>
      <w:tr>
        <w:trPr>
          <w:trHeight w:val="230"/>
        </w:trPr>
        <w:tc>
          <w:tcPr>
            <w:tcW w:w="1240" w:type="dxa"/>
            <w:vAlign w:val="bottom"/>
          </w:tcPr>
          <w:p>
            <w:pPr>
              <w:spacing w:after="0"/>
              <w:rPr>
                <w:sz w:val="20"/>
                <w:szCs w:val="20"/>
                <w:color w:val="auto"/>
              </w:rPr>
            </w:pPr>
          </w:p>
        </w:tc>
        <w:tc>
          <w:tcPr>
            <w:tcW w:w="996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19"/>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9960" w:type="dxa"/>
            <w:vAlign w:val="bottom"/>
            <w:gridSpan w:val="7"/>
          </w:tcPr>
          <w:p>
            <w:pPr>
              <w:spacing w:after="0"/>
              <w:rPr>
                <w:sz w:val="20"/>
                <w:szCs w:val="20"/>
                <w:color w:val="auto"/>
              </w:rPr>
            </w:pPr>
            <w:r>
              <w:rPr>
                <w:rFonts w:ascii="Arial" w:cs="Arial" w:eastAsia="Arial" w:hAnsi="Arial"/>
                <w:sz w:val="18"/>
                <w:szCs w:val="18"/>
                <w:color w:val="auto"/>
                <w:w w:val="92"/>
              </w:rPr>
              <w:t>Cover Page Interactive Data File (formatted as Inline XBRL with applicable taxonomy extension information contained in Exhibits 101.*)</w:t>
            </w:r>
          </w:p>
        </w:tc>
      </w:tr>
    </w:tbl>
    <w:p>
      <w:pPr>
        <w:spacing w:after="0" w:line="121" w:lineRule="exact"/>
        <w:rPr>
          <w:sz w:val="20"/>
          <w:szCs w:val="20"/>
          <w:color w:val="auto"/>
        </w:rPr>
      </w:pPr>
    </w:p>
    <w:p>
      <w:pPr>
        <w:ind w:left="360" w:hanging="307"/>
        <w:spacing w:after="0"/>
        <w:tabs>
          <w:tab w:leader="none" w:pos="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46" w:lineRule="exact"/>
        <w:rPr>
          <w:rFonts w:ascii="Arial" w:cs="Arial" w:eastAsia="Arial" w:hAnsi="Arial"/>
          <w:sz w:val="18"/>
          <w:szCs w:val="18"/>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Annual Report on Form 10-K filed on February 24, 2016.</w:t>
      </w:r>
    </w:p>
    <w:p>
      <w:pPr>
        <w:spacing w:after="0" w:line="36"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3.2 to HubSpot Inc.’s Quarterly Report on Form 10-Q filed on November 5, 2020.</w:t>
      </w:r>
    </w:p>
    <w:p>
      <w:pPr>
        <w:spacing w:after="0" w:line="23" w:lineRule="exact"/>
        <w:rPr>
          <w:rFonts w:ascii="Arial" w:cs="Arial" w:eastAsia="Arial" w:hAnsi="Arial"/>
          <w:sz w:val="18"/>
          <w:szCs w:val="18"/>
          <w:color w:val="auto"/>
        </w:rPr>
      </w:pPr>
    </w:p>
    <w:p>
      <w:pPr>
        <w:ind w:left="520" w:right="20" w:hanging="512"/>
        <w:spacing w:after="0" w:line="292" w:lineRule="auto"/>
        <w:tabs>
          <w:tab w:leader="none" w:pos="371"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4.1 to Amendment No. 1 to Registrant’s Registration Statement on Form S-1 (SEC File No. 333-198333) filed on September 26, 2014.</w:t>
      </w:r>
    </w:p>
    <w:p>
      <w:pPr>
        <w:spacing w:after="0" w:line="211" w:lineRule="exact"/>
        <w:rPr>
          <w:sz w:val="20"/>
          <w:szCs w:val="20"/>
          <w:color w:val="auto"/>
        </w:rPr>
      </w:pPr>
    </w:p>
    <w:p>
      <w:pPr>
        <w:ind w:left="520" w:right="100" w:hanging="512"/>
        <w:spacing w:after="0" w:line="325" w:lineRule="auto"/>
        <w:tabs>
          <w:tab w:leader="none" w:pos="4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HUBSPOT, INC.</w:t>
      </w:r>
    </w:p>
    <w:p>
      <w:pPr>
        <w:spacing w:after="0" w:line="351" w:lineRule="exact"/>
        <w:rPr>
          <w:sz w:val="20"/>
          <w:szCs w:val="20"/>
          <w:color w:val="auto"/>
        </w:rPr>
      </w:pPr>
    </w:p>
    <w:tbl>
      <w:tblPr>
        <w:tblLayout w:type="fixed"/>
        <w:tblInd w:w="6780" w:type="dxa"/>
        <w:tblCellMar>
          <w:top w:w="0" w:type="dxa"/>
          <w:left w:w="0" w:type="dxa"/>
          <w:bottom w:w="0" w:type="dxa"/>
          <w:right w:w="0" w:type="dxa"/>
        </w:tblCellMar>
      </w:tblPr>
      <w:tr>
        <w:trPr>
          <w:trHeight w:val="24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Kate Bueker</w:t>
            </w: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ind w:left="20"/>
              <w:spacing w:after="0"/>
              <w:rPr>
                <w:sz w:val="20"/>
                <w:szCs w:val="20"/>
                <w:color w:val="auto"/>
              </w:rPr>
            </w:pPr>
            <w:r>
              <w:rPr>
                <w:rFonts w:ascii="Arial" w:cs="Arial" w:eastAsia="Arial" w:hAnsi="Arial"/>
                <w:sz w:val="18"/>
                <w:szCs w:val="18"/>
                <w:color w:val="auto"/>
              </w:rPr>
              <w:t>Kate Bueker</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6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w:t>
            </w:r>
          </w:p>
        </w:tc>
      </w:tr>
      <w:tr>
        <w:trPr>
          <w:trHeight w:val="230"/>
        </w:trPr>
        <w:tc>
          <w:tcPr>
            <w:tcW w:w="68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i w:val="1"/>
                <w:iCs w:val="1"/>
                <w:color w:val="auto"/>
              </w:rPr>
              <w:t>Officer and Authorized Signatory)</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3, 2021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1" w:name="page62"/>
    <w:bookmarkEnd w:id="61"/>
    <w:p>
      <w:pPr>
        <w:ind w:left="10260"/>
        <w:spacing w:after="0"/>
        <w:rPr>
          <w:sz w:val="20"/>
          <w:szCs w:val="20"/>
          <w:color w:val="auto"/>
        </w:rPr>
      </w:pPr>
      <w:r>
        <w:rPr>
          <w:rFonts w:ascii="Arial" w:cs="Arial" w:eastAsia="Arial" w:hAnsi="Arial"/>
          <w:sz w:val="17"/>
          <w:szCs w:val="17"/>
          <w:b w:val="1"/>
          <w:bCs w:val="1"/>
          <w:color w:val="auto"/>
        </w:rPr>
        <w:t>Exhibit 31.1</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Exchange Act Rules 13a-14(a) and 15d-14(a),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Yamini Rangan, certify that:</w:t>
      </w:r>
    </w:p>
    <w:p>
      <w:pPr>
        <w:spacing w:after="0" w:line="131"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30" w:lineRule="exact"/>
        <w:rPr>
          <w:rFonts w:ascii="Arial" w:cs="Arial" w:eastAsia="Arial" w:hAnsi="Arial"/>
          <w:sz w:val="18"/>
          <w:szCs w:val="18"/>
          <w:color w:val="auto"/>
        </w:rPr>
      </w:pPr>
    </w:p>
    <w:p>
      <w:pPr>
        <w:jc w:val="both"/>
        <w:ind w:left="440" w:right="300" w:hanging="432"/>
        <w:spacing w:after="0" w:line="27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60" w:hanging="432"/>
        <w:spacing w:after="0" w:line="324"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00" w:hanging="432"/>
        <w:spacing w:after="0" w:line="27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60" w:hanging="441"/>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60" w:hanging="441"/>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40" w:hanging="441"/>
        <w:spacing w:after="0" w:line="359" w:lineRule="auto"/>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40" w:hanging="441"/>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40" w:hanging="432"/>
        <w:spacing w:after="0" w:line="324"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780" w:hanging="441"/>
        <w:spacing w:after="0" w:line="359" w:lineRule="auto"/>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60" w:hanging="441"/>
        <w:spacing w:after="0" w:line="293"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640" w:val="left"/>
          <w:tab w:leader="none" w:pos="73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23495</wp:posOffset>
            </wp:positionV>
            <wp:extent cx="24860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4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Yamini Rangan</w:t>
      </w:r>
    </w:p>
    <w:p>
      <w:pPr>
        <w:spacing w:after="0" w:line="5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31"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30"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1"/>
        <w:spacing w:after="0" w:line="279"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60" w:hanging="441"/>
        <w:spacing w:after="0" w:line="279"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1"/>
        <w:spacing w:after="0" w:line="29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700" w:val="left"/>
          <w:tab w:leader="none" w:pos="710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23495</wp:posOffset>
            </wp:positionV>
            <wp:extent cx="26231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Kate Bueker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I, Yamini Rangan, certify, pursuant to 18 U.S.C. Section 1350, as adopted pursuant to Section 906 of the Sarbanes-Oxley Act of 2002, that, to my knowledge, the Quarterly Report on Form 10-Q of HubSpot, Inc. for the period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212"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6"/>
          <w:szCs w:val="16"/>
          <w:color w:val="auto"/>
        </w:rPr>
        <w:t>By:  /s/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23495</wp:posOffset>
            </wp:positionV>
            <wp:extent cx="262318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Yamini Rangan</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Quarterly Report on Form 10-Q of HubSpot, Inc. for the period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212"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6"/>
          <w:szCs w:val="16"/>
          <w:color w:val="auto"/>
        </w:rPr>
        <w:t>By:  /s/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23495</wp:posOffset>
            </wp:positionV>
            <wp:extent cx="262318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Kate Bueker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Officer)</w:t>
      </w:r>
    </w:p>
    <w:p>
      <w:pPr>
        <w:spacing w:after="0" w:line="292" w:lineRule="exact"/>
        <w:rPr>
          <w:sz w:val="20"/>
          <w:szCs w:val="20"/>
          <w:color w:val="auto"/>
        </w:rPr>
      </w:pPr>
    </w:p>
    <w:p>
      <w:pPr>
        <w:ind w:right="80" w:firstLine="509"/>
        <w:spacing w:after="0" w:line="329"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393" Type="http://schemas.openxmlformats.org/officeDocument/2006/relationships/hyperlink" Target="https://www.sec.gov/Archives/edgar/data/1404655/000156459016013204/hubs-ex31_768.htm" TargetMode="External"/><Relationship Id="rId394" Type="http://schemas.openxmlformats.org/officeDocument/2006/relationships/hyperlink" Target="https://www.sec.gov/Archives/edgar/data/1404655/000156459020051449/hubs-ex32_103.htm" TargetMode="External"/><Relationship Id="rId395" Type="http://schemas.openxmlformats.org/officeDocument/2006/relationships/hyperlink" Target="https://www.sec.gov/Archives/edgar/data/1404655/000119312514353746/d6972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2021-11-03T15:56:07Z</dcterms:created>
  <dcterms:modified xsi:type="dcterms:W3CDTF">2021-11-03T15:56:07Z</dcterms:modified>
</cp:coreProperties>
</file>