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Shah Dharmesh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HUBSPOT,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 CANAL PARK</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CAMBRIDGE</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02141</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HUBSPOT INC</w:t>
              </w:r>
            </w:hyperlink>
            <w:r>
              <w:rPr/>
              <w:t xml:space="preserve"> [ </w:t>
            </w:r>
            <w:r>
              <w:rPr>
                <w:rFonts w:ascii="Times;serif" w:hAnsi="Times;serif"/>
                <w:color w:val="0000FF"/>
                <w:sz w:val="24"/>
                <w:shd w:fill="FFFFFF" w:val="clear"/>
              </w:rPr>
              <w:t>HUBS</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Technology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07/01/2026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160"/>
        <w:gridCol w:w="908"/>
        <w:gridCol w:w="779"/>
        <w:gridCol w:w="603"/>
        <w:gridCol w:w="343"/>
        <w:gridCol w:w="778"/>
        <w:gridCol w:w="435"/>
        <w:gridCol w:w="840"/>
        <w:gridCol w:w="1259"/>
        <w:gridCol w:w="976"/>
        <w:gridCol w:w="1124"/>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16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5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25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7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12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16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77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3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84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25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7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124"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07/01/2026</w:t>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00FF"/>
                <w:sz w:val="20"/>
                <w:shd w:fill="FFFFFF" w:val="clear"/>
              </w:rPr>
              <w:t>F</w:t>
            </w:r>
            <w:r>
              <w:rPr>
                <w:rFonts w:ascii="Times;serif" w:hAnsi="Times;serif"/>
                <w:color w:val="008000"/>
                <w:position w:val="7"/>
                <w:sz w:val="16"/>
                <w:sz w:val="20"/>
                <w:shd w:fill="FFFFFF" w:val="clear"/>
              </w:rPr>
              <w:t>(1)</w:t>
            </w:r>
            <w:r>
              <w:rPr/>
              <w:t xml:space="preserve"> </w:t>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436</w:t>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187.72</w:t>
            </w:r>
            <w:r>
              <w:rPr/>
              <w:t xml:space="preserve"> </w:t>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1,294,387</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16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16,000</w:t>
            </w:r>
          </w:p>
        </w:tc>
        <w:tc>
          <w:tcPr>
            <w:tcW w:w="97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(2)</w:t>
            </w:r>
            <w:r>
              <w:rPr/>
              <w:t xml:space="preserve"> </w:t>
            </w:r>
          </w:p>
        </w:tc>
      </w:tr>
      <w:tr>
        <w:trPr/>
        <w:tc>
          <w:tcPr>
            <w:tcW w:w="216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3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25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11,000</w:t>
            </w:r>
          </w:p>
        </w:tc>
        <w:tc>
          <w:tcPr>
            <w:tcW w:w="97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12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See Footnote.</w:t>
            </w:r>
            <w:r>
              <w:rPr>
                <w:rFonts w:ascii="Times;serif" w:hAnsi="Times;serif"/>
                <w:color w:val="008000"/>
                <w:position w:val="7"/>
                <w:sz w:val="16"/>
                <w:sz w:val="20"/>
                <w:shd w:fill="FFFFFF" w:val="clear"/>
              </w:rPr>
              <w:t>(3)</w:t>
            </w:r>
            <w:r>
              <w:rPr/>
              <w:t xml:space="preserve"> </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Shares withheld by Issuer to cover taxes associated with settlement of restricted stock units.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Shares held by the Polaris 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Shares held by the Polaris II Trust, for which Dharmesh Shah serves as trustee. The reporting person disclaims beneficial ownership of these securities in excess of his pecuniary interest therein, and the filing of this report is not an admission that the reporting person is the beneficial owner of these securities for purposes of Section 16 or for any other purpose.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Melissa Peterson,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07/02/2026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jc w:val="center"/>
        <w:rPr>
          <w:rFonts w:ascii="Times New Roman" w:hAnsi="Times New Roman"/>
          <w:b/>
          <w:color w:val="000000"/>
          <w:sz w:val="22"/>
        </w:rPr>
      </w:pPr>
      <w:bookmarkStart w:id="2" w:name="hubs-ex24.htm"/>
      <w:bookmarkStart w:id="3" w:name="kshubsex24"/>
      <w:bookmarkEnd w:id="2"/>
      <w:bookmarkEnd w:id="3"/>
      <w:r>
        <w:rPr>
          <w:rFonts w:ascii="Times New Roman" w:hAnsi="Times New Roman"/>
          <w:b/>
          <w:color w:val="000000"/>
          <w:sz w:val="22"/>
        </w:rPr>
        <w:t>LIMITED POWER OF ATTORNEY</w:t>
      </w:r>
      <w:r>
        <w:br w:type="page"/>
      </w:r>
    </w:p>
    <w:p>
      <w:pPr>
        <w:pStyle w:val="TextBody"/>
        <w:bidi w:val="0"/>
        <w:jc w:val="center"/>
        <w:rPr/>
      </w:pPr>
      <w:r>
        <w:rPr/>
        <w:t> </w:t>
      </w:r>
    </w:p>
    <w:p>
      <w:pPr>
        <w:pStyle w:val="TextBody"/>
        <w:bidi w:val="0"/>
        <w:jc w:val="left"/>
        <w:rPr>
          <w:rFonts w:ascii="Times New Roman" w:hAnsi="Times New Roman"/>
          <w:color w:val="000000"/>
          <w:sz w:val="22"/>
        </w:rPr>
      </w:pPr>
      <w:r>
        <w:rPr>
          <w:rFonts w:ascii="Times New Roman" w:hAnsi="Times New Roman"/>
          <w:color w:val="000000"/>
          <w:sz w:val="22"/>
        </w:rPr>
        <w:t>The undersigned hereby constitutes and appoints each of Erika Fisher, Erik Didrikson, Sarah Burt, Melissa Peterson, Jacob Rosen, and Joseph Theis (of Goodwin Procter LLP), signing singly, and with full power of substitution, the undersigned’s true and lawful attorney-in-fact to:</w:t>
      </w:r>
    </w:p>
    <w:p>
      <w:pPr>
        <w:pStyle w:val="TextBody"/>
        <w:bidi w:val="0"/>
        <w:jc w:val="both"/>
        <w:rPr>
          <w:rFonts w:ascii="Times New Roman" w:hAnsi="Times New Roman"/>
          <w:color w:val="000000"/>
          <w:sz w:val="22"/>
        </w:rPr>
      </w:pPr>
      <w:r>
        <w:rPr>
          <w:rFonts w:ascii="Times New Roman" w:hAnsi="Times New Roman"/>
          <w:color w:val="000000"/>
          <w:sz w:val="22"/>
        </w:rPr>
        <w:t>(1) execute for and on behalf of the undersigned, in the undersigned’s capacity as an officer and/or director of HubSpot, Inc. (the “Company”), from time to time the following U.S. Securities and Exchange Commission (“SEC”) forms: (i) Form ID, including any attached documents, to effect the assignment of codes to the undersigned to be used in the transmission of information to the SEC using the EDGAR System; (ii) Form 3, Initial Statement of Beneficial Ownership of Securities, including any attached documents; (iii) Form 4, Statement of Changes in Beneficial Ownership of Securities, including any attached documents; (iv) Form 5, Annual Statement of Beneficial Ownership of Securities in accordance with Section 16(a) of the Securities Exchange Act of 1934, as amended, and the rules thereunder, including any attached documents; (v) Schedule 13D and (vi) amendments of each thereof, in accordance with the Securities Exchange Act of 1934, as amended, and the rules thereunder, including any attached documents;</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(2) do and perform any and all acts for and on behalf of the undersigned which may be necessary or desirable to complete and execute any such Form 3, 4 or 5, Schedule 13D or any amendment(s) thereto, and timely file such form(s) with the SEC and any securities exchange, national association or similar authority; and</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(3) 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undersigned hereby grants to each such attorney-in-fact, acting singly,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or Regulation 13D-G of the Securities Exchange Act of 1934, as amended. The undersigned hereby agrees to indemnify the attorney in fact and the Company from and against any demand, damage, loss, cost or expense arising from any false or misleading information provided by the undersigned to the attorney-in 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This Power of Attorney shall remain in full force and effect until the undersigned is no longer required to file such forms with respect to the undersigned’s holdings of and transactions in securities issued by the Company, unless earlier revoked by the undersigned in a signed writing delivered to the foregoing attorneys-in-fact.</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IN WITNESS WHEREOF, the undersigned has caused this Power of Attorney to be executed as of the date set forth below.</w:t>
      </w:r>
    </w:p>
    <w:p>
      <w:pPr>
        <w:pStyle w:val="TextBody"/>
        <w:bidi w:val="0"/>
        <w:jc w:val="both"/>
        <w:rPr/>
      </w:pPr>
      <w:r>
        <w:rPr/>
        <w:t> </w:t>
      </w:r>
    </w:p>
    <w:p>
      <w:pPr>
        <w:pStyle w:val="TextBody"/>
        <w:bidi w:val="0"/>
        <w:jc w:val="left"/>
        <w:rPr>
          <w:rFonts w:ascii="Times New Roman" w:hAnsi="Times New Roman"/>
          <w:color w:val="000000"/>
          <w:sz w:val="22"/>
          <w:u w:val="single"/>
        </w:rPr>
      </w:pPr>
      <w:r>
        <w:rPr>
          <w:rFonts w:ascii="Times New Roman" w:hAnsi="Times New Roman"/>
          <w:color w:val="000000"/>
          <w:sz w:val="22"/>
          <w:u w:val="single"/>
        </w:rPr>
        <w:t>/s/ Dharmesh Shah</w:t>
      </w:r>
    </w:p>
    <w:p>
      <w:pPr>
        <w:pStyle w:val="TextBody"/>
        <w:bidi w:val="0"/>
        <w:jc w:val="left"/>
        <w:rPr>
          <w:rFonts w:ascii="Times New Roman" w:hAnsi="Times New Roman"/>
          <w:color w:val="000000"/>
          <w:sz w:val="22"/>
        </w:rPr>
      </w:pPr>
      <w:r>
        <w:rPr>
          <w:rFonts w:ascii="Times New Roman" w:hAnsi="Times New Roman"/>
          <w:color w:val="000000"/>
          <w:sz w:val="22"/>
        </w:rPr>
        <w:t>Name: Dharmesh Shah</w:t>
      </w:r>
    </w:p>
    <w:p>
      <w:pPr>
        <w:pStyle w:val="TextBody"/>
        <w:bidi w:val="0"/>
        <w:jc w:val="left"/>
        <w:rPr>
          <w:rFonts w:ascii="Times New Roman" w:hAnsi="Times New Roman"/>
          <w:color w:val="000000"/>
          <w:sz w:val="22"/>
        </w:rPr>
      </w:pPr>
      <w:r>
        <w:rPr>
          <w:rFonts w:ascii="Times New Roman" w:hAnsi="Times New Roman"/>
          <w:color w:val="000000"/>
          <w:sz w:val="22"/>
        </w:rPr>
        <w:t>Date: June 26, 2026</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20814" TargetMode="External"/><Relationship Id="rId5" Type="http://schemas.openxmlformats.org/officeDocument/2006/relationships/hyperlink" Target="http://www.sec.gov/cgi-bin/browse-edgar?action=getcompany&amp;CIK=0001404655"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1326</Words>
  <Characters>7099</Characters>
  <CharactersWithSpaces>8352</CharactersWithSpaces>
  <Paragraphs>128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