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hubs-20230630.htm"/>
      <w:bookmarkStart w:id="1" w:name="kshubs20230630"/>
      <w:bookmarkEnd w:id="0"/>
      <w:bookmarkEnd w:id="1"/>
      <w:r>
        <w:rPr/>
        <w:t> </w:t>
      </w:r>
    </w:p>
    <w:p>
      <w:pPr>
        <w:pStyle w:val="TextBody"/>
        <w:bidi w:val="0"/>
        <w:spacing w:before="60" w:after="0"/>
        <w:jc w:val="center"/>
        <w:rPr>
          <w:rFonts w:ascii="Times New Roman;serif" w:hAnsi="Times New Roman;serif"/>
          <w:b/>
          <w:sz w:val="18"/>
        </w:rPr>
      </w:pPr>
      <w:r>
        <w:rPr>
          <w:rFonts w:ascii="Times New Roman;serif" w:hAnsi="Times New Roman;serif"/>
          <w:b/>
          <w:sz w:val="18"/>
        </w:rPr>
        <w:t>UNITED STATES</w:t>
      </w:r>
    </w:p>
    <w:p>
      <w:pPr>
        <w:pStyle w:val="TextBody"/>
        <w:bidi w:val="0"/>
        <w:spacing w:before="0" w:after="0"/>
        <w:jc w:val="center"/>
        <w:rPr>
          <w:rFonts w:ascii="Times New Roman;serif" w:hAnsi="Times New Roman;serif"/>
          <w:b/>
          <w:sz w:val="18"/>
        </w:rPr>
      </w:pPr>
      <w:r>
        <w:rPr>
          <w:rFonts w:ascii="Times New Roman;serif" w:hAnsi="Times New Roman;serif"/>
          <w:b/>
          <w:sz w:val="18"/>
        </w:rPr>
        <w:t>SECURITIES AND EXCHANGE COMMISSION</w:t>
      </w:r>
    </w:p>
    <w:p>
      <w:pPr>
        <w:pStyle w:val="TextBody"/>
        <w:bidi w:val="0"/>
        <w:spacing w:before="0" w:after="0"/>
        <w:jc w:val="center"/>
        <w:rPr>
          <w:rFonts w:ascii="Times New Roman;serif" w:hAnsi="Times New Roman;serif"/>
          <w:b/>
          <w:sz w:val="18"/>
        </w:rPr>
      </w:pPr>
      <w:r>
        <w:rPr>
          <w:rFonts w:ascii="Times New Roman;serif" w:hAnsi="Times New Roman;serif"/>
          <w:b/>
          <w:sz w:val="18"/>
        </w:rPr>
        <w:t>Washington, D.C. 20549</w:t>
      </w:r>
    </w:p>
    <w:p>
      <w:pPr>
        <w:pStyle w:val="TextBody"/>
        <w:pBdr>
          <w:bottom w:val="single" w:sz="4" w:space="1" w:color="000000"/>
        </w:pBdr>
        <w:bidi w:val="0"/>
        <w:spacing w:before="0" w:after="0"/>
        <w:jc w:val="center"/>
        <w:rPr/>
      </w:pPr>
      <w:r>
        <w:rPr/>
        <w:t> </w:t>
      </w:r>
    </w:p>
    <w:p>
      <w:pPr>
        <w:pStyle w:val="TextBody"/>
        <w:bidi w:val="0"/>
        <w:spacing w:before="100" w:after="0"/>
        <w:jc w:val="center"/>
        <w:rPr>
          <w:rFonts w:ascii="Times New Roman;serif" w:hAnsi="Times New Roman;serif"/>
          <w:b/>
          <w:sz w:val="26"/>
        </w:rPr>
      </w:pPr>
      <w:r>
        <w:rPr>
          <w:rFonts w:ascii="Times New Roman;serif" w:hAnsi="Times New Roman;serif"/>
          <w:b/>
          <w:sz w:val="26"/>
        </w:rPr>
        <w:t>FORM 10-Q</w:t>
      </w:r>
    </w:p>
    <w:p>
      <w:pPr>
        <w:pStyle w:val="TextBody"/>
        <w:pBdr>
          <w:bottom w:val="single" w:sz="4" w:space="1" w:color="000000"/>
        </w:pBdr>
        <w:bidi w:val="0"/>
        <w:spacing w:before="0" w:after="0"/>
        <w:jc w:val="center"/>
        <w:rPr/>
      </w:pPr>
      <w:r>
        <w:rPr/>
        <w:t> </w:t>
      </w:r>
    </w:p>
    <w:p>
      <w:pPr>
        <w:pStyle w:val="TextBody"/>
        <w:bidi w:val="0"/>
        <w:spacing w:before="100" w:after="0"/>
        <w:jc w:val="left"/>
        <w:rPr>
          <w:rFonts w:ascii="Times New Roman;serif" w:hAnsi="Times New Roman;serif"/>
          <w:b/>
          <w:sz w:val="18"/>
        </w:rPr>
      </w:pPr>
      <w:r>
        <w:rPr>
          <w:rFonts w:ascii="Times New Roman;serif" w:hAnsi="Times New Roman;serif"/>
          <w:b/>
          <w:sz w:val="18"/>
        </w:rPr>
        <w:t>(MARK ONE)</w:t>
      </w:r>
    </w:p>
    <w:p>
      <w:pPr>
        <w:pStyle w:val="TextBody"/>
        <w:bidi w:val="0"/>
        <w:spacing w:before="0" w:after="0"/>
        <w:jc w:val="left"/>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QUARTERLY REPORT PURSUANT TO SECTION 13 OR 15(d) OF THE SECURITIES EXCHANGE ACT OF 1934</w:t>
            </w:r>
          </w:p>
        </w:tc>
      </w:tr>
    </w:tbl>
    <w:p>
      <w:pPr>
        <w:pStyle w:val="TextBody"/>
        <w:bidi w:val="0"/>
        <w:spacing w:before="0" w:after="0"/>
        <w:jc w:val="left"/>
        <w:rPr/>
      </w:pPr>
      <w:r>
        <w:rPr/>
        <w:t> </w:t>
      </w:r>
    </w:p>
    <w:p>
      <w:pPr>
        <w:pStyle w:val="TextBody"/>
        <w:bidi w:val="0"/>
        <w:spacing w:before="100" w:after="0"/>
        <w:jc w:val="center"/>
        <w:rPr>
          <w:rFonts w:ascii="Times New Roman;serif" w:hAnsi="Times New Roman;serif"/>
          <w:b/>
          <w:sz w:val="18"/>
        </w:rPr>
      </w:pPr>
      <w:r>
        <w:rPr>
          <w:rFonts w:ascii="Times New Roman;serif" w:hAnsi="Times New Roman;serif"/>
          <w:b/>
          <w:sz w:val="18"/>
        </w:rPr>
        <w:t>FOR THE QUARTERLY PERIOD ENDED June 30, 2023</w:t>
      </w:r>
    </w:p>
    <w:p>
      <w:pPr>
        <w:pStyle w:val="TextBody"/>
        <w:bidi w:val="0"/>
        <w:spacing w:before="100" w:after="0"/>
        <w:jc w:val="center"/>
        <w:rPr>
          <w:rFonts w:ascii="Times New Roman;serif" w:hAnsi="Times New Roman;serif"/>
          <w:b/>
          <w:sz w:val="18"/>
        </w:rPr>
      </w:pPr>
      <w:r>
        <w:rPr>
          <w:rFonts w:ascii="Times New Roman;serif" w:hAnsi="Times New Roman;serif"/>
          <w:b/>
          <w:sz w:val="18"/>
        </w:rPr>
        <w:t>OR</w:t>
      </w:r>
    </w:p>
    <w:p>
      <w:pPr>
        <w:pStyle w:val="TextBody"/>
        <w:bidi w:val="0"/>
        <w:spacing w:before="0" w:after="0"/>
        <w:jc w:val="left"/>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TRANSITION REPORT PURSUANT TO SECTION 13 OR 15(d) OF THE SECURITIES EXCHANGE ACT OF 1934</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18"/>
        </w:rPr>
        <w:t>FOR THE TRANSITION PERIOD FROM TO</w:t>
      </w:r>
      <w:r>
        <w:rPr>
          <w:rFonts w:ascii="Times New Roman" w:hAnsi="Times New Roman"/>
          <w:sz w:val="20"/>
        </w:rPr>
        <w:t xml:space="preserve"> </w:t>
      </w:r>
    </w:p>
    <w:p>
      <w:pPr>
        <w:pStyle w:val="TextBody"/>
        <w:bidi w:val="0"/>
        <w:spacing w:before="100" w:after="0"/>
        <w:jc w:val="center"/>
        <w:rPr>
          <w:rFonts w:ascii="Times New Roman;serif" w:hAnsi="Times New Roman;serif"/>
          <w:b/>
          <w:sz w:val="18"/>
        </w:rPr>
      </w:pPr>
      <w:r>
        <w:rPr>
          <w:rFonts w:ascii="Times New Roman;serif" w:hAnsi="Times New Roman;serif"/>
          <w:b/>
          <w:sz w:val="18"/>
        </w:rPr>
        <w:t>COMMISSION FILE NUMBER 001-36680</w:t>
      </w:r>
    </w:p>
    <w:p>
      <w:pPr>
        <w:pStyle w:val="TextBody"/>
        <w:pBdr>
          <w:bottom w:val="single" w:sz="4" w:space="1" w:color="000000"/>
        </w:pBdr>
        <w:bidi w:val="0"/>
        <w:spacing w:before="0" w:after="0"/>
        <w:jc w:val="center"/>
        <w:rPr/>
      </w:pPr>
      <w:r>
        <w:rPr/>
        <w:t> </w:t>
      </w:r>
    </w:p>
    <w:p>
      <w:pPr>
        <w:pStyle w:val="TextBody"/>
        <w:bidi w:val="0"/>
        <w:spacing w:before="100" w:after="0"/>
        <w:jc w:val="center"/>
        <w:rPr>
          <w:rFonts w:ascii="Times New Roman;serif" w:hAnsi="Times New Roman;serif"/>
          <w:b/>
          <w:sz w:val="44"/>
        </w:rPr>
      </w:pPr>
      <w:r>
        <w:rPr>
          <w:rFonts w:ascii="Times New Roman;serif" w:hAnsi="Times New Roman;serif"/>
          <w:b/>
          <w:sz w:val="44"/>
        </w:rPr>
        <w:t>HubSpot, Inc.</w:t>
      </w:r>
    </w:p>
    <w:p>
      <w:pPr>
        <w:pStyle w:val="TextBody"/>
        <w:bidi w:val="0"/>
        <w:spacing w:before="0" w:after="0"/>
        <w:jc w:val="center"/>
        <w:rPr>
          <w:rFonts w:ascii="Times New Roman;serif" w:hAnsi="Times New Roman;serif"/>
          <w:b/>
          <w:sz w:val="18"/>
        </w:rPr>
      </w:pPr>
      <w:r>
        <w:rPr>
          <w:rFonts w:ascii="Times New Roman;serif" w:hAnsi="Times New Roman;serif"/>
          <w:b/>
          <w:sz w:val="18"/>
        </w:rPr>
        <w:t>(Exact name of registrant as specified in its charter)</w:t>
      </w:r>
    </w:p>
    <w:p>
      <w:pPr>
        <w:pStyle w:val="TextBody"/>
        <w:pBdr>
          <w:bottom w:val="single" w:sz="4" w:space="1" w:color="000000"/>
        </w:pBdr>
        <w:bidi w:val="0"/>
        <w:spacing w:before="0" w:after="0"/>
        <w:jc w:val="center"/>
        <w:rPr/>
      </w:pPr>
      <w:r>
        <w:rPr/>
        <w:t> </w:t>
      </w:r>
    </w:p>
    <w:tbl>
      <w:tblPr>
        <w:tblW w:w="4116" w:type="dxa"/>
        <w:jc w:val="left"/>
        <w:tblInd w:w="0" w:type="dxa"/>
        <w:tblLayout w:type="fixed"/>
        <w:tblCellMar>
          <w:top w:w="28" w:type="dxa"/>
          <w:left w:w="28" w:type="dxa"/>
          <w:bottom w:w="28" w:type="dxa"/>
          <w:right w:w="28" w:type="dxa"/>
        </w:tblCellMar>
      </w:tblPr>
      <w:tblGrid>
        <w:gridCol w:w="2446"/>
        <w:gridCol w:w="109"/>
        <w:gridCol w:w="1561"/>
      </w:tblGrid>
      <w:tr>
        <w:trPr/>
        <w:tc>
          <w:tcPr>
            <w:tcW w:w="2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446"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Delaware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61"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20-2632791</w:t>
            </w:r>
          </w:p>
        </w:tc>
      </w:tr>
      <w:tr>
        <w:trPr/>
        <w:tc>
          <w:tcPr>
            <w:tcW w:w="2446"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(State or other jurisdiction of</w:t>
            </w:r>
          </w:p>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incorporation or organization)</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61"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(I.R.S. Employer</w:t>
            </w:r>
          </w:p>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Identification No.)</w:t>
            </w:r>
          </w:p>
        </w:tc>
      </w:tr>
    </w:tbl>
    <w:p>
      <w:pPr>
        <w:pStyle w:val="TextBody"/>
        <w:bidi w:val="0"/>
        <w:spacing w:before="0" w:after="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283"/>
              <w:jc w:val="left"/>
              <w:rPr>
                <w:sz w:val="4"/>
                <w:szCs w:val="4"/>
              </w:rPr>
            </w:pPr>
            <w:r>
              <w:rPr>
                <w:sz w:val="4"/>
                <w:szCs w:val="4"/>
              </w:rPr>
            </w:r>
          </w:p>
        </w:tc>
      </w:tr>
      <w:tr>
        <w:trPr/>
        <w:tc>
          <w:tcPr>
            <w:tcW w:w="348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9"/>
              </w:rPr>
            </w:pPr>
            <w:r>
              <w:rPr>
                <w:rFonts w:ascii="Times New Roman;serif" w:hAnsi="Times New Roman;serif"/>
                <w:b/>
                <w:sz w:val="19"/>
              </w:rPr>
              <w:t>Two Canal Park</w:t>
            </w:r>
          </w:p>
        </w:tc>
      </w:tr>
      <w:tr>
        <w:trPr/>
        <w:tc>
          <w:tcPr>
            <w:tcW w:w="348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19"/>
              </w:rPr>
              <w:t>Cambridge, Massachusetts</w:t>
            </w:r>
            <w:r>
              <w:rPr>
                <w:rFonts w:ascii="Times New Roman" w:hAnsi="Times New Roman"/>
                <w:sz w:val="20"/>
              </w:rPr>
              <w:t xml:space="preserve"> </w:t>
            </w:r>
            <w:r>
              <w:rPr>
                <w:rFonts w:ascii="Times New Roman;serif" w:hAnsi="Times New Roman;serif"/>
                <w:b/>
                <w:sz w:val="19"/>
              </w:rPr>
              <w:t>02141</w:t>
            </w:r>
          </w:p>
        </w:tc>
      </w:tr>
      <w:tr>
        <w:trPr/>
        <w:tc>
          <w:tcPr>
            <w:tcW w:w="348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r>
              <w:rPr>
                <w:rFonts w:ascii="Times New Roman;serif" w:hAnsi="Times New Roman;serif"/>
                <w:b/>
                <w:sz w:val="19"/>
              </w:rPr>
              <w:t>(Address of principal executive offices)</w:t>
            </w:r>
          </w:p>
        </w:tc>
      </w:tr>
    </w:tbl>
    <w:p>
      <w:pPr>
        <w:pStyle w:val="TextBody"/>
        <w:bidi w:val="0"/>
        <w:spacing w:before="100" w:after="0"/>
        <w:jc w:val="center"/>
        <w:rPr>
          <w:rFonts w:ascii="Times New Roman;serif" w:hAnsi="Times New Roman;serif"/>
          <w:b/>
          <w:sz w:val="18"/>
        </w:rPr>
      </w:pPr>
      <w:r>
        <w:rPr>
          <w:rFonts w:ascii="Times New Roman;serif" w:hAnsi="Times New Roman;serif"/>
          <w:b/>
          <w:sz w:val="18"/>
        </w:rPr>
        <w:t>(888) 482-7768</w:t>
      </w:r>
    </w:p>
    <w:p>
      <w:pPr>
        <w:pStyle w:val="TextBody"/>
        <w:bidi w:val="0"/>
        <w:spacing w:before="0" w:after="0"/>
        <w:jc w:val="center"/>
        <w:rPr>
          <w:rFonts w:ascii="Times New Roman;serif" w:hAnsi="Times New Roman;serif"/>
          <w:b/>
          <w:sz w:val="18"/>
        </w:rPr>
      </w:pPr>
      <w:r>
        <w:rPr>
          <w:rFonts w:ascii="Times New Roman;serif" w:hAnsi="Times New Roman;serif"/>
          <w:b/>
          <w:sz w:val="18"/>
        </w:rPr>
        <w:t>(Registrant’s telephone number, including area code)</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18"/>
        </w:rPr>
      </w:pPr>
      <w:r>
        <w:rPr>
          <w:rFonts w:ascii="Times New Roman;serif" w:hAnsi="Times New Roman;serif"/>
          <w:b/>
          <w:sz w:val="18"/>
        </w:rPr>
        <w:t>Securities registered pursuant to Section 12(b) of the Act:</w:t>
      </w:r>
    </w:p>
    <w:p>
      <w:pPr>
        <w:pStyle w:val="TextBody"/>
        <w:bidi w:val="0"/>
        <w:spacing w:before="0" w:after="0"/>
        <w:jc w:val="left"/>
        <w:rPr/>
      </w:pPr>
      <w:r>
        <w:rPr/>
        <w:t> </w:t>
      </w:r>
    </w:p>
    <w:tbl>
      <w:tblPr>
        <w:tblW w:w="8770" w:type="dxa"/>
        <w:jc w:val="left"/>
        <w:tblInd w:w="0" w:type="dxa"/>
        <w:tblLayout w:type="fixed"/>
        <w:tblCellMar>
          <w:top w:w="28" w:type="dxa"/>
          <w:left w:w="28" w:type="dxa"/>
          <w:bottom w:w="28" w:type="dxa"/>
          <w:right w:w="28" w:type="dxa"/>
        </w:tblCellMar>
      </w:tblPr>
      <w:tblGrid>
        <w:gridCol w:w="3436"/>
        <w:gridCol w:w="146"/>
        <w:gridCol w:w="1561"/>
        <w:gridCol w:w="146"/>
        <w:gridCol w:w="348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Name of each exchange on which registered</w:t>
            </w:r>
          </w:p>
        </w:tc>
      </w:tr>
      <w:tr>
        <w:trPr/>
        <w:tc>
          <w:tcPr>
            <w:tcW w:w="3436"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Common Stock, par value $0.001 per share</w:t>
            </w:r>
          </w:p>
        </w:tc>
        <w:tc>
          <w:tcPr>
            <w:tcW w:w="146" w:type="dxa"/>
            <w:tcBorders/>
            <w:vAlign w:val="center"/>
          </w:tcPr>
          <w:p>
            <w:pPr>
              <w:pStyle w:val="TableContents"/>
              <w:bidi w:val="0"/>
              <w:spacing w:before="0" w:after="0"/>
              <w:ind w:left="0" w:right="0" w:hanging="0"/>
              <w:jc w:val="center"/>
              <w:rPr/>
            </w:pPr>
            <w:r>
              <w:rPr/>
              <w:t> </w:t>
            </w:r>
          </w:p>
        </w:tc>
        <w:tc>
          <w:tcPr>
            <w:tcW w:w="1561"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HUBS</w:t>
            </w:r>
          </w:p>
        </w:tc>
        <w:tc>
          <w:tcPr>
            <w:tcW w:w="146" w:type="dxa"/>
            <w:tcBorders/>
            <w:vAlign w:val="center"/>
          </w:tcPr>
          <w:p>
            <w:pPr>
              <w:pStyle w:val="TableContents"/>
              <w:bidi w:val="0"/>
              <w:spacing w:before="0" w:after="0"/>
              <w:ind w:left="0" w:right="0" w:hanging="0"/>
              <w:jc w:val="center"/>
              <w:rPr/>
            </w:pPr>
            <w:r>
              <w:rPr/>
              <w:t> </w:t>
            </w:r>
          </w:p>
        </w:tc>
        <w:tc>
          <w:tcPr>
            <w:tcW w:w="3481"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New York Stock Exchange</w:t>
            </w:r>
          </w:p>
        </w:tc>
      </w:tr>
    </w:tbl>
    <w:p>
      <w:pPr>
        <w:pStyle w:val="TextBody"/>
        <w:pBdr>
          <w:bottom w:val="single" w:sz="4" w:space="1" w:color="000000"/>
        </w:pBdr>
        <w:bidi w:val="0"/>
        <w:spacing w:before="0" w:after="0"/>
        <w:jc w:val="center"/>
        <w:rPr/>
      </w:pPr>
      <w:r>
        <w:rPr/>
        <w:t> </w:t>
      </w:r>
    </w:p>
    <w:p>
      <w:pPr>
        <w:pStyle w:val="TextBody"/>
        <w:bidi w:val="0"/>
        <w:spacing w:before="60" w:after="0"/>
        <w:jc w:val="left"/>
        <w:rPr>
          <w:rFonts w:ascii="Times New Roman" w:hAnsi="Times New Roman"/>
          <w:sz w:val="20"/>
        </w:rPr>
      </w:pPr>
      <w:r>
        <w:rPr>
          <w:rFonts w:ascii="Times New Roman;serif" w:hAnsi="Times New Roman;serif"/>
          <w:b w:val="false"/>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serif" w:hAnsi="Times New Roman;serif"/>
          <w:b w:val="false"/>
          <w:caps/>
          <w:sz w:val="18"/>
        </w:rPr>
        <w:t>Yes</w:t>
      </w:r>
      <w:r>
        <w:rPr>
          <w:rFonts w:ascii="Times New Roman" w:hAnsi="Times New Roman"/>
          <w:sz w:val="20"/>
        </w:rPr>
        <w:t xml:space="preserve"> ☒ </w:t>
      </w:r>
      <w:r>
        <w:rPr>
          <w:rFonts w:ascii="Times New Roman;serif" w:hAnsi="Times New Roman;serif"/>
          <w:b w:val="false"/>
          <w:sz w:val="18"/>
        </w:rPr>
        <w:t>NO ☐</w:t>
      </w:r>
    </w:p>
    <w:p>
      <w:pPr>
        <w:pStyle w:val="TextBody"/>
        <w:bidi w:val="0"/>
        <w:spacing w:before="0" w:after="0"/>
        <w:jc w:val="left"/>
        <w:rPr>
          <w:rFonts w:ascii="Times New Roman" w:hAnsi="Times New Roman"/>
          <w:sz w:val="20"/>
        </w:rPr>
      </w:pPr>
      <w:r>
        <w:rPr>
          <w:rFonts w:ascii="Times New Roman;serif" w:hAnsi="Times New Roman;serif"/>
          <w:b w:val="false"/>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serif" w:hAnsi="Times New Roman;serif"/>
          <w:b w:val="false"/>
          <w:caps/>
          <w:sz w:val="18"/>
        </w:rPr>
        <w:t>Yes</w:t>
      </w:r>
      <w:r>
        <w:rPr>
          <w:rFonts w:ascii="Times New Roman" w:hAnsi="Times New Roman"/>
          <w:sz w:val="20"/>
        </w:rPr>
        <w:t xml:space="preserve"> ☒ </w:t>
      </w:r>
      <w:r>
        <w:rPr>
          <w:rFonts w:ascii="Times New Roman;serif" w:hAnsi="Times New Roman;serif"/>
          <w:b w:val="false"/>
          <w:sz w:val="18"/>
        </w:rPr>
        <w:t>NO ☐</w:t>
      </w:r>
    </w:p>
    <w:p>
      <w:pPr>
        <w:pStyle w:val="TextBody"/>
        <w:bidi w:val="0"/>
        <w:spacing w:before="0" w:after="0"/>
        <w:jc w:val="left"/>
        <w:rPr>
          <w:rFonts w:ascii="Times New Roman" w:hAnsi="Times New Roman"/>
          <w:sz w:val="20"/>
        </w:rPr>
      </w:pPr>
      <w:r>
        <w:rPr>
          <w:rFonts w:ascii="Times New Roman;serif" w:hAnsi="Times New Roman;serif"/>
          <w:b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tbl>
      <w:tblPr>
        <w:tblW w:w="5257" w:type="dxa"/>
        <w:jc w:val="left"/>
        <w:tblInd w:w="0" w:type="dxa"/>
        <w:tblLayout w:type="fixed"/>
        <w:tblCellMar>
          <w:top w:w="28" w:type="dxa"/>
          <w:left w:w="28" w:type="dxa"/>
          <w:bottom w:w="28" w:type="dxa"/>
          <w:right w:w="28" w:type="dxa"/>
        </w:tblCellMar>
      </w:tblPr>
      <w:tblGrid>
        <w:gridCol w:w="2056"/>
        <w:gridCol w:w="146"/>
        <w:gridCol w:w="37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76" w:type="dxa"/>
            <w:tcBorders/>
            <w:vAlign w:val="center"/>
          </w:tcPr>
          <w:p>
            <w:pPr>
              <w:pStyle w:val="TableContents"/>
              <w:bidi w:val="0"/>
              <w:spacing w:before="0" w:after="0"/>
              <w:ind w:left="0" w:right="0" w:hanging="0"/>
              <w:jc w:val="left"/>
              <w:rPr/>
            </w:pPr>
            <w:r>
              <w:rPr/>
              <w:t xml:space="preserve">☐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8"/>
        </w:rPr>
      </w:pPr>
      <w:r>
        <w:rPr>
          <w:rFonts w:ascii="Times New Roman;serif" w:hAnsi="Times New Roman;serif"/>
          <w:b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0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 NO </w:t>
      </w:r>
      <w:r>
        <w:rPr>
          <w:rFonts w:ascii="Times New Roman" w:hAnsi="Times New Roman"/>
          <w:sz w:val="20"/>
        </w:rPr>
        <w:t>☒</w:t>
      </w:r>
    </w:p>
    <w:p>
      <w:pPr>
        <w:pStyle w:val="TextBody"/>
        <w:bidi w:val="0"/>
        <w:spacing w:before="100" w:after="0"/>
        <w:jc w:val="left"/>
        <w:rPr>
          <w:rFonts w:ascii="Times New Roman" w:hAnsi="Times New Roman"/>
          <w:sz w:val="20"/>
        </w:rPr>
      </w:pPr>
      <w:r>
        <w:rPr>
          <w:rFonts w:ascii="Times New Roman;serif" w:hAnsi="Times New Roman;serif"/>
          <w:b w:val="false"/>
          <w:sz w:val="18"/>
        </w:rPr>
        <w:t>There were 50,015,326</w:t>
      </w:r>
      <w:r>
        <w:rPr>
          <w:rFonts w:ascii="Times New Roman" w:hAnsi="Times New Roman"/>
          <w:sz w:val="20"/>
        </w:rPr>
        <w:t xml:space="preserve"> </w:t>
      </w:r>
      <w:r>
        <w:rPr>
          <w:rFonts w:ascii="Times New Roman;serif" w:hAnsi="Times New Roman;serif"/>
          <w:b w:val="false"/>
          <w:sz w:val="18"/>
        </w:rPr>
        <w:t>shares of the registrant’s Common Stock issued and outstanding as of July 28, 2023.</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HUBSPOT, INC.</w:t>
      </w:r>
    </w:p>
    <w:p>
      <w:pPr>
        <w:pStyle w:val="TextBody"/>
        <w:bidi w:val="0"/>
        <w:spacing w:before="240" w:after="0"/>
        <w:jc w:val="center"/>
        <w:rPr>
          <w:rFonts w:ascii="Times New Roman;serif" w:hAnsi="Times New Roman;serif"/>
          <w:b/>
          <w:sz w:val="20"/>
        </w:rPr>
      </w:pPr>
      <w:r>
        <w:rPr>
          <w:rFonts w:ascii="Times New Roman;serif" w:hAnsi="Times New Roman;serif"/>
          <w:b/>
          <w:sz w:val="20"/>
        </w:rPr>
        <w:t>Table of Contents</w:t>
      </w:r>
    </w:p>
    <w:tbl>
      <w:tblPr>
        <w:tblW w:w="10205" w:type="dxa"/>
        <w:jc w:val="left"/>
        <w:tblInd w:w="0" w:type="dxa"/>
        <w:tblLayout w:type="fixed"/>
        <w:tblCellMar>
          <w:top w:w="28" w:type="dxa"/>
          <w:left w:w="28" w:type="dxa"/>
          <w:bottom w:w="28" w:type="dxa"/>
          <w:right w:w="28" w:type="dxa"/>
        </w:tblCellMar>
      </w:tblPr>
      <w:tblGrid>
        <w:gridCol w:w="976"/>
        <w:gridCol w:w="391"/>
        <w:gridCol w:w="8477"/>
        <w:gridCol w:w="361"/>
      </w:tblGrid>
      <w:tr>
        <w:trPr/>
        <w:tc>
          <w:tcPr>
            <w:tcW w:w="9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47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0205" w:type="dxa"/>
            <w:gridSpan w:val="4"/>
            <w:tcBorders/>
            <w:tcMar>
              <w:top w:w="0" w:type="dxa"/>
              <w:left w:w="0" w:type="dxa"/>
              <w:bottom w:w="0" w:type="dxa"/>
              <w:right w:w="0" w:type="dxa"/>
            </w:tcMar>
            <w:vAlign w:val="center"/>
          </w:tcPr>
          <w:p>
            <w:pPr>
              <w:pStyle w:val="TableContents"/>
              <w:bidi w:val="0"/>
              <w:spacing w:before="0" w:after="0"/>
              <w:ind w:left="0" w:right="0" w:hanging="0"/>
              <w:jc w:val="center"/>
              <w:rPr/>
            </w:pPr>
            <w:hyperlink w:anchor="part_i_financial_information">
              <w:r>
                <w:rPr>
                  <w:rStyle w:val="InternetLink"/>
                  <w:rFonts w:ascii="Times New Roman;serif" w:hAnsi="Times New Roman;serif"/>
                  <w:b/>
                  <w:sz w:val="20"/>
                  <w:u w:val="single"/>
                </w:rPr>
                <w:t>Part I — Financial Information</w:t>
              </w:r>
            </w:hyperlink>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91" w:type="dxa"/>
            <w:tcBorders/>
            <w:tcMar>
              <w:top w:w="0" w:type="dxa"/>
              <w:left w:w="0" w:type="dxa"/>
              <w:bottom w:w="0" w:type="dxa"/>
              <w:right w:w="0" w:type="dxa"/>
            </w:tcMar>
            <w:vAlign w:val="center"/>
          </w:tcPr>
          <w:p>
            <w:pPr>
              <w:pStyle w:val="TableContents"/>
              <w:bidi w:val="0"/>
              <w:spacing w:before="0" w:after="0"/>
              <w:ind w:left="0" w:right="0" w:firstLine="245"/>
              <w:jc w:val="center"/>
              <w:rPr/>
            </w:pPr>
            <w:r>
              <w:rPr/>
              <w:t> </w:t>
            </w:r>
          </w:p>
        </w:tc>
        <w:tc>
          <w:tcPr>
            <w:tcW w:w="8477" w:type="dxa"/>
            <w:tcBorders/>
            <w:tcMar>
              <w:top w:w="0" w:type="dxa"/>
              <w:left w:w="0" w:type="dxa"/>
              <w:bottom w:w="0" w:type="dxa"/>
              <w:right w:w="0" w:type="dxa"/>
            </w:tcMar>
            <w:vAlign w:val="center"/>
          </w:tcPr>
          <w:p>
            <w:pPr>
              <w:pStyle w:val="TableContents"/>
              <w:pBdr/>
              <w:bidi w:val="0"/>
              <w:spacing w:before="0" w:after="0"/>
              <w:ind w:left="0" w:right="0" w:hanging="245"/>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tcMar>
              <w:top w:w="0" w:type="dxa"/>
              <w:left w:w="0" w:type="dxa"/>
              <w:bottom w:w="0" w:type="dxa"/>
              <w:right w:w="0" w:type="dxa"/>
            </w:tcMar>
            <w:vAlign w:val="center"/>
          </w:tcPr>
          <w:p>
            <w:pPr>
              <w:pStyle w:val="TableContents"/>
              <w:pBdr/>
              <w:bidi w:val="0"/>
              <w:spacing w:before="0" w:after="0"/>
              <w:ind w:left="0" w:right="0" w:hanging="245"/>
              <w:jc w:val="left"/>
              <w:rPr/>
            </w:pPr>
            <w:hyperlink w:anchor="item_1_financial_statements">
              <w:r>
                <w:rPr>
                  <w:rStyle w:val="InternetLink"/>
                  <w:rFonts w:ascii="Times New Roman;serif" w:hAnsi="Times New Roman;serif"/>
                  <w:b w:val="false"/>
                  <w:sz w:val="20"/>
                  <w:u w:val="single"/>
                </w:rPr>
                <w:t>Unaudited Consolidated Financial Statements:</w:t>
              </w:r>
            </w:hyperlink>
          </w:p>
        </w:tc>
        <w:tc>
          <w:tcPr>
            <w:tcW w:w="36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tcMar>
              <w:top w:w="0" w:type="dxa"/>
              <w:left w:w="0" w:type="dxa"/>
              <w:bottom w:w="0" w:type="dxa"/>
              <w:right w:w="0" w:type="dxa"/>
            </w:tcMar>
            <w:vAlign w:val="center"/>
          </w:tcPr>
          <w:p>
            <w:pPr>
              <w:pStyle w:val="TableContents"/>
              <w:pBdr/>
              <w:bidi w:val="0"/>
              <w:spacing w:before="0" w:after="0"/>
              <w:ind w:left="0" w:right="0" w:hanging="245"/>
              <w:jc w:val="left"/>
              <w:rPr/>
            </w:pPr>
            <w:hyperlink w:anchor="unaudited_consolidated_balance_sheets">
              <w:r>
                <w:rPr>
                  <w:rStyle w:val="InternetLink"/>
                  <w:rFonts w:ascii="Times New Roman;serif" w:hAnsi="Times New Roman;serif"/>
                  <w:b w:val="false"/>
                  <w:sz w:val="20"/>
                  <w:u w:val="single"/>
                </w:rPr>
                <w:t>Unaudited Consolidated Balance Sheets as of June 30, 2023 and December 31, 2022</w:t>
              </w:r>
            </w:hyperlink>
          </w:p>
        </w:tc>
        <w:tc>
          <w:tcPr>
            <w:tcW w:w="36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97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tcMar>
              <w:top w:w="0" w:type="dxa"/>
              <w:left w:w="0" w:type="dxa"/>
              <w:bottom w:w="0" w:type="dxa"/>
              <w:right w:w="0" w:type="dxa"/>
            </w:tcMar>
            <w:vAlign w:val="center"/>
          </w:tcPr>
          <w:p>
            <w:pPr>
              <w:pStyle w:val="TableContents"/>
              <w:pBdr/>
              <w:bidi w:val="0"/>
              <w:spacing w:before="0" w:after="0"/>
              <w:ind w:left="0" w:right="0" w:hanging="245"/>
              <w:jc w:val="left"/>
              <w:rPr/>
            </w:pPr>
            <w:hyperlink w:anchor="unaudited_consolidated_statements_operat">
              <w:r>
                <w:rPr>
                  <w:rStyle w:val="InternetLink"/>
                  <w:rFonts w:ascii="Times New Roman;serif" w:hAnsi="Times New Roman;serif"/>
                  <w:b w:val="false"/>
                  <w:sz w:val="20"/>
                  <w:u w:val="single"/>
                </w:rPr>
                <w:t>Unaudited Consolidated Statements of Operations for the Three and Six Months ended June 30, 2023 and 2022</w:t>
              </w:r>
            </w:hyperlink>
          </w:p>
        </w:tc>
        <w:tc>
          <w:tcPr>
            <w:tcW w:w="36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91" w:type="dxa"/>
            <w:tcBorders/>
            <w:tcMar>
              <w:top w:w="0" w:type="dxa"/>
              <w:left w:w="0" w:type="dxa"/>
              <w:bottom w:w="0" w:type="dxa"/>
              <w:right w:w="0" w:type="dxa"/>
            </w:tcMar>
            <w:vAlign w:val="center"/>
          </w:tcPr>
          <w:p>
            <w:pPr>
              <w:pStyle w:val="TableContents"/>
              <w:bidi w:val="0"/>
              <w:spacing w:before="0" w:after="0"/>
              <w:ind w:left="0" w:right="0" w:firstLine="245"/>
              <w:jc w:val="left"/>
              <w:rPr/>
            </w:pPr>
            <w:r>
              <w:rPr/>
              <w:t> </w:t>
            </w:r>
          </w:p>
        </w:tc>
        <w:tc>
          <w:tcPr>
            <w:tcW w:w="8477" w:type="dxa"/>
            <w:tcBorders/>
            <w:tcMar>
              <w:top w:w="0" w:type="dxa"/>
              <w:left w:w="0" w:type="dxa"/>
              <w:bottom w:w="0" w:type="dxa"/>
              <w:right w:w="0" w:type="dxa"/>
            </w:tcMar>
            <w:vAlign w:val="center"/>
          </w:tcPr>
          <w:p>
            <w:pPr>
              <w:pStyle w:val="TableContents"/>
              <w:pBdr/>
              <w:bidi w:val="0"/>
              <w:spacing w:before="0" w:after="0"/>
              <w:ind w:left="0" w:right="0" w:hanging="245"/>
              <w:jc w:val="left"/>
              <w:rPr/>
            </w:pPr>
            <w:hyperlink w:anchor="unaudited_consolidated_statements_compre">
              <w:r>
                <w:rPr>
                  <w:rStyle w:val="InternetLink"/>
                  <w:rFonts w:ascii="Times New Roman;serif" w:hAnsi="Times New Roman;serif"/>
                  <w:b w:val="false"/>
                  <w:sz w:val="20"/>
                  <w:u w:val="single"/>
                </w:rPr>
                <w:t>Unaudited Consolidated Statements of Comprehensive Loss for the Three and Six Months ended June 30, 2023 and 2022</w:t>
              </w:r>
            </w:hyperlink>
          </w:p>
        </w:tc>
        <w:tc>
          <w:tcPr>
            <w:tcW w:w="36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r>
      <w:tr>
        <w:trPr/>
        <w:tc>
          <w:tcPr>
            <w:tcW w:w="97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tcMar>
              <w:top w:w="0" w:type="dxa"/>
              <w:left w:w="0" w:type="dxa"/>
              <w:bottom w:w="0" w:type="dxa"/>
              <w:right w:w="0" w:type="dxa"/>
            </w:tcMar>
            <w:vAlign w:val="center"/>
          </w:tcPr>
          <w:p>
            <w:pPr>
              <w:pStyle w:val="TableContents"/>
              <w:pBdr/>
              <w:bidi w:val="0"/>
              <w:spacing w:before="0" w:after="0"/>
              <w:ind w:left="0" w:right="0" w:hanging="245"/>
              <w:jc w:val="left"/>
              <w:rPr/>
            </w:pPr>
            <w:hyperlink w:anchor="unaudited_consolidated_statements_cash_f">
              <w:r>
                <w:rPr>
                  <w:rStyle w:val="InternetLink"/>
                  <w:rFonts w:ascii="Times New Roman;serif" w:hAnsi="Times New Roman;serif"/>
                  <w:b w:val="false"/>
                  <w:sz w:val="20"/>
                  <w:u w:val="single"/>
                </w:rPr>
                <w:t>Unaudited Consolidated Statements of Cash Flows for the Three and Six Months ended June 30, 2023 and 2022</w:t>
              </w:r>
            </w:hyperlink>
          </w:p>
        </w:tc>
        <w:tc>
          <w:tcPr>
            <w:tcW w:w="36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r>
      <w:tr>
        <w:trPr/>
        <w:tc>
          <w:tcPr>
            <w:tcW w:w="97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tcMar>
              <w:top w:w="0" w:type="dxa"/>
              <w:left w:w="0" w:type="dxa"/>
              <w:bottom w:w="0" w:type="dxa"/>
              <w:right w:w="0" w:type="dxa"/>
            </w:tcMar>
            <w:vAlign w:val="center"/>
          </w:tcPr>
          <w:p>
            <w:pPr>
              <w:pStyle w:val="TableContents"/>
              <w:pBdr/>
              <w:bidi w:val="0"/>
              <w:spacing w:before="0" w:after="0"/>
              <w:ind w:left="0" w:right="0" w:hanging="245"/>
              <w:jc w:val="left"/>
              <w:rPr/>
            </w:pPr>
            <w:hyperlink w:anchor="notes_to_unaudited_consolida_ted_financi">
              <w:r>
                <w:rPr>
                  <w:rStyle w:val="InternetLink"/>
                  <w:rFonts w:ascii="Times New Roman;serif" w:hAnsi="Times New Roman;serif"/>
                  <w:b w:val="false"/>
                  <w:sz w:val="20"/>
                  <w:u w:val="single"/>
                </w:rPr>
                <w:t>Notes to Unaudited Consolidated Financial Statements</w:t>
              </w:r>
            </w:hyperlink>
          </w:p>
        </w:tc>
        <w:tc>
          <w:tcPr>
            <w:tcW w:w="36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tcMar>
              <w:top w:w="0" w:type="dxa"/>
              <w:left w:w="0" w:type="dxa"/>
              <w:bottom w:w="0" w:type="dxa"/>
              <w:right w:w="0" w:type="dxa"/>
            </w:tcMar>
            <w:vAlign w:val="center"/>
          </w:tcPr>
          <w:p>
            <w:pPr>
              <w:pStyle w:val="TableContents"/>
              <w:pBdr/>
              <w:bidi w:val="0"/>
              <w:spacing w:before="0" w:after="0"/>
              <w:ind w:left="0" w:right="0" w:hanging="245"/>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36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tcMar>
              <w:top w:w="0" w:type="dxa"/>
              <w:left w:w="0" w:type="dxa"/>
              <w:bottom w:w="0" w:type="dxa"/>
              <w:right w:w="0" w:type="dxa"/>
            </w:tcMar>
            <w:vAlign w:val="center"/>
          </w:tcPr>
          <w:p>
            <w:pPr>
              <w:pStyle w:val="TableContents"/>
              <w:pBdr/>
              <w:bidi w:val="0"/>
              <w:spacing w:before="0" w:after="0"/>
              <w:ind w:left="0" w:right="0" w:hanging="245"/>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36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tcMar>
              <w:top w:w="0" w:type="dxa"/>
              <w:left w:w="0" w:type="dxa"/>
              <w:bottom w:w="0" w:type="dxa"/>
              <w:right w:w="0" w:type="dxa"/>
            </w:tcMar>
            <w:vAlign w:val="center"/>
          </w:tcPr>
          <w:p>
            <w:pPr>
              <w:pStyle w:val="TableContents"/>
              <w:pBdr/>
              <w:bidi w:val="0"/>
              <w:spacing w:before="0" w:after="0"/>
              <w:ind w:left="0" w:right="0" w:hanging="245"/>
              <w:jc w:val="left"/>
              <w:rPr/>
            </w:pPr>
            <w:hyperlink w:anchor="item_4_controls_procedures">
              <w:r>
                <w:rPr>
                  <w:rStyle w:val="InternetLink"/>
                  <w:rFonts w:ascii="Times New Roman;serif" w:hAnsi="Times New Roman;serif"/>
                  <w:b w:val="false"/>
                  <w:sz w:val="20"/>
                  <w:u w:val="single"/>
                </w:rPr>
                <w:t>Controls and Procedures</w:t>
              </w:r>
            </w:hyperlink>
          </w:p>
        </w:tc>
        <w:tc>
          <w:tcPr>
            <w:tcW w:w="36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r>
      <w:tr>
        <w:trPr/>
        <w:tc>
          <w:tcPr>
            <w:tcW w:w="10205" w:type="dxa"/>
            <w:gridSpan w:val="4"/>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0205" w:type="dxa"/>
            <w:gridSpan w:val="4"/>
            <w:tcBorders/>
            <w:tcMar>
              <w:top w:w="0" w:type="dxa"/>
              <w:left w:w="0" w:type="dxa"/>
              <w:bottom w:w="0" w:type="dxa"/>
              <w:right w:w="0" w:type="dxa"/>
            </w:tcMar>
            <w:vAlign w:val="center"/>
          </w:tcPr>
          <w:p>
            <w:pPr>
              <w:pStyle w:val="TableContents"/>
              <w:bidi w:val="0"/>
              <w:spacing w:before="0" w:after="0"/>
              <w:ind w:left="0" w:right="0" w:hanging="0"/>
              <w:jc w:val="center"/>
              <w:rPr/>
            </w:pPr>
            <w:hyperlink w:anchor="part_ii">
              <w:r>
                <w:rPr>
                  <w:rStyle w:val="InternetLink"/>
                  <w:rFonts w:ascii="Times New Roman;serif" w:hAnsi="Times New Roman;serif"/>
                  <w:b/>
                  <w:sz w:val="20"/>
                  <w:u w:val="single"/>
                </w:rPr>
                <w:t>Part II — Other Information</w:t>
              </w:r>
            </w:hyperlink>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9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47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3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477"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36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3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477"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36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3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477"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36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3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477"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defaults_on_senior_securities">
              <w:r>
                <w:rPr>
                  <w:rStyle w:val="InternetLink"/>
                  <w:rFonts w:ascii="Times New Roman;serif" w:hAnsi="Times New Roman;serif"/>
                  <w:b w:val="false"/>
                  <w:sz w:val="20"/>
                  <w:u w:val="single"/>
                </w:rPr>
                <w:t>Default Upon Senior Securities</w:t>
              </w:r>
            </w:hyperlink>
          </w:p>
        </w:tc>
        <w:tc>
          <w:tcPr>
            <w:tcW w:w="36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3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477"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36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3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477"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5_or_information">
              <w:r>
                <w:rPr>
                  <w:rStyle w:val="InternetLink"/>
                  <w:rFonts w:ascii="Times New Roman;serif" w:hAnsi="Times New Roman;serif"/>
                  <w:b w:val="false"/>
                  <w:sz w:val="20"/>
                  <w:u w:val="single"/>
                </w:rPr>
                <w:t>Other Information</w:t>
              </w:r>
            </w:hyperlink>
          </w:p>
        </w:tc>
        <w:tc>
          <w:tcPr>
            <w:tcW w:w="36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3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477"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36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3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47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EX-31.1</w:t>
            </w:r>
          </w:p>
        </w:tc>
        <w:tc>
          <w:tcPr>
            <w:tcW w:w="3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47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CERTIFICATION OF THE CEO PURSUANT TO SECTION 302</w:t>
            </w:r>
          </w:p>
        </w:tc>
        <w:tc>
          <w:tcPr>
            <w:tcW w:w="3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EX-31.2</w:t>
            </w:r>
          </w:p>
        </w:tc>
        <w:tc>
          <w:tcPr>
            <w:tcW w:w="3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47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CERTIFICATION OF THE CFO PURSUANT TO SECTION 302</w:t>
            </w:r>
          </w:p>
        </w:tc>
        <w:tc>
          <w:tcPr>
            <w:tcW w:w="3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EX-32.1</w:t>
            </w:r>
          </w:p>
        </w:tc>
        <w:tc>
          <w:tcPr>
            <w:tcW w:w="3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47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CERTIFICATION OF THE CEO AND CFO PURSUANT TO SECTION 906</w:t>
            </w:r>
          </w:p>
        </w:tc>
        <w:tc>
          <w:tcPr>
            <w:tcW w:w="3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center"/>
        <w:rPr>
          <w:rFonts w:ascii="Times New Roman;serif" w:hAnsi="Times New Roman;serif"/>
          <w:b/>
          <w:sz w:val="20"/>
        </w:rPr>
      </w:pPr>
      <w:r>
        <w:rPr>
          <w:rFonts w:ascii="Times New Roman;serif" w:hAnsi="Times New Roman;serif"/>
          <w:b/>
          <w:sz w:val="20"/>
        </w:rPr>
        <w:t>SPECIAL NOTE REGARDING FORWARD-LOOKING STATEMENTS</w:t>
      </w:r>
    </w:p>
    <w:p>
      <w:pPr>
        <w:pStyle w:val="TextBody"/>
        <w:bidi w:val="0"/>
        <w:spacing w:before="200" w:after="0"/>
        <w:jc w:val="left"/>
        <w:rPr>
          <w:rFonts w:ascii="Times New Roman" w:hAnsi="Times New Roman"/>
          <w:sz w:val="20"/>
        </w:rPr>
      </w:pPr>
      <w:r>
        <w:rPr>
          <w:rFonts w:ascii="Times New Roman;serif" w:hAnsi="Times New Roman;serif"/>
          <w:b w:val="false"/>
          <w:sz w:val="20"/>
        </w:rPr>
        <w:t>This Quarterly Report on Form 10-Q contains forward-looking statements within the meaning of Section 27A of the Securities Act of 1933, as amended, and Section 21E of the Securities Exchange Act of 1934, as amended, and these statements involve substantial risks and uncertainties. All statements other than statements of historical fact contained in this Quarterly Report on Form 10-Q are forward-looking statements. Forward-looking statements generally relate to future events or our future financial or operating performance. In some cases, you can identify forward-looking statements because they contain words such as “may,”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r>
        <w:rPr>
          <w:rFonts w:ascii="Times New Roman" w:hAnsi="Times New Roman"/>
          <w:sz w:val="20"/>
        </w:rPr>
        <w:t xml:space="preserve"> </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our future financial and operational performance, including our expectations regarding our revenue, cost of revenue, gross margin and operating expenses;</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maintaining and expanding our customer base and increasing our average subscription revenue per customer;</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impact of competition in our industry and innovation by our competitors including as a result of new or better use of evolving artificial intelligence technologies;</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our anticipated growth and expectations regarding our ability to manage our future growth;</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 xml:space="preserve">our expectations regarding the potential impact of geo-political conflicts, inflationary pressures, foreign currency movement, macroeconomic stability, and catastrophic events, such as the COVID-19 pandemic, on our business, the broader economy, our workforce and operations, the markets in which we and our partners and customers operate, and our ability to forecast future financial performance; </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our anticipated areas of investments, including sales and marketing, research and development including with respect to artificial intelligence and machine learning, customer service and support, data center infrastructure and service capabilities, and expectations relating to such investments;</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our predictions about industry and market trends;</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 xml:space="preserve">our ability to anticipate and address the evolution of technology and the technological needs of our customers, to roll-out upgrades to our existing software platform and to develop new and enhanced applications to meet the needs of our customers including with respect to artificial intelligence and machine learning; </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our ability to maintain our brand and inbound marketing, selling and servicing thought leadership position;</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impact of our corporate culture and our ability to attract, hire and retain necessary qualified employees to expand our operations;</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anticipated effect on our business of litigation to which we are or may become a party;</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our ability to successfully acquire and integrate companies and assets;</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our plans regarding declaring or paying cash dividends in the foreseeable future; and</w:t>
      </w:r>
    </w:p>
    <w:p>
      <w:pPr>
        <w:pStyle w:val="TextBody"/>
        <w:bidi w:val="0"/>
        <w:spacing w:before="200" w:after="0"/>
        <w:jc w:val="left"/>
        <w:rPr/>
      </w:pPr>
      <w:r>
        <w:rPr/>
        <w:t>•</w:t>
      </w:r>
    </w:p>
    <w:p>
      <w:pPr>
        <w:pStyle w:val="TextBody"/>
        <w:bidi w:val="0"/>
        <w:spacing w:before="200" w:after="283"/>
        <w:jc w:val="left"/>
        <w:rPr>
          <w:rFonts w:ascii="Times New Roman;serif" w:hAnsi="Times New Roman;serif"/>
          <w:b w:val="false"/>
          <w:sz w:val="20"/>
        </w:rPr>
      </w:pPr>
      <w:r>
        <w:rPr>
          <w:rFonts w:ascii="Times New Roman;serif" w:hAnsi="Times New Roman;serif"/>
          <w:b w:val="false"/>
          <w:sz w:val="20"/>
        </w:rPr>
        <w:t>our ability to stay abreast of new or modified laws and regulations that currently apply or become applicable to our business both in the United States and internationally.</w:t>
      </w:r>
    </w:p>
    <w:p>
      <w:pPr>
        <w:pStyle w:val="TextBody"/>
        <w:bidi w:val="0"/>
        <w:spacing w:before="200" w:after="120"/>
        <w:jc w:val="left"/>
        <w:rPr>
          <w:rFonts w:ascii="Times New Roman;serif" w:hAnsi="Times New Roman;serif"/>
          <w:b w:val="false"/>
          <w:sz w:val="20"/>
        </w:rPr>
      </w:pPr>
      <w:r>
        <w:rPr>
          <w:rFonts w:ascii="Times New Roman;serif" w:hAnsi="Times New Roman;serif"/>
          <w:b w:val="false"/>
          <w:sz w:val="20"/>
        </w:rPr>
        <w:t>We caution you that the foregoing list may not contain all of the forward-looking statements made in this Quarterly Report on Form 10-Q.</w:t>
      </w:r>
    </w:p>
    <w:p>
      <w:pPr>
        <w:pStyle w:val="TextBody"/>
        <w:bidi w:val="0"/>
        <w:spacing w:before="200" w:after="120"/>
        <w:jc w:val="left"/>
        <w:rPr>
          <w:rFonts w:ascii="Times New Roman" w:hAnsi="Times New Roman"/>
          <w:sz w:val="20"/>
        </w:rPr>
      </w:pPr>
      <w:r>
        <w:rPr>
          <w:rFonts w:ascii="Times New Roman;serif" w:hAnsi="Times New Roman;serif"/>
          <w:b w:val="false"/>
          <w:sz w:val="20"/>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“Risk Factors” and elsewhere in this Quarterly Report on Form 10-Q. Moreover, we operate in a very competitive and rapidly changing environment. New risks and uncertainties emerge from time to time, and it is not possible for us to predict all risks and uncertainties that could have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120"/>
        <w:jc w:val="left"/>
        <w:rPr>
          <w:rFonts w:ascii="Times New Roman;serif" w:hAnsi="Times New Roman;serif"/>
          <w:b w:val="false"/>
          <w:sz w:val="20"/>
        </w:rPr>
      </w:pPr>
      <w:r>
        <w:rPr>
          <w:rFonts w:ascii="Times New Roman;serif" w:hAnsi="Times New Roman;serif"/>
          <w:b w:val="false"/>
          <w:sz w:val="20"/>
        </w:rPr>
        <w:t>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200" w:after="120"/>
        <w:jc w:val="left"/>
        <w:rPr>
          <w:rFonts w:ascii="Times New Roman;serif" w:hAnsi="Times New Roman;serif"/>
          <w:b w:val="false"/>
          <w:sz w:val="20"/>
        </w:rPr>
      </w:pPr>
      <w:r>
        <w:rPr>
          <w:rFonts w:ascii="Times New Roman;serif" w:hAnsi="Times New Roman;serif"/>
          <w:b w:val="false"/>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pStyle w:val="TextBody"/>
        <w:bidi w:val="0"/>
        <w:spacing w:before="200" w:after="120"/>
        <w:jc w:val="left"/>
        <w:rPr>
          <w:rFonts w:ascii="Times New Roman;serif" w:hAnsi="Times New Roman;serif"/>
          <w:b w:val="false"/>
          <w:sz w:val="20"/>
        </w:rPr>
      </w:pPr>
      <w:r>
        <w:rPr>
          <w:rFonts w:ascii="Times New Roman;serif" w:hAnsi="Times New Roman;serif"/>
          <w:b w:val="false"/>
          <w:sz w:val="20"/>
        </w:rPr>
        <w:t>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In this Quarterly Report on Form 10-Q, the terms “HubSpot,” “we,” “us,” and “our” refer to HubSpot, Inc. and its subsidiaries, unless the context indicates otherwise.</w:t>
      </w:r>
    </w:p>
    <w:p>
      <w:pPr>
        <w:pStyle w:val="TextBody"/>
        <w:bidi w:val="0"/>
        <w:spacing w:before="200" w:after="0"/>
        <w:jc w:val="left"/>
        <w:rPr>
          <w:rFonts w:ascii="Times New Roman" w:hAnsi="Times New Roman"/>
          <w:sz w:val="20"/>
        </w:rPr>
      </w:pPr>
      <w:r>
        <w:rPr>
          <w:rFonts w:ascii="Times New Roman;serif" w:hAnsi="Times New Roman;serif"/>
          <w:b/>
          <w:sz w:val="20"/>
        </w:rPr>
        <w:t>Risk Factor Summary</w:t>
      </w:r>
      <w:r>
        <w:rPr>
          <w:rFonts w:ascii="Times New Roman" w:hAnsi="Times New Roman"/>
          <w:sz w:val="20"/>
        </w:rPr>
        <w:t xml:space="preserve"> </w:t>
      </w:r>
    </w:p>
    <w:p>
      <w:pPr>
        <w:pStyle w:val="TextBody"/>
        <w:bidi w:val="0"/>
        <w:spacing w:before="200" w:after="0"/>
        <w:jc w:val="left"/>
        <w:rPr>
          <w:rFonts w:ascii="Times New Roman;serif" w:hAnsi="Times New Roman;serif"/>
          <w:b w:val="false"/>
          <w:i/>
          <w:sz w:val="20"/>
        </w:rPr>
      </w:pPr>
      <w:r>
        <w:rPr>
          <w:rFonts w:ascii="Times New Roman;serif" w:hAnsi="Times New Roman;serif"/>
          <w:b w:val="false"/>
          <w:i/>
          <w:sz w:val="20"/>
        </w:rPr>
        <w:t>The risk factors detailed in Item 1A entitled “Risk Factors” in this Quarterly Report on Form 10-Q are the risks that we believe are material to our investors and a reader should carefully consider them. Those risks are not all of the risks we face and other factors not presently known to us or that we currently believe are immaterial may also affect our business if they occur. The following is a summary of the risk factors detailed in Item 1A:</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We are dependent upon customer renewals, the addition of new customers, increased revenue from existing customers and the continued growth of the market for a CRM Platform.</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We face significant competition from both established and new companies offering marketing, sales, customer service, operations and content management software and other related applications, as well as internally developed software, which may harm our ability to add new customers, retain existing customers and grow our business.</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Failure to effectively develop and expand our marketing, sales, customer service, operations, and content management capabilities could harm our ability to increase our customer base and achieve broader market acceptance of our platform.</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If we fail to adapt and respond effectively to rapidly changing technology, evolving industry standards and changing customer needs or requirements, our CRM Platform may become less competitive.</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Our ability to introduce new products and features is dependent on adequate research and development resources. If we do not adequately fund our research and development efforts, we may not be able to compete effectively and our business and operating results may be harmed.</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We are exposed to fluctuations in currency exchange rates that could adversely affect our financial results.</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current economic downturn may lead to decreased demand for our products and services and otherwise harm our business and results of operations.</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If our CRM Platform has outages or fails due to defects or similar problems, and if we fail to correct any defect or other software problems, we could lose customers, become subject to service performance or warranty claims or incur significant costs.</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If our or our customers’ security measures are compromised or unauthorized access to data of our customers or their customers is otherwise obtained, our CRM Platform may be perceived as not being secure, our customers may be harmed and may curtail or cease their use of our platform, our reputation may be damaged and we may incur significant liabilities.</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We have a history of losses and may not achieve profitability in the future.</w:t>
      </w:r>
    </w:p>
    <w:p>
      <w:pPr>
        <w:pStyle w:val="TextBody"/>
        <w:bidi w:val="0"/>
        <w:spacing w:before="200" w:after="0"/>
        <w:jc w:val="left"/>
        <w:rPr/>
      </w:pPr>
      <w:r>
        <w:rPr/>
        <w:t>•</w:t>
      </w:r>
    </w:p>
    <w:p>
      <w:pPr>
        <w:pStyle w:val="TextBody"/>
        <w:bidi w:val="0"/>
        <w:spacing w:before="200" w:after="283"/>
        <w:jc w:val="left"/>
        <w:rPr>
          <w:rFonts w:ascii="Times New Roman;serif" w:hAnsi="Times New Roman;serif"/>
          <w:b w:val="false"/>
          <w:sz w:val="20"/>
        </w:rPr>
      </w:pPr>
      <w:r>
        <w:rPr>
          <w:rFonts w:ascii="Times New Roman;serif" w:hAnsi="Times New Roman;serif"/>
          <w:b w:val="false"/>
          <w:sz w:val="20"/>
        </w:rPr>
        <w:t>We may experience quarterly fluctuations in our operating results due to a number of factors, which makes our future results difficult to predict and could cause our operating results to fall below expectations or our guidance.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If we do not accurately predict subscription renewal rates or otherwise fail to forecast our revenue accurately, or if we fail to match our expenditures with corresponding revenue, our operating results could be adversely affected.</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Our ability to raise capital in the future may be limited, and our failure to raise capital when needed could prevent us from growing.</w:t>
      </w:r>
    </w:p>
    <w:p>
      <w:pPr>
        <w:pStyle w:val="TextBody"/>
        <w:bidi w:val="0"/>
        <w:spacing w:before="200" w:after="0"/>
        <w:jc w:val="left"/>
        <w:rPr/>
      </w:pPr>
      <w:r>
        <w:rPr/>
        <w:t>•</w:t>
      </w:r>
    </w:p>
    <w:p>
      <w:pPr>
        <w:pStyle w:val="TextBody"/>
        <w:bidi w:val="0"/>
        <w:spacing w:before="200" w:after="283"/>
        <w:jc w:val="left"/>
        <w:rPr>
          <w:rFonts w:ascii="Times New Roman;serif" w:hAnsi="Times New Roman;serif"/>
          <w:b w:val="false"/>
          <w:sz w:val="20"/>
        </w:rPr>
      </w:pPr>
      <w:r>
        <w:rPr>
          <w:rFonts w:ascii="Times New Roman;serif" w:hAnsi="Times New Roman;serif"/>
          <w:b w:val="false"/>
          <w:sz w:val="20"/>
        </w:rPr>
        <w:t>Our Restructuring Plan and associated organizational changes may not adequately reduce our operating costs or improve operating margins, may lead to additional workforce attrition, and may cause operational disruptions.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 w:name="part_i_financial_information"/>
      <w:bookmarkEnd w:id="2"/>
      <w:r>
        <w:rPr>
          <w:rFonts w:ascii="Times New Roman;serif" w:hAnsi="Times New Roman;serif"/>
          <w:b/>
          <w:sz w:val="20"/>
        </w:rPr>
        <w:t>PART I — Financial Information</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3" w:name="item_1_financial_statements"/>
      <w:bookmarkEnd w:id="3"/>
      <w:r>
        <w:rPr>
          <w:rFonts w:ascii="Times New Roman;serif" w:hAnsi="Times New Roman;serif"/>
          <w:b/>
          <w:sz w:val="20"/>
        </w:rPr>
        <w:t>Item 1. Financial Statements</w:t>
      </w:r>
    </w:p>
    <w:p>
      <w:pPr>
        <w:pStyle w:val="TextBody"/>
        <w:bidi w:val="0"/>
        <w:spacing w:before="240" w:after="0"/>
        <w:jc w:val="center"/>
        <w:rPr>
          <w:rFonts w:ascii="Times New Roman;serif" w:hAnsi="Times New Roman;serif"/>
          <w:b/>
          <w:sz w:val="20"/>
        </w:rPr>
      </w:pPr>
      <w:r>
        <w:rPr>
          <w:rFonts w:ascii="Times New Roman;serif" w:hAnsi="Times New Roman;serif"/>
          <w:b/>
          <w:sz w:val="20"/>
        </w:rPr>
        <w:t>HubSpot, Inc.</w:t>
      </w:r>
    </w:p>
    <w:p>
      <w:pPr>
        <w:pStyle w:val="TextBody"/>
        <w:bidi w:val="0"/>
        <w:spacing w:before="0" w:after="0"/>
        <w:jc w:val="center"/>
        <w:rPr>
          <w:rFonts w:ascii="Times New Roman;serif" w:hAnsi="Times New Roman;serif"/>
          <w:b/>
          <w:sz w:val="20"/>
        </w:rPr>
      </w:pPr>
      <w:bookmarkStart w:id="4" w:name="unaudited_consolidated_balance_sheets"/>
      <w:bookmarkEnd w:id="4"/>
      <w:r>
        <w:rPr>
          <w:rFonts w:ascii="Times New Roman;serif" w:hAnsi="Times New Roman;serif"/>
          <w:b/>
          <w:sz w:val="20"/>
        </w:rPr>
        <w:t>Unaudited Consolidated Balance Sheets</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w:t>
      </w:r>
    </w:p>
    <w:tbl>
      <w:tblPr>
        <w:tblW w:w="9199" w:type="dxa"/>
        <w:jc w:val="left"/>
        <w:tblInd w:w="0" w:type="dxa"/>
        <w:tblLayout w:type="fixed"/>
        <w:tblCellMar>
          <w:top w:w="28" w:type="dxa"/>
          <w:left w:w="28" w:type="dxa"/>
          <w:bottom w:w="28" w:type="dxa"/>
          <w:right w:w="28" w:type="dxa"/>
        </w:tblCellMar>
      </w:tblPr>
      <w:tblGrid>
        <w:gridCol w:w="6046"/>
        <w:gridCol w:w="146"/>
        <w:gridCol w:w="211"/>
        <w:gridCol w:w="931"/>
        <w:gridCol w:w="166"/>
        <w:gridCol w:w="146"/>
        <w:gridCol w:w="211"/>
        <w:gridCol w:w="931"/>
        <w:gridCol w:w="411"/>
      </w:tblGrid>
      <w:tr>
        <w:trPr/>
        <w:tc>
          <w:tcPr>
            <w:tcW w:w="6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0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411" w:type="dxa"/>
            <w:tcBorders/>
            <w:vAlign w:val="center"/>
          </w:tcPr>
          <w:p>
            <w:pPr>
              <w:pStyle w:val="TableContents"/>
              <w:bidi w:val="0"/>
              <w:spacing w:before="0" w:after="0"/>
              <w:ind w:left="0" w:right="0" w:hanging="0"/>
              <w:jc w:val="center"/>
              <w:rPr/>
            </w:pPr>
            <w:r>
              <w:rPr/>
              <w:t> </w:t>
            </w:r>
          </w:p>
        </w:tc>
      </w:tr>
      <w:tr>
        <w:trPr/>
        <w:tc>
          <w:tcPr>
            <w:tcW w:w="60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hanging="0"/>
              <w:jc w:val="left"/>
              <w:rPr/>
            </w:pPr>
            <w:r>
              <w:rPr/>
              <w:t> </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6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457,218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331,022</w:t>
            </w:r>
          </w:p>
        </w:tc>
        <w:tc>
          <w:tcPr>
            <w:tcW w:w="411" w:type="dxa"/>
            <w:tcBorders/>
            <w:vAlign w:val="center"/>
          </w:tcPr>
          <w:p>
            <w:pPr>
              <w:pStyle w:val="TableContents"/>
              <w:bidi w:val="0"/>
              <w:spacing w:before="0" w:after="0"/>
              <w:ind w:left="0" w:right="0" w:firstLine="200"/>
              <w:jc w:val="left"/>
              <w:rPr/>
            </w:pPr>
            <w:r>
              <w:rPr/>
              <w:t> </w:t>
            </w:r>
          </w:p>
        </w:tc>
      </w:tr>
      <w:tr>
        <w:trPr/>
        <w:tc>
          <w:tcPr>
            <w:tcW w:w="6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1,071,927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1,081,662</w:t>
            </w:r>
          </w:p>
        </w:tc>
        <w:tc>
          <w:tcPr>
            <w:tcW w:w="411" w:type="dxa"/>
            <w:tcBorders/>
            <w:vAlign w:val="center"/>
          </w:tcPr>
          <w:p>
            <w:pPr>
              <w:pStyle w:val="TableContents"/>
              <w:bidi w:val="0"/>
              <w:spacing w:before="0" w:after="0"/>
              <w:ind w:left="0" w:right="0" w:firstLine="200"/>
              <w:jc w:val="left"/>
              <w:rPr/>
            </w:pPr>
            <w:r>
              <w:rPr/>
              <w:t> </w:t>
            </w:r>
          </w:p>
        </w:tc>
      </w:tr>
      <w:tr>
        <w:trPr/>
        <w:tc>
          <w:tcPr>
            <w:tcW w:w="604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Accounts receivable — net of allowance for doubtful accounts of $4,178</w:t>
            </w:r>
            <w:r>
              <w:rPr>
                <w:rFonts w:ascii="Times New Roman" w:hAnsi="Times New Roman"/>
                <w:sz w:val="20"/>
              </w:rPr>
              <w:t> </w:t>
            </w:r>
            <w:r>
              <w:rPr>
                <w:rFonts w:ascii="Times New Roman;serif" w:hAnsi="Times New Roman;serif"/>
                <w:b w:val="false"/>
                <w:sz w:val="20"/>
              </w:rPr>
              <w:br/>
              <w:t>    at June 30, 2023 and $3,266</w:t>
            </w:r>
            <w:r>
              <w:rPr>
                <w:rFonts w:ascii="Times New Roman" w:hAnsi="Times New Roman"/>
                <w:sz w:val="20"/>
              </w:rPr>
              <w:t> </w:t>
            </w:r>
            <w:r>
              <w:rPr>
                <w:rFonts w:ascii="Times New Roman;serif" w:hAnsi="Times New Roman;serif"/>
                <w:b w:val="false"/>
                <w:sz w:val="20"/>
              </w:rPr>
              <w:t>at December 31, 2022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206,697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226,849</w:t>
            </w:r>
          </w:p>
        </w:tc>
        <w:tc>
          <w:tcPr>
            <w:tcW w:w="411" w:type="dxa"/>
            <w:tcBorders/>
            <w:vAlign w:val="center"/>
          </w:tcPr>
          <w:p>
            <w:pPr>
              <w:pStyle w:val="TableContents"/>
              <w:bidi w:val="0"/>
              <w:spacing w:before="0" w:after="0"/>
              <w:ind w:left="0" w:right="0" w:firstLine="200"/>
              <w:jc w:val="left"/>
              <w:rPr/>
            </w:pPr>
            <w:r>
              <w:rPr/>
              <w:t> </w:t>
            </w:r>
          </w:p>
        </w:tc>
      </w:tr>
      <w:tr>
        <w:trPr/>
        <w:tc>
          <w:tcPr>
            <w:tcW w:w="6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commission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82,158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70,992</w:t>
            </w:r>
          </w:p>
        </w:tc>
        <w:tc>
          <w:tcPr>
            <w:tcW w:w="411" w:type="dxa"/>
            <w:tcBorders/>
            <w:vAlign w:val="center"/>
          </w:tcPr>
          <w:p>
            <w:pPr>
              <w:pStyle w:val="TableContents"/>
              <w:bidi w:val="0"/>
              <w:spacing w:before="0" w:after="0"/>
              <w:ind w:left="0" w:right="0" w:firstLine="200"/>
              <w:jc w:val="left"/>
              <w:rPr/>
            </w:pPr>
            <w:r>
              <w:rPr/>
              <w:t> </w:t>
            </w:r>
          </w:p>
        </w:tc>
      </w:tr>
      <w:tr>
        <w:trPr/>
        <w:tc>
          <w:tcPr>
            <w:tcW w:w="6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89,845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44,074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1,907,845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1,754,599</w:t>
            </w:r>
          </w:p>
        </w:tc>
        <w:tc>
          <w:tcPr>
            <w:tcW w:w="411" w:type="dxa"/>
            <w:tcBorders/>
            <w:vAlign w:val="center"/>
          </w:tcPr>
          <w:p>
            <w:pPr>
              <w:pStyle w:val="TableContents"/>
              <w:bidi w:val="0"/>
              <w:spacing w:before="0" w:after="0"/>
              <w:ind w:left="0" w:right="0" w:hanging="0"/>
              <w:jc w:val="left"/>
              <w:rPr/>
            </w:pPr>
            <w:r>
              <w:rPr/>
              <w:t> </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146,245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112,791</w:t>
            </w:r>
          </w:p>
        </w:tc>
        <w:tc>
          <w:tcPr>
            <w:tcW w:w="411" w:type="dxa"/>
            <w:tcBorders/>
            <w:vAlign w:val="center"/>
          </w:tcPr>
          <w:p>
            <w:pPr>
              <w:pStyle w:val="TableContents"/>
              <w:bidi w:val="0"/>
              <w:spacing w:before="0" w:after="0"/>
              <w:ind w:left="0" w:right="0" w:hanging="0"/>
              <w:jc w:val="left"/>
              <w:rPr/>
            </w:pPr>
            <w:r>
              <w:rPr/>
              <w:t> </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104,227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105,227</w:t>
            </w:r>
          </w:p>
        </w:tc>
        <w:tc>
          <w:tcPr>
            <w:tcW w:w="411" w:type="dxa"/>
            <w:tcBorders/>
            <w:vAlign w:val="center"/>
          </w:tcPr>
          <w:p>
            <w:pPr>
              <w:pStyle w:val="TableContents"/>
              <w:bidi w:val="0"/>
              <w:spacing w:before="0" w:after="0"/>
              <w:ind w:left="0" w:right="0" w:hanging="0"/>
              <w:jc w:val="left"/>
              <w:rPr/>
            </w:pPr>
            <w:r>
              <w:rPr/>
              <w:t> </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Capitalized software development costs,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86,548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63,790</w:t>
            </w:r>
          </w:p>
        </w:tc>
        <w:tc>
          <w:tcPr>
            <w:tcW w:w="411" w:type="dxa"/>
            <w:tcBorders/>
            <w:vAlign w:val="center"/>
          </w:tcPr>
          <w:p>
            <w:pPr>
              <w:pStyle w:val="TableContents"/>
              <w:bidi w:val="0"/>
              <w:spacing w:before="0" w:after="0"/>
              <w:ind w:left="0" w:right="0" w:hanging="0"/>
              <w:jc w:val="left"/>
              <w:rPr/>
            </w:pPr>
            <w:r>
              <w:rPr/>
              <w:t> </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Right-of-use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262,759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319,304</w:t>
            </w:r>
          </w:p>
        </w:tc>
        <w:tc>
          <w:tcPr>
            <w:tcW w:w="411" w:type="dxa"/>
            <w:tcBorders/>
            <w:vAlign w:val="center"/>
          </w:tcPr>
          <w:p>
            <w:pPr>
              <w:pStyle w:val="TableContents"/>
              <w:bidi w:val="0"/>
              <w:spacing w:before="0" w:after="0"/>
              <w:ind w:left="0" w:right="0" w:hanging="0"/>
              <w:jc w:val="left"/>
              <w:rPr/>
            </w:pPr>
            <w:r>
              <w:rPr/>
              <w:t> </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commission expense, net of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93,277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66,559</w:t>
            </w:r>
          </w:p>
        </w:tc>
        <w:tc>
          <w:tcPr>
            <w:tcW w:w="411" w:type="dxa"/>
            <w:tcBorders/>
            <w:vAlign w:val="center"/>
          </w:tcPr>
          <w:p>
            <w:pPr>
              <w:pStyle w:val="TableContents"/>
              <w:bidi w:val="0"/>
              <w:spacing w:before="0" w:after="0"/>
              <w:ind w:left="0" w:right="0" w:hanging="0"/>
              <w:jc w:val="left"/>
              <w:rPr/>
            </w:pPr>
            <w:r>
              <w:rPr/>
              <w:t> </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65,876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58,795</w:t>
            </w:r>
          </w:p>
        </w:tc>
        <w:tc>
          <w:tcPr>
            <w:tcW w:w="411" w:type="dxa"/>
            <w:tcBorders/>
            <w:vAlign w:val="center"/>
          </w:tcPr>
          <w:p>
            <w:pPr>
              <w:pStyle w:val="TableContents"/>
              <w:bidi w:val="0"/>
              <w:spacing w:before="0" w:after="0"/>
              <w:ind w:left="0" w:right="0" w:hanging="0"/>
              <w:jc w:val="left"/>
              <w:rPr/>
            </w:pPr>
            <w:r>
              <w:rPr/>
              <w:t> </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17,446</w:t>
            </w:r>
          </w:p>
        </w:tc>
        <w:tc>
          <w:tcPr>
            <w:tcW w:w="411" w:type="dxa"/>
            <w:tcBorders/>
            <w:vAlign w:val="center"/>
          </w:tcPr>
          <w:p>
            <w:pPr>
              <w:pStyle w:val="TableContents"/>
              <w:bidi w:val="0"/>
              <w:spacing w:before="0" w:after="0"/>
              <w:ind w:left="0" w:right="0" w:hanging="0"/>
              <w:jc w:val="left"/>
              <w:rPr/>
            </w:pPr>
            <w:r>
              <w:rPr/>
              <w:t> </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46,464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46,227</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2,729,095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2,544,738</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6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20,883</w:t>
            </w:r>
          </w:p>
        </w:tc>
        <w:tc>
          <w:tcPr>
            <w:tcW w:w="411" w:type="dxa"/>
            <w:tcBorders/>
            <w:vAlign w:val="center"/>
          </w:tcPr>
          <w:p>
            <w:pPr>
              <w:pStyle w:val="TableContents"/>
              <w:bidi w:val="0"/>
              <w:spacing w:before="0" w:after="0"/>
              <w:ind w:left="0" w:right="0" w:firstLine="200"/>
              <w:jc w:val="left"/>
              <w:rPr/>
            </w:pPr>
            <w:r>
              <w:rPr/>
              <w:t> </w:t>
            </w:r>
          </w:p>
        </w:tc>
      </w:tr>
      <w:tr>
        <w:trPr/>
        <w:tc>
          <w:tcPr>
            <w:tcW w:w="6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compensation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69,758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62,846</w:t>
            </w:r>
          </w:p>
        </w:tc>
        <w:tc>
          <w:tcPr>
            <w:tcW w:w="411" w:type="dxa"/>
            <w:tcBorders/>
            <w:vAlign w:val="center"/>
          </w:tcPr>
          <w:p>
            <w:pPr>
              <w:pStyle w:val="TableContents"/>
              <w:bidi w:val="0"/>
              <w:spacing w:before="0" w:after="0"/>
              <w:ind w:left="0" w:right="0" w:firstLine="200"/>
              <w:jc w:val="left"/>
              <w:rPr/>
            </w:pPr>
            <w:r>
              <w:rPr/>
              <w:t> </w:t>
            </w:r>
          </w:p>
        </w:tc>
      </w:tr>
      <w:tr>
        <w:trPr/>
        <w:tc>
          <w:tcPr>
            <w:tcW w:w="6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157,485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102,122</w:t>
            </w:r>
          </w:p>
        </w:tc>
        <w:tc>
          <w:tcPr>
            <w:tcW w:w="411" w:type="dxa"/>
            <w:tcBorders/>
            <w:vAlign w:val="center"/>
          </w:tcPr>
          <w:p>
            <w:pPr>
              <w:pStyle w:val="TableContents"/>
              <w:bidi w:val="0"/>
              <w:spacing w:before="0" w:after="0"/>
              <w:ind w:left="0" w:right="0" w:firstLine="200"/>
              <w:jc w:val="left"/>
              <w:rPr/>
            </w:pPr>
            <w:r>
              <w:rPr/>
              <w:t> </w:t>
            </w:r>
          </w:p>
        </w:tc>
      </w:tr>
      <w:tr>
        <w:trPr/>
        <w:tc>
          <w:tcPr>
            <w:tcW w:w="6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35,928</w:t>
            </w:r>
          </w:p>
        </w:tc>
        <w:tc>
          <w:tcPr>
            <w:tcW w:w="411" w:type="dxa"/>
            <w:tcBorders/>
            <w:vAlign w:val="center"/>
          </w:tcPr>
          <w:p>
            <w:pPr>
              <w:pStyle w:val="TableContents"/>
              <w:bidi w:val="0"/>
              <w:spacing w:before="0" w:after="0"/>
              <w:ind w:left="0" w:right="0" w:firstLine="200"/>
              <w:jc w:val="left"/>
              <w:rPr/>
            </w:pPr>
            <w:r>
              <w:rPr/>
              <w:t> </w:t>
            </w:r>
          </w:p>
        </w:tc>
      </w:tr>
      <w:tr>
        <w:trPr/>
        <w:tc>
          <w:tcPr>
            <w:tcW w:w="6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585,934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539,874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847,455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761,653</w:t>
            </w:r>
          </w:p>
        </w:tc>
        <w:tc>
          <w:tcPr>
            <w:tcW w:w="411" w:type="dxa"/>
            <w:tcBorders/>
            <w:vAlign w:val="center"/>
          </w:tcPr>
          <w:p>
            <w:pPr>
              <w:pStyle w:val="TableContents"/>
              <w:bidi w:val="0"/>
              <w:spacing w:before="0" w:after="0"/>
              <w:ind w:left="0" w:right="0" w:hanging="0"/>
              <w:jc w:val="left"/>
              <w:rPr/>
            </w:pPr>
            <w:r>
              <w:rPr/>
              <w:t> </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 net of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313,632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316,184</w:t>
            </w:r>
          </w:p>
        </w:tc>
        <w:tc>
          <w:tcPr>
            <w:tcW w:w="411" w:type="dxa"/>
            <w:tcBorders/>
            <w:vAlign w:val="center"/>
          </w:tcPr>
          <w:p>
            <w:pPr>
              <w:pStyle w:val="TableContents"/>
              <w:bidi w:val="0"/>
              <w:spacing w:before="0" w:after="0"/>
              <w:ind w:left="0" w:right="0" w:hanging="0"/>
              <w:jc w:val="left"/>
              <w:rPr/>
            </w:pPr>
            <w:r>
              <w:rPr/>
              <w:t> </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 net of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5,904</w:t>
            </w:r>
          </w:p>
        </w:tc>
        <w:tc>
          <w:tcPr>
            <w:tcW w:w="411" w:type="dxa"/>
            <w:tcBorders/>
            <w:vAlign w:val="center"/>
          </w:tcPr>
          <w:p>
            <w:pPr>
              <w:pStyle w:val="TableContents"/>
              <w:bidi w:val="0"/>
              <w:spacing w:before="0" w:after="0"/>
              <w:ind w:left="0" w:right="0" w:hanging="0"/>
              <w:jc w:val="left"/>
              <w:rPr/>
            </w:pPr>
            <w:r>
              <w:rPr/>
              <w:t> </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long-term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14,546</w:t>
            </w:r>
          </w:p>
        </w:tc>
        <w:tc>
          <w:tcPr>
            <w:tcW w:w="411" w:type="dxa"/>
            <w:tcBorders/>
            <w:vAlign w:val="center"/>
          </w:tcPr>
          <w:p>
            <w:pPr>
              <w:pStyle w:val="TableContents"/>
              <w:bidi w:val="0"/>
              <w:spacing w:before="0" w:after="0"/>
              <w:ind w:left="0" w:right="0" w:hanging="0"/>
              <w:jc w:val="left"/>
              <w:rPr/>
            </w:pPr>
            <w:r>
              <w:rPr/>
              <w:t> </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Convertible senior notes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455,207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454,227</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1,646,630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1,552,514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10)</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6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Common stock</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411" w:type="dxa"/>
            <w:tcBorders/>
            <w:vAlign w:val="center"/>
          </w:tcPr>
          <w:p>
            <w:pPr>
              <w:pStyle w:val="TableContents"/>
              <w:bidi w:val="0"/>
              <w:spacing w:before="0" w:after="0"/>
              <w:ind w:left="0" w:right="0" w:firstLine="200"/>
              <w:jc w:val="left"/>
              <w:rPr/>
            </w:pPr>
            <w:r>
              <w:rPr/>
              <w:t> </w:t>
            </w:r>
          </w:p>
        </w:tc>
      </w:tr>
      <w:tr>
        <w:trPr/>
        <w:tc>
          <w:tcPr>
            <w:tcW w:w="6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1,890,409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1,647,446</w:t>
            </w:r>
          </w:p>
        </w:tc>
        <w:tc>
          <w:tcPr>
            <w:tcW w:w="411" w:type="dxa"/>
            <w:tcBorders/>
            <w:vAlign w:val="center"/>
          </w:tcPr>
          <w:p>
            <w:pPr>
              <w:pStyle w:val="TableContents"/>
              <w:bidi w:val="0"/>
              <w:spacing w:before="0" w:after="0"/>
              <w:ind w:left="0" w:right="0" w:firstLine="200"/>
              <w:jc w:val="left"/>
              <w:rPr/>
            </w:pPr>
            <w:r>
              <w:rPr/>
              <w:t> </w:t>
            </w:r>
          </w:p>
        </w:tc>
      </w:tr>
      <w:tr>
        <w:trPr/>
        <w:tc>
          <w:tcPr>
            <w:tcW w:w="6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(12,890</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(799,609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(642,381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1,082,465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992,224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4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2,729,095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2,544,738</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The accompanying notes are an integral part of the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HubSpot, Inc.</w:t>
      </w:r>
    </w:p>
    <w:p>
      <w:pPr>
        <w:pStyle w:val="TextBody"/>
        <w:bidi w:val="0"/>
        <w:spacing w:before="0" w:after="0"/>
        <w:jc w:val="center"/>
        <w:rPr>
          <w:rFonts w:ascii="Times New Roman;serif" w:hAnsi="Times New Roman;serif"/>
          <w:b/>
          <w:sz w:val="20"/>
        </w:rPr>
      </w:pPr>
      <w:bookmarkStart w:id="5" w:name="unaudited_consolidated_statements_operat"/>
      <w:bookmarkEnd w:id="5"/>
      <w:r>
        <w:rPr>
          <w:rFonts w:ascii="Times New Roman;serif" w:hAnsi="Times New Roman;serif"/>
          <w:b/>
          <w:sz w:val="20"/>
        </w:rPr>
        <w:t>Unaudited Consolidated Statements of Operations</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3685"/>
        <w:gridCol w:w="249"/>
        <w:gridCol w:w="995"/>
        <w:gridCol w:w="195"/>
        <w:gridCol w:w="172"/>
        <w:gridCol w:w="249"/>
        <w:gridCol w:w="924"/>
        <w:gridCol w:w="166"/>
        <w:gridCol w:w="146"/>
        <w:gridCol w:w="226"/>
        <w:gridCol w:w="1000"/>
        <w:gridCol w:w="178"/>
        <w:gridCol w:w="156"/>
        <w:gridCol w:w="226"/>
        <w:gridCol w:w="839"/>
        <w:gridCol w:w="799"/>
      </w:tblGrid>
      <w:tr>
        <w:trPr/>
        <w:tc>
          <w:tcPr>
            <w:tcW w:w="368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r>
      <w:tr>
        <w:trPr/>
        <w:tc>
          <w:tcPr>
            <w:tcW w:w="3685" w:type="dxa"/>
            <w:tcBorders/>
            <w:vAlign w:val="center"/>
          </w:tcPr>
          <w:p>
            <w:pPr>
              <w:pStyle w:val="TableContents"/>
              <w:bidi w:val="0"/>
              <w:spacing w:before="0" w:after="0"/>
              <w:ind w:left="0" w:right="0" w:hanging="0"/>
              <w:jc w:val="left"/>
              <w:rPr/>
            </w:pPr>
            <w:r>
              <w:rPr/>
              <w:t> </w:t>
            </w:r>
          </w:p>
        </w:tc>
        <w:tc>
          <w:tcPr>
            <w:tcW w:w="278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62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 June 30,</w:t>
            </w:r>
          </w:p>
        </w:tc>
        <w:tc>
          <w:tcPr>
            <w:tcW w:w="7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85" w:type="dxa"/>
            <w:tcBorders/>
            <w:vAlign w:val="center"/>
          </w:tcPr>
          <w:p>
            <w:pPr>
              <w:pStyle w:val="TableContents"/>
              <w:bidi w:val="0"/>
              <w:spacing w:before="0" w:after="0"/>
              <w:ind w:left="0" w:right="0" w:hanging="0"/>
              <w:jc w:val="left"/>
              <w:rPr/>
            </w:pPr>
            <w:r>
              <w:rPr/>
              <w:t> </w:t>
            </w:r>
          </w:p>
        </w:tc>
        <w:tc>
          <w:tcPr>
            <w:tcW w:w="124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2" w:type="dxa"/>
            <w:tcBorders/>
            <w:vAlign w:val="center"/>
          </w:tcPr>
          <w:p>
            <w:pPr>
              <w:pStyle w:val="TableContents"/>
              <w:bidi w:val="0"/>
              <w:spacing w:before="0" w:after="0"/>
              <w:ind w:left="0" w:right="0" w:hanging="0"/>
              <w:jc w:val="left"/>
              <w:rPr/>
            </w:pPr>
            <w:r>
              <w:rPr/>
              <w:t> </w:t>
            </w:r>
          </w:p>
        </w:tc>
        <w:tc>
          <w:tcPr>
            <w:tcW w:w="117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6" w:type="dxa"/>
            <w:tcBorders/>
            <w:vAlign w:val="center"/>
          </w:tcPr>
          <w:p>
            <w:pPr>
              <w:pStyle w:val="TableContents"/>
              <w:bidi w:val="0"/>
              <w:spacing w:before="0" w:after="0"/>
              <w:ind w:left="0" w:right="0" w:hanging="0"/>
              <w:jc w:val="left"/>
              <w:rPr/>
            </w:pPr>
            <w:r>
              <w:rPr/>
              <w:t> </w:t>
            </w:r>
          </w:p>
        </w:tc>
        <w:tc>
          <w:tcPr>
            <w:tcW w:w="10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7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Revenues:</w:t>
            </w:r>
          </w:p>
        </w:tc>
        <w:tc>
          <w:tcPr>
            <w:tcW w:w="1244" w:type="dxa"/>
            <w:gridSpan w:val="2"/>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right"/>
              <w:rPr/>
            </w:pPr>
            <w:r>
              <w:rPr/>
              <w:t> </w:t>
            </w:r>
          </w:p>
        </w:tc>
        <w:tc>
          <w:tcPr>
            <w:tcW w:w="172" w:type="dxa"/>
            <w:tcBorders/>
            <w:vAlign w:val="center"/>
          </w:tcPr>
          <w:p>
            <w:pPr>
              <w:pStyle w:val="TableContents"/>
              <w:bidi w:val="0"/>
              <w:spacing w:before="0" w:after="0"/>
              <w:ind w:left="0" w:right="0" w:hanging="0"/>
              <w:jc w:val="left"/>
              <w:rPr/>
            </w:pPr>
            <w:r>
              <w:rPr/>
              <w:t> </w:t>
            </w:r>
          </w:p>
        </w:tc>
        <w:tc>
          <w:tcPr>
            <w:tcW w:w="117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26" w:type="dxa"/>
            <w:gridSpan w:val="2"/>
            <w:tcBorders/>
            <w:vAlign w:val="center"/>
          </w:tcPr>
          <w:p>
            <w:pPr>
              <w:pStyle w:val="TableContents"/>
              <w:bidi w:val="0"/>
              <w:spacing w:before="0" w:after="0"/>
              <w:ind w:left="0" w:right="0" w:hanging="0"/>
              <w:jc w:val="right"/>
              <w:rPr/>
            </w:pPr>
            <w:r>
              <w:rPr/>
              <w:t> </w:t>
            </w:r>
          </w:p>
        </w:tc>
        <w:tc>
          <w:tcPr>
            <w:tcW w:w="178" w:type="dxa"/>
            <w:tcBorders/>
            <w:vAlign w:val="center"/>
          </w:tcPr>
          <w:p>
            <w:pPr>
              <w:pStyle w:val="TableContents"/>
              <w:bidi w:val="0"/>
              <w:spacing w:before="0" w:after="0"/>
              <w:ind w:left="0" w:right="0" w:hanging="0"/>
              <w:jc w:val="right"/>
              <w:rPr/>
            </w:pPr>
            <w:r>
              <w:rPr/>
              <w:t> </w:t>
            </w:r>
          </w:p>
        </w:tc>
        <w:tc>
          <w:tcPr>
            <w:tcW w:w="15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right"/>
              <w:rPr/>
            </w:pPr>
            <w:r>
              <w:rPr/>
              <w:t> </w:t>
            </w:r>
          </w:p>
        </w:tc>
        <w:tc>
          <w:tcPr>
            <w:tcW w:w="799" w:type="dxa"/>
            <w:tcBorders/>
            <w:vAlign w:val="center"/>
          </w:tcPr>
          <w:p>
            <w:pPr>
              <w:pStyle w:val="TableContents"/>
              <w:bidi w:val="0"/>
              <w:spacing w:before="0" w:after="0"/>
              <w:ind w:left="0" w:right="0" w:firstLine="200"/>
              <w:jc w:val="right"/>
              <w:rPr/>
            </w:pPr>
            <w:r>
              <w:rPr/>
              <w:t> </w:t>
            </w:r>
          </w:p>
        </w:tc>
      </w:tr>
      <w:tr>
        <w:trPr/>
        <w:tc>
          <w:tcPr>
            <w:tcW w:w="368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Subscription</w:t>
            </w:r>
          </w:p>
        </w:tc>
        <w:tc>
          <w:tcPr>
            <w:tcW w:w="2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517,678</w:t>
            </w:r>
          </w:p>
        </w:tc>
        <w:tc>
          <w:tcPr>
            <w:tcW w:w="195"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412,401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1,007,421</w:t>
            </w:r>
          </w:p>
        </w:tc>
        <w:tc>
          <w:tcPr>
            <w:tcW w:w="178"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797,356</w:t>
            </w:r>
          </w:p>
        </w:tc>
        <w:tc>
          <w:tcPr>
            <w:tcW w:w="799" w:type="dxa"/>
            <w:tcBorders/>
            <w:vAlign w:val="center"/>
          </w:tcPr>
          <w:p>
            <w:pPr>
              <w:pStyle w:val="TableContents"/>
              <w:bidi w:val="0"/>
              <w:spacing w:before="0" w:after="0"/>
              <w:ind w:left="0" w:right="0" w:firstLine="200"/>
              <w:jc w:val="left"/>
              <w:rPr/>
            </w:pPr>
            <w:r>
              <w:rPr/>
              <w:t> </w:t>
            </w:r>
          </w:p>
        </w:tc>
      </w:tr>
      <w:tr>
        <w:trPr/>
        <w:tc>
          <w:tcPr>
            <w:tcW w:w="368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Professional services and other</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11,460</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23,337</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19,998</w:t>
            </w:r>
          </w:p>
        </w:tc>
        <w:tc>
          <w:tcPr>
            <w:tcW w:w="799"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3685"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revenue</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529,138</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421,755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1,030,758</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817,354</w:t>
            </w:r>
          </w:p>
        </w:tc>
        <w:tc>
          <w:tcPr>
            <w:tcW w:w="7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revenues:</w:t>
            </w:r>
          </w:p>
        </w:tc>
        <w:tc>
          <w:tcPr>
            <w:tcW w:w="1244" w:type="dxa"/>
            <w:gridSpan w:val="2"/>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right"/>
              <w:rPr/>
            </w:pPr>
            <w:r>
              <w:rPr/>
              <w:t> </w:t>
            </w:r>
          </w:p>
        </w:tc>
        <w:tc>
          <w:tcPr>
            <w:tcW w:w="172" w:type="dxa"/>
            <w:tcBorders/>
            <w:vAlign w:val="center"/>
          </w:tcPr>
          <w:p>
            <w:pPr>
              <w:pStyle w:val="TableContents"/>
              <w:bidi w:val="0"/>
              <w:spacing w:before="0" w:after="0"/>
              <w:ind w:left="0" w:right="0" w:hanging="0"/>
              <w:jc w:val="left"/>
              <w:rPr/>
            </w:pPr>
            <w:r>
              <w:rPr/>
              <w:t> </w:t>
            </w:r>
          </w:p>
        </w:tc>
        <w:tc>
          <w:tcPr>
            <w:tcW w:w="117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26" w:type="dxa"/>
            <w:gridSpan w:val="2"/>
            <w:tcBorders/>
            <w:vAlign w:val="center"/>
          </w:tcPr>
          <w:p>
            <w:pPr>
              <w:pStyle w:val="TableContents"/>
              <w:bidi w:val="0"/>
              <w:spacing w:before="0" w:after="0"/>
              <w:ind w:left="0" w:right="0" w:hanging="0"/>
              <w:jc w:val="right"/>
              <w:rPr/>
            </w:pPr>
            <w:r>
              <w:rPr/>
              <w:t> </w:t>
            </w:r>
          </w:p>
        </w:tc>
        <w:tc>
          <w:tcPr>
            <w:tcW w:w="178" w:type="dxa"/>
            <w:tcBorders/>
            <w:vAlign w:val="center"/>
          </w:tcPr>
          <w:p>
            <w:pPr>
              <w:pStyle w:val="TableContents"/>
              <w:bidi w:val="0"/>
              <w:spacing w:before="0" w:after="0"/>
              <w:ind w:left="0" w:right="0" w:hanging="0"/>
              <w:jc w:val="right"/>
              <w:rPr/>
            </w:pPr>
            <w:r>
              <w:rPr/>
              <w:t> </w:t>
            </w:r>
          </w:p>
        </w:tc>
        <w:tc>
          <w:tcPr>
            <w:tcW w:w="15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right"/>
              <w:rPr/>
            </w:pPr>
            <w:r>
              <w:rPr/>
              <w:t> </w:t>
            </w:r>
          </w:p>
        </w:tc>
        <w:tc>
          <w:tcPr>
            <w:tcW w:w="799" w:type="dxa"/>
            <w:tcBorders/>
            <w:vAlign w:val="center"/>
          </w:tcPr>
          <w:p>
            <w:pPr>
              <w:pStyle w:val="TableContents"/>
              <w:bidi w:val="0"/>
              <w:spacing w:before="0" w:after="0"/>
              <w:ind w:left="0" w:right="0" w:firstLine="200"/>
              <w:jc w:val="right"/>
              <w:rPr/>
            </w:pPr>
            <w:r>
              <w:rPr/>
              <w:t> </w:t>
            </w:r>
          </w:p>
        </w:tc>
      </w:tr>
      <w:tr>
        <w:trPr/>
        <w:tc>
          <w:tcPr>
            <w:tcW w:w="368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Subscription</w:t>
            </w:r>
          </w:p>
        </w:tc>
        <w:tc>
          <w:tcPr>
            <w:tcW w:w="249"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73,824</w:t>
            </w:r>
          </w:p>
        </w:tc>
        <w:tc>
          <w:tcPr>
            <w:tcW w:w="195"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64,431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6" w:type="dxa"/>
            <w:tcBorders/>
            <w:vAlign w:val="center"/>
          </w:tcPr>
          <w:p>
            <w:pPr>
              <w:pStyle w:val="TableContents"/>
              <w:bidi w:val="0"/>
              <w:spacing w:before="0" w:after="0"/>
              <w:ind w:left="0" w:right="0" w:hanging="0"/>
              <w:jc w:val="left"/>
              <w:rPr/>
            </w:pPr>
            <w:r>
              <w:rPr/>
              <w:t> </w:t>
            </w:r>
          </w:p>
        </w:tc>
        <w:tc>
          <w:tcPr>
            <w:tcW w:w="10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142,163</w:t>
            </w:r>
          </w:p>
        </w:tc>
        <w:tc>
          <w:tcPr>
            <w:tcW w:w="178"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123,816</w:t>
            </w:r>
          </w:p>
        </w:tc>
        <w:tc>
          <w:tcPr>
            <w:tcW w:w="799" w:type="dxa"/>
            <w:tcBorders/>
            <w:vAlign w:val="center"/>
          </w:tcPr>
          <w:p>
            <w:pPr>
              <w:pStyle w:val="TableContents"/>
              <w:bidi w:val="0"/>
              <w:spacing w:before="0" w:after="0"/>
              <w:ind w:left="0" w:right="0" w:firstLine="200"/>
              <w:jc w:val="left"/>
              <w:rPr/>
            </w:pPr>
            <w:r>
              <w:rPr/>
              <w:t> </w:t>
            </w:r>
          </w:p>
        </w:tc>
      </w:tr>
      <w:tr>
        <w:trPr/>
        <w:tc>
          <w:tcPr>
            <w:tcW w:w="368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Professional services and other</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13,462</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27,169</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28,053</w:t>
            </w:r>
          </w:p>
        </w:tc>
        <w:tc>
          <w:tcPr>
            <w:tcW w:w="799"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3685"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cost of revenues</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87,286</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78,931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169,332</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151,869</w:t>
            </w:r>
          </w:p>
        </w:tc>
        <w:tc>
          <w:tcPr>
            <w:tcW w:w="7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441,852</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342,824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861,426</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665,485</w:t>
            </w:r>
          </w:p>
        </w:tc>
        <w:tc>
          <w:tcPr>
            <w:tcW w:w="7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244" w:type="dxa"/>
            <w:gridSpan w:val="2"/>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right"/>
              <w:rPr/>
            </w:pPr>
            <w:r>
              <w:rPr/>
              <w:t> </w:t>
            </w:r>
          </w:p>
        </w:tc>
        <w:tc>
          <w:tcPr>
            <w:tcW w:w="172" w:type="dxa"/>
            <w:tcBorders/>
            <w:vAlign w:val="center"/>
          </w:tcPr>
          <w:p>
            <w:pPr>
              <w:pStyle w:val="TableContents"/>
              <w:bidi w:val="0"/>
              <w:spacing w:before="0" w:after="0"/>
              <w:ind w:left="0" w:right="0" w:hanging="0"/>
              <w:jc w:val="left"/>
              <w:rPr/>
            </w:pPr>
            <w:r>
              <w:rPr/>
              <w:t> </w:t>
            </w:r>
          </w:p>
        </w:tc>
        <w:tc>
          <w:tcPr>
            <w:tcW w:w="117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26" w:type="dxa"/>
            <w:gridSpan w:val="2"/>
            <w:tcBorders/>
            <w:vAlign w:val="center"/>
          </w:tcPr>
          <w:p>
            <w:pPr>
              <w:pStyle w:val="TableContents"/>
              <w:bidi w:val="0"/>
              <w:spacing w:before="0" w:after="0"/>
              <w:ind w:left="0" w:right="0" w:hanging="0"/>
              <w:jc w:val="right"/>
              <w:rPr/>
            </w:pPr>
            <w:r>
              <w:rPr/>
              <w:t> </w:t>
            </w:r>
          </w:p>
        </w:tc>
        <w:tc>
          <w:tcPr>
            <w:tcW w:w="178" w:type="dxa"/>
            <w:tcBorders/>
            <w:vAlign w:val="center"/>
          </w:tcPr>
          <w:p>
            <w:pPr>
              <w:pStyle w:val="TableContents"/>
              <w:bidi w:val="0"/>
              <w:spacing w:before="0" w:after="0"/>
              <w:ind w:left="0" w:right="0" w:hanging="0"/>
              <w:jc w:val="right"/>
              <w:rPr/>
            </w:pPr>
            <w:r>
              <w:rPr/>
              <w:t> </w:t>
            </w:r>
          </w:p>
        </w:tc>
        <w:tc>
          <w:tcPr>
            <w:tcW w:w="15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right"/>
              <w:rPr/>
            </w:pPr>
            <w:r>
              <w:rPr/>
              <w:t> </w:t>
            </w:r>
          </w:p>
        </w:tc>
        <w:tc>
          <w:tcPr>
            <w:tcW w:w="799" w:type="dxa"/>
            <w:tcBorders/>
            <w:vAlign w:val="center"/>
          </w:tcPr>
          <w:p>
            <w:pPr>
              <w:pStyle w:val="TableContents"/>
              <w:bidi w:val="0"/>
              <w:spacing w:before="0" w:after="0"/>
              <w:ind w:left="0" w:right="0" w:firstLine="200"/>
              <w:jc w:val="right"/>
              <w:rPr/>
            </w:pPr>
            <w:r>
              <w:rPr/>
              <w:t> </w:t>
            </w:r>
          </w:p>
        </w:tc>
      </w:tr>
      <w:tr>
        <w:trPr/>
        <w:tc>
          <w:tcPr>
            <w:tcW w:w="368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249"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169,955</w:t>
            </w:r>
          </w:p>
        </w:tc>
        <w:tc>
          <w:tcPr>
            <w:tcW w:w="195"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118,914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6" w:type="dxa"/>
            <w:tcBorders/>
            <w:vAlign w:val="center"/>
          </w:tcPr>
          <w:p>
            <w:pPr>
              <w:pStyle w:val="TableContents"/>
              <w:bidi w:val="0"/>
              <w:spacing w:before="0" w:after="0"/>
              <w:ind w:left="0" w:right="0" w:hanging="0"/>
              <w:jc w:val="left"/>
              <w:rPr/>
            </w:pPr>
            <w:r>
              <w:rPr/>
              <w:t> </w:t>
            </w:r>
          </w:p>
        </w:tc>
        <w:tc>
          <w:tcPr>
            <w:tcW w:w="10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297,639</w:t>
            </w:r>
          </w:p>
        </w:tc>
        <w:tc>
          <w:tcPr>
            <w:tcW w:w="178"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211,650</w:t>
            </w:r>
          </w:p>
        </w:tc>
        <w:tc>
          <w:tcPr>
            <w:tcW w:w="799" w:type="dxa"/>
            <w:tcBorders/>
            <w:vAlign w:val="center"/>
          </w:tcPr>
          <w:p>
            <w:pPr>
              <w:pStyle w:val="TableContents"/>
              <w:bidi w:val="0"/>
              <w:spacing w:before="0" w:after="0"/>
              <w:ind w:left="0" w:right="0" w:firstLine="200"/>
              <w:jc w:val="left"/>
              <w:rPr/>
            </w:pPr>
            <w:r>
              <w:rPr/>
              <w:t> </w:t>
            </w:r>
          </w:p>
        </w:tc>
      </w:tr>
      <w:tr>
        <w:trPr/>
        <w:tc>
          <w:tcPr>
            <w:tcW w:w="368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249"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265,294</w:t>
            </w:r>
          </w:p>
        </w:tc>
        <w:tc>
          <w:tcPr>
            <w:tcW w:w="195"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224,262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6" w:type="dxa"/>
            <w:tcBorders/>
            <w:vAlign w:val="center"/>
          </w:tcPr>
          <w:p>
            <w:pPr>
              <w:pStyle w:val="TableContents"/>
              <w:bidi w:val="0"/>
              <w:spacing w:before="0" w:after="0"/>
              <w:ind w:left="0" w:right="0" w:hanging="0"/>
              <w:jc w:val="left"/>
              <w:rPr/>
            </w:pPr>
            <w:r>
              <w:rPr/>
              <w:t> </w:t>
            </w:r>
          </w:p>
        </w:tc>
        <w:tc>
          <w:tcPr>
            <w:tcW w:w="10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515,971</w:t>
            </w:r>
          </w:p>
        </w:tc>
        <w:tc>
          <w:tcPr>
            <w:tcW w:w="178"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421,396</w:t>
            </w:r>
          </w:p>
        </w:tc>
        <w:tc>
          <w:tcPr>
            <w:tcW w:w="799" w:type="dxa"/>
            <w:tcBorders/>
            <w:vAlign w:val="center"/>
          </w:tcPr>
          <w:p>
            <w:pPr>
              <w:pStyle w:val="TableContents"/>
              <w:bidi w:val="0"/>
              <w:spacing w:before="0" w:after="0"/>
              <w:ind w:left="0" w:right="0" w:firstLine="200"/>
              <w:jc w:val="left"/>
              <w:rPr/>
            </w:pPr>
            <w:r>
              <w:rPr/>
              <w:t> </w:t>
            </w:r>
          </w:p>
        </w:tc>
      </w:tr>
      <w:tr>
        <w:trPr/>
        <w:tc>
          <w:tcPr>
            <w:tcW w:w="368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249"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61,222</w:t>
            </w:r>
          </w:p>
        </w:tc>
        <w:tc>
          <w:tcPr>
            <w:tcW w:w="195"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51,898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6" w:type="dxa"/>
            <w:tcBorders/>
            <w:vAlign w:val="center"/>
          </w:tcPr>
          <w:p>
            <w:pPr>
              <w:pStyle w:val="TableContents"/>
              <w:bidi w:val="0"/>
              <w:spacing w:before="0" w:after="0"/>
              <w:ind w:left="0" w:right="0" w:hanging="0"/>
              <w:jc w:val="left"/>
              <w:rPr/>
            </w:pPr>
            <w:r>
              <w:rPr/>
              <w:t> </w:t>
            </w:r>
          </w:p>
        </w:tc>
        <w:tc>
          <w:tcPr>
            <w:tcW w:w="10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118,630</w:t>
            </w:r>
          </w:p>
        </w:tc>
        <w:tc>
          <w:tcPr>
            <w:tcW w:w="178"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95,844</w:t>
            </w:r>
          </w:p>
        </w:tc>
        <w:tc>
          <w:tcPr>
            <w:tcW w:w="799" w:type="dxa"/>
            <w:tcBorders/>
            <w:vAlign w:val="center"/>
          </w:tcPr>
          <w:p>
            <w:pPr>
              <w:pStyle w:val="TableContents"/>
              <w:bidi w:val="0"/>
              <w:spacing w:before="0" w:after="0"/>
              <w:ind w:left="0" w:right="0" w:firstLine="200"/>
              <w:jc w:val="left"/>
              <w:rPr/>
            </w:pPr>
            <w:r>
              <w:rPr/>
              <w:t> </w:t>
            </w:r>
          </w:p>
        </w:tc>
      </w:tr>
      <w:tr>
        <w:trPr/>
        <w:tc>
          <w:tcPr>
            <w:tcW w:w="368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Restructuring (Note 15)</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63,880</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92,450</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799"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68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560,351</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395,074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1,024,690</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728,890</w:t>
            </w:r>
          </w:p>
        </w:tc>
        <w:tc>
          <w:tcPr>
            <w:tcW w:w="7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(118,499</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2"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(52,250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(163,264</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(63,405</w:t>
            </w:r>
          </w:p>
        </w:tc>
        <w:tc>
          <w:tcPr>
            <w:tcW w:w="7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w:t>
            </w:r>
          </w:p>
        </w:tc>
        <w:tc>
          <w:tcPr>
            <w:tcW w:w="1244" w:type="dxa"/>
            <w:gridSpan w:val="2"/>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right"/>
              <w:rPr/>
            </w:pPr>
            <w:r>
              <w:rPr/>
              <w:t> </w:t>
            </w:r>
          </w:p>
        </w:tc>
        <w:tc>
          <w:tcPr>
            <w:tcW w:w="172" w:type="dxa"/>
            <w:tcBorders/>
            <w:vAlign w:val="center"/>
          </w:tcPr>
          <w:p>
            <w:pPr>
              <w:pStyle w:val="TableContents"/>
              <w:bidi w:val="0"/>
              <w:spacing w:before="0" w:after="0"/>
              <w:ind w:left="0" w:right="0" w:hanging="0"/>
              <w:jc w:val="left"/>
              <w:rPr/>
            </w:pPr>
            <w:r>
              <w:rPr/>
              <w:t> </w:t>
            </w:r>
          </w:p>
        </w:tc>
        <w:tc>
          <w:tcPr>
            <w:tcW w:w="117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26" w:type="dxa"/>
            <w:gridSpan w:val="2"/>
            <w:tcBorders/>
            <w:vAlign w:val="center"/>
          </w:tcPr>
          <w:p>
            <w:pPr>
              <w:pStyle w:val="TableContents"/>
              <w:bidi w:val="0"/>
              <w:spacing w:before="0" w:after="0"/>
              <w:ind w:left="0" w:right="0" w:hanging="0"/>
              <w:jc w:val="right"/>
              <w:rPr/>
            </w:pPr>
            <w:r>
              <w:rPr/>
              <w:t> </w:t>
            </w:r>
          </w:p>
        </w:tc>
        <w:tc>
          <w:tcPr>
            <w:tcW w:w="178" w:type="dxa"/>
            <w:tcBorders/>
            <w:vAlign w:val="center"/>
          </w:tcPr>
          <w:p>
            <w:pPr>
              <w:pStyle w:val="TableContents"/>
              <w:bidi w:val="0"/>
              <w:spacing w:before="0" w:after="0"/>
              <w:ind w:left="0" w:right="0" w:hanging="0"/>
              <w:jc w:val="right"/>
              <w:rPr/>
            </w:pPr>
            <w:r>
              <w:rPr/>
              <w:t> </w:t>
            </w:r>
          </w:p>
        </w:tc>
        <w:tc>
          <w:tcPr>
            <w:tcW w:w="15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right"/>
              <w:rPr/>
            </w:pPr>
            <w:r>
              <w:rPr/>
              <w:t> </w:t>
            </w:r>
          </w:p>
        </w:tc>
        <w:tc>
          <w:tcPr>
            <w:tcW w:w="799" w:type="dxa"/>
            <w:tcBorders/>
            <w:vAlign w:val="center"/>
          </w:tcPr>
          <w:p>
            <w:pPr>
              <w:pStyle w:val="TableContents"/>
              <w:bidi w:val="0"/>
              <w:spacing w:before="0" w:after="0"/>
              <w:ind w:left="0" w:right="0" w:firstLine="200"/>
              <w:jc w:val="right"/>
              <w:rPr/>
            </w:pPr>
            <w:r>
              <w:rPr/>
              <w:t> </w:t>
            </w:r>
          </w:p>
        </w:tc>
      </w:tr>
      <w:tr>
        <w:trPr/>
        <w:tc>
          <w:tcPr>
            <w:tcW w:w="368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249"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13,542</w:t>
            </w:r>
          </w:p>
        </w:tc>
        <w:tc>
          <w:tcPr>
            <w:tcW w:w="195"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6" w:type="dxa"/>
            <w:tcBorders/>
            <w:vAlign w:val="center"/>
          </w:tcPr>
          <w:p>
            <w:pPr>
              <w:pStyle w:val="TableContents"/>
              <w:bidi w:val="0"/>
              <w:spacing w:before="0" w:after="0"/>
              <w:ind w:left="0" w:right="0" w:hanging="0"/>
              <w:jc w:val="left"/>
              <w:rPr/>
            </w:pPr>
            <w:r>
              <w:rPr/>
              <w:t> </w:t>
            </w:r>
          </w:p>
        </w:tc>
        <w:tc>
          <w:tcPr>
            <w:tcW w:w="10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24,013</w:t>
            </w:r>
          </w:p>
        </w:tc>
        <w:tc>
          <w:tcPr>
            <w:tcW w:w="178"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2,564</w:t>
            </w:r>
          </w:p>
        </w:tc>
        <w:tc>
          <w:tcPr>
            <w:tcW w:w="799" w:type="dxa"/>
            <w:tcBorders/>
            <w:vAlign w:val="center"/>
          </w:tcPr>
          <w:p>
            <w:pPr>
              <w:pStyle w:val="TableContents"/>
              <w:bidi w:val="0"/>
              <w:spacing w:before="0" w:after="0"/>
              <w:ind w:left="0" w:right="0" w:firstLine="200"/>
              <w:jc w:val="left"/>
              <w:rPr/>
            </w:pPr>
            <w:r>
              <w:rPr/>
              <w:t> </w:t>
            </w:r>
          </w:p>
        </w:tc>
      </w:tr>
      <w:tr>
        <w:trPr/>
        <w:tc>
          <w:tcPr>
            <w:tcW w:w="368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249"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(937</w:t>
            </w:r>
          </w:p>
        </w:tc>
        <w:tc>
          <w:tcPr>
            <w:tcW w:w="1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2"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26" w:type="dxa"/>
            <w:tcBorders/>
            <w:vAlign w:val="center"/>
          </w:tcPr>
          <w:p>
            <w:pPr>
              <w:pStyle w:val="TableContents"/>
              <w:bidi w:val="0"/>
              <w:spacing w:before="0" w:after="0"/>
              <w:ind w:left="0" w:right="0" w:hanging="0"/>
              <w:jc w:val="left"/>
              <w:rPr/>
            </w:pPr>
            <w:r>
              <w:rPr/>
              <w:t> </w:t>
            </w:r>
          </w:p>
        </w:tc>
        <w:tc>
          <w:tcPr>
            <w:tcW w:w="10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(1,867</w:t>
            </w:r>
          </w:p>
        </w:tc>
        <w:tc>
          <w:tcPr>
            <w:tcW w:w="1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(1,898</w:t>
            </w:r>
          </w:p>
        </w:tc>
        <w:tc>
          <w:tcPr>
            <w:tcW w:w="799"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68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(expense) income</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(465</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602</w:t>
            </w:r>
          </w:p>
        </w:tc>
        <w:tc>
          <w:tcPr>
            <w:tcW w:w="799"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68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income (expense)</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12,935</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21,681</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1,268</w:t>
            </w:r>
          </w:p>
        </w:tc>
        <w:tc>
          <w:tcPr>
            <w:tcW w:w="7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 expense</w:t>
            </w:r>
          </w:p>
        </w:tc>
        <w:tc>
          <w:tcPr>
            <w:tcW w:w="249"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(105,564</w:t>
            </w:r>
          </w:p>
        </w:tc>
        <w:tc>
          <w:tcPr>
            <w:tcW w:w="1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2"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26" w:type="dxa"/>
            <w:tcBorders/>
            <w:vAlign w:val="center"/>
          </w:tcPr>
          <w:p>
            <w:pPr>
              <w:pStyle w:val="TableContents"/>
              <w:bidi w:val="0"/>
              <w:spacing w:before="0" w:after="0"/>
              <w:ind w:left="0" w:right="0" w:hanging="0"/>
              <w:jc w:val="left"/>
              <w:rPr/>
            </w:pPr>
            <w:r>
              <w:rPr/>
              <w:t> </w:t>
            </w:r>
          </w:p>
        </w:tc>
        <w:tc>
          <w:tcPr>
            <w:tcW w:w="10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(141,583</w:t>
            </w:r>
          </w:p>
        </w:tc>
        <w:tc>
          <w:tcPr>
            <w:tcW w:w="1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(62,137</w:t>
            </w:r>
          </w:p>
        </w:tc>
        <w:tc>
          <w:tcPr>
            <w:tcW w:w="799"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368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(13,382</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2"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(15,645</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(3,565</w:t>
            </w:r>
          </w:p>
        </w:tc>
        <w:tc>
          <w:tcPr>
            <w:tcW w:w="7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(118,946</w:t>
            </w:r>
          </w:p>
        </w:tc>
        <w:tc>
          <w:tcPr>
            <w:tcW w:w="1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2" w:type="dxa"/>
            <w:tcBorders/>
            <w:vAlign w:val="center"/>
          </w:tcPr>
          <w:p>
            <w:pPr>
              <w:pStyle w:val="TableContents"/>
              <w:bidi w:val="0"/>
              <w:spacing w:before="0" w:after="0"/>
              <w:ind w:left="0" w:right="0" w:hanging="0"/>
              <w:jc w:val="left"/>
              <w:rPr/>
            </w:pPr>
            <w:r>
              <w:rPr/>
              <w:t> </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(56,361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(157,228</w:t>
            </w:r>
          </w:p>
        </w:tc>
        <w:tc>
          <w:tcPr>
            <w:tcW w:w="1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(65,702</w:t>
            </w:r>
          </w:p>
        </w:tc>
        <w:tc>
          <w:tcPr>
            <w:tcW w:w="7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2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w:t>
            </w:r>
          </w:p>
        </w:tc>
        <w:tc>
          <w:tcPr>
            <w:tcW w:w="1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2"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(3.17</w:t>
            </w:r>
          </w:p>
        </w:tc>
        <w:tc>
          <w:tcPr>
            <w:tcW w:w="1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7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Weighted average common shares used in </w:t>
              <w:br/>
              <w:t>  computing basic and diluted net loss per share:</w:t>
            </w:r>
          </w:p>
        </w:tc>
        <w:tc>
          <w:tcPr>
            <w:tcW w:w="249"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49,703</w:t>
            </w:r>
          </w:p>
        </w:tc>
        <w:tc>
          <w:tcPr>
            <w:tcW w:w="195"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47,815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6" w:type="dxa"/>
            <w:tcBorders/>
            <w:vAlign w:val="center"/>
          </w:tcPr>
          <w:p>
            <w:pPr>
              <w:pStyle w:val="TableContents"/>
              <w:bidi w:val="0"/>
              <w:spacing w:before="0" w:after="0"/>
              <w:ind w:left="0" w:right="0" w:hanging="0"/>
              <w:jc w:val="left"/>
              <w:rPr/>
            </w:pPr>
            <w:r>
              <w:rPr/>
              <w:t> </w:t>
            </w:r>
          </w:p>
        </w:tc>
        <w:tc>
          <w:tcPr>
            <w:tcW w:w="10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49,550</w:t>
            </w:r>
          </w:p>
        </w:tc>
        <w:tc>
          <w:tcPr>
            <w:tcW w:w="178"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47,697</w:t>
            </w:r>
          </w:p>
        </w:tc>
        <w:tc>
          <w:tcPr>
            <w:tcW w:w="799"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The accompanying notes are an integral part of the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HubSpot, Inc.</w:t>
      </w:r>
    </w:p>
    <w:p>
      <w:pPr>
        <w:pStyle w:val="TextBody"/>
        <w:bidi w:val="0"/>
        <w:spacing w:before="0" w:after="0"/>
        <w:jc w:val="center"/>
        <w:rPr>
          <w:rFonts w:ascii="Times New Roman;serif" w:hAnsi="Times New Roman;serif"/>
          <w:b/>
          <w:sz w:val="20"/>
        </w:rPr>
      </w:pPr>
      <w:bookmarkStart w:id="6" w:name="unaudited_consolidated_statements_compre"/>
      <w:bookmarkEnd w:id="6"/>
      <w:r>
        <w:rPr>
          <w:rFonts w:ascii="Times New Roman;serif" w:hAnsi="Times New Roman;serif"/>
          <w:b/>
          <w:sz w:val="20"/>
        </w:rPr>
        <w:t>Unaudited Consolidated Statements of Comprehensive Loss</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w:t>
      </w:r>
    </w:p>
    <w:tbl>
      <w:tblPr>
        <w:tblW w:w="10205" w:type="dxa"/>
        <w:jc w:val="left"/>
        <w:tblInd w:w="0" w:type="dxa"/>
        <w:tblLayout w:type="fixed"/>
        <w:tblCellMar>
          <w:top w:w="28" w:type="dxa"/>
          <w:left w:w="28" w:type="dxa"/>
          <w:bottom w:w="28" w:type="dxa"/>
          <w:right w:w="28" w:type="dxa"/>
        </w:tblCellMar>
      </w:tblPr>
      <w:tblGrid>
        <w:gridCol w:w="4132"/>
        <w:gridCol w:w="251"/>
        <w:gridCol w:w="1003"/>
        <w:gridCol w:w="197"/>
        <w:gridCol w:w="174"/>
        <w:gridCol w:w="251"/>
        <w:gridCol w:w="877"/>
        <w:gridCol w:w="166"/>
        <w:gridCol w:w="146"/>
        <w:gridCol w:w="236"/>
        <w:gridCol w:w="944"/>
        <w:gridCol w:w="185"/>
        <w:gridCol w:w="163"/>
        <w:gridCol w:w="236"/>
        <w:gridCol w:w="826"/>
        <w:gridCol w:w="418"/>
      </w:tblGrid>
      <w:tr>
        <w:trPr/>
        <w:tc>
          <w:tcPr>
            <w:tcW w:w="413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4132" w:type="dxa"/>
            <w:tcBorders/>
            <w:vAlign w:val="center"/>
          </w:tcPr>
          <w:p>
            <w:pPr>
              <w:pStyle w:val="TableContents"/>
              <w:bidi w:val="0"/>
              <w:spacing w:before="0" w:after="0"/>
              <w:ind w:left="0" w:right="0" w:hanging="0"/>
              <w:jc w:val="left"/>
              <w:rPr/>
            </w:pPr>
            <w:r>
              <w:rPr/>
              <w:t> </w:t>
            </w:r>
          </w:p>
        </w:tc>
        <w:tc>
          <w:tcPr>
            <w:tcW w:w="275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9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 June 30,</w:t>
            </w:r>
          </w:p>
        </w:tc>
        <w:tc>
          <w:tcPr>
            <w:tcW w:w="4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32" w:type="dxa"/>
            <w:tcBorders/>
            <w:vAlign w:val="center"/>
          </w:tcPr>
          <w:p>
            <w:pPr>
              <w:pStyle w:val="TableContents"/>
              <w:bidi w:val="0"/>
              <w:spacing w:before="0" w:after="0"/>
              <w:ind w:left="0" w:right="0" w:hanging="0"/>
              <w:jc w:val="left"/>
              <w:rPr/>
            </w:pPr>
            <w:r>
              <w:rPr/>
              <w:t> </w:t>
            </w:r>
          </w:p>
        </w:tc>
        <w:tc>
          <w:tcPr>
            <w:tcW w:w="12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4" w:type="dxa"/>
            <w:tcBorders/>
            <w:vAlign w:val="center"/>
          </w:tcPr>
          <w:p>
            <w:pPr>
              <w:pStyle w:val="TableContents"/>
              <w:bidi w:val="0"/>
              <w:spacing w:before="0" w:after="0"/>
              <w:ind w:left="0" w:right="0" w:hanging="0"/>
              <w:jc w:val="left"/>
              <w:rPr/>
            </w:pPr>
            <w:r>
              <w:rPr/>
              <w:t> </w:t>
            </w:r>
          </w:p>
        </w:tc>
        <w:tc>
          <w:tcPr>
            <w:tcW w:w="112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3" w:type="dxa"/>
            <w:tcBorders/>
            <w:vAlign w:val="center"/>
          </w:tcPr>
          <w:p>
            <w:pPr>
              <w:pStyle w:val="TableContents"/>
              <w:bidi w:val="0"/>
              <w:spacing w:before="0" w:after="0"/>
              <w:ind w:left="0" w:right="0" w:hanging="0"/>
              <w:jc w:val="lef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(118,946</w:t>
            </w:r>
          </w:p>
        </w:tc>
        <w:tc>
          <w:tcPr>
            <w:tcW w:w="1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4"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(56,361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(157,228</w:t>
            </w:r>
          </w:p>
        </w:tc>
        <w:tc>
          <w:tcPr>
            <w:tcW w:w="1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(65,702</w:t>
            </w:r>
          </w:p>
        </w:tc>
        <w:tc>
          <w:tcPr>
            <w:tcW w:w="4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loss:</w:t>
            </w:r>
          </w:p>
        </w:tc>
        <w:tc>
          <w:tcPr>
            <w:tcW w:w="1254" w:type="dxa"/>
            <w:gridSpan w:val="2"/>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right"/>
              <w:rPr/>
            </w:pPr>
            <w:r>
              <w:rPr/>
              <w:t> </w:t>
            </w:r>
          </w:p>
        </w:tc>
        <w:tc>
          <w:tcPr>
            <w:tcW w:w="174" w:type="dxa"/>
            <w:tcBorders/>
            <w:vAlign w:val="center"/>
          </w:tcPr>
          <w:p>
            <w:pPr>
              <w:pStyle w:val="TableContents"/>
              <w:bidi w:val="0"/>
              <w:spacing w:before="0" w:after="0"/>
              <w:ind w:left="0" w:right="0" w:hanging="0"/>
              <w:jc w:val="left"/>
              <w:rPr/>
            </w:pPr>
            <w:r>
              <w:rPr/>
              <w:t> </w:t>
            </w:r>
          </w:p>
        </w:tc>
        <w:tc>
          <w:tcPr>
            <w:tcW w:w="1128"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80" w:type="dxa"/>
            <w:gridSpan w:val="2"/>
            <w:tcBorders/>
            <w:vAlign w:val="center"/>
          </w:tcPr>
          <w:p>
            <w:pPr>
              <w:pStyle w:val="TableContents"/>
              <w:bidi w:val="0"/>
              <w:spacing w:before="0" w:after="0"/>
              <w:ind w:left="0" w:right="0" w:hanging="0"/>
              <w:jc w:val="right"/>
              <w:rPr/>
            </w:pPr>
            <w:r>
              <w:rPr/>
              <w:t> </w:t>
            </w:r>
          </w:p>
        </w:tc>
        <w:tc>
          <w:tcPr>
            <w:tcW w:w="185" w:type="dxa"/>
            <w:tcBorders/>
            <w:vAlign w:val="center"/>
          </w:tcPr>
          <w:p>
            <w:pPr>
              <w:pStyle w:val="TableContents"/>
              <w:bidi w:val="0"/>
              <w:spacing w:before="0" w:after="0"/>
              <w:ind w:left="0" w:right="0" w:hanging="0"/>
              <w:jc w:val="right"/>
              <w:rPr/>
            </w:pPr>
            <w:r>
              <w:rPr/>
              <w:t> </w:t>
            </w:r>
          </w:p>
        </w:tc>
        <w:tc>
          <w:tcPr>
            <w:tcW w:w="163"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418" w:type="dxa"/>
            <w:tcBorders/>
            <w:vAlign w:val="center"/>
          </w:tcPr>
          <w:p>
            <w:pPr>
              <w:pStyle w:val="TableContents"/>
              <w:bidi w:val="0"/>
              <w:spacing w:before="0" w:after="0"/>
              <w:ind w:left="0" w:right="0" w:firstLine="200"/>
              <w:jc w:val="right"/>
              <w:rPr/>
            </w:pPr>
            <w:r>
              <w:rPr/>
              <w:t> </w:t>
            </w:r>
          </w:p>
        </w:tc>
      </w:tr>
      <w:tr>
        <w:trPr/>
        <w:tc>
          <w:tcPr>
            <w:tcW w:w="413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Foreign currency translation adjustment</w:t>
            </w:r>
          </w:p>
        </w:tc>
        <w:tc>
          <w:tcPr>
            <w:tcW w:w="251"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w:t>
            </w:r>
          </w:p>
        </w:tc>
        <w:tc>
          <w:tcPr>
            <w:tcW w:w="197"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36" w:type="dxa"/>
            <w:tcBorders/>
            <w:vAlign w:val="center"/>
          </w:tcPr>
          <w:p>
            <w:pPr>
              <w:pStyle w:val="TableContents"/>
              <w:bidi w:val="0"/>
              <w:spacing w:before="0" w:after="0"/>
              <w:ind w:left="0" w:right="0" w:hanging="0"/>
              <w:jc w:val="left"/>
              <w:rPr/>
            </w:pPr>
            <w:r>
              <w:rPr/>
              <w:t> </w:t>
            </w:r>
          </w:p>
        </w:tc>
        <w:tc>
          <w:tcPr>
            <w:tcW w:w="9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1,026</w:t>
            </w:r>
          </w:p>
        </w:tc>
        <w:tc>
          <w:tcPr>
            <w:tcW w:w="185"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(3,025</w:t>
            </w:r>
          </w:p>
        </w:tc>
        <w:tc>
          <w:tcPr>
            <w:tcW w:w="418"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132"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 xml:space="preserve">Changes in unrealized (loss) gain on investments, net of </w:t>
              <w:br/>
              <w:t>  income taxes of $0</w:t>
            </w:r>
            <w:r>
              <w:rPr>
                <w:rFonts w:ascii="Times New Roman" w:hAnsi="Times New Roman"/>
                <w:sz w:val="20"/>
              </w:rPr>
              <w:t> </w:t>
            </w:r>
            <w:r>
              <w:rPr>
                <w:rFonts w:ascii="Times New Roman;serif" w:hAnsi="Times New Roman;serif"/>
                <w:b w:val="false"/>
                <w:sz w:val="20"/>
              </w:rPr>
              <w:t xml:space="preserve">for the three and six months ended </w:t>
              <w:br/>
              <w:t>  June 30, 2023 and 2022</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(1,028</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4"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3,479</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(6,653</w:t>
            </w:r>
          </w:p>
        </w:tc>
        <w:tc>
          <w:tcPr>
            <w:tcW w:w="4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2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(119,575</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4" w:type="dxa"/>
            <w:tcBorders/>
            <w:vAlign w:val="center"/>
          </w:tcPr>
          <w:p>
            <w:pPr>
              <w:pStyle w:val="TableContents"/>
              <w:bidi w:val="0"/>
              <w:spacing w:before="0" w:after="0"/>
              <w:ind w:left="0" w:right="0" w:hanging="0"/>
              <w:jc w:val="right"/>
              <w:rPr/>
            </w:pPr>
            <w:r>
              <w:rPr/>
              <w:t> </w:t>
            </w:r>
          </w:p>
        </w:tc>
        <w:tc>
          <w:tcPr>
            <w:tcW w:w="2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(61,682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(152,723</w:t>
            </w:r>
          </w:p>
        </w:tc>
        <w:tc>
          <w:tcPr>
            <w:tcW w:w="1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vAlign w:val="center"/>
          </w:tcPr>
          <w:p>
            <w:pPr>
              <w:pStyle w:val="TableContents"/>
              <w:bidi w:val="0"/>
              <w:spacing w:before="0" w:after="0"/>
              <w:ind w:left="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(75,380</w:t>
            </w:r>
          </w:p>
        </w:tc>
        <w:tc>
          <w:tcPr>
            <w:tcW w:w="4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The accompanying notes are an integral part of the consolidated financial statements.</w:t>
      </w:r>
    </w:p>
    <w:p>
      <w:pPr>
        <w:pStyle w:val="TextBody"/>
        <w:bidi w:val="0"/>
        <w:spacing w:before="4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HubSpot, Inc.</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 Consolidated Statements of Stockholders' Equity</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per share amounts)</w:t>
      </w:r>
    </w:p>
    <w:p>
      <w:pPr>
        <w:pStyle w:val="TextBody"/>
        <w:bidi w:val="0"/>
        <w:spacing w:before="0" w:after="0"/>
        <w:jc w:val="center"/>
        <w:rPr/>
      </w:pPr>
      <w:r>
        <w:rPr/>
        <w:t> </w:t>
      </w:r>
    </w:p>
    <w:tbl>
      <w:tblPr>
        <w:tblW w:w="10531" w:type="dxa"/>
        <w:jc w:val="left"/>
        <w:tblInd w:w="0" w:type="dxa"/>
        <w:tblLayout w:type="fixed"/>
        <w:tblCellMar>
          <w:top w:w="28" w:type="dxa"/>
          <w:left w:w="28" w:type="dxa"/>
          <w:bottom w:w="28" w:type="dxa"/>
          <w:right w:w="28" w:type="dxa"/>
        </w:tblCellMar>
      </w:tblPr>
      <w:tblGrid>
        <w:gridCol w:w="1261"/>
        <w:gridCol w:w="146"/>
        <w:gridCol w:w="676"/>
        <w:gridCol w:w="166"/>
        <w:gridCol w:w="146"/>
        <w:gridCol w:w="211"/>
        <w:gridCol w:w="346"/>
        <w:gridCol w:w="146"/>
        <w:gridCol w:w="146"/>
        <w:gridCol w:w="146"/>
        <w:gridCol w:w="421"/>
        <w:gridCol w:w="146"/>
        <w:gridCol w:w="146"/>
        <w:gridCol w:w="211"/>
        <w:gridCol w:w="346"/>
        <w:gridCol w:w="146"/>
        <w:gridCol w:w="146"/>
        <w:gridCol w:w="211"/>
        <w:gridCol w:w="931"/>
        <w:gridCol w:w="166"/>
        <w:gridCol w:w="146"/>
        <w:gridCol w:w="244"/>
        <w:gridCol w:w="852"/>
        <w:gridCol w:w="166"/>
        <w:gridCol w:w="146"/>
        <w:gridCol w:w="211"/>
        <w:gridCol w:w="841"/>
        <w:gridCol w:w="166"/>
        <w:gridCol w:w="146"/>
        <w:gridCol w:w="211"/>
        <w:gridCol w:w="931"/>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vAlign w:val="center"/>
          </w:tcPr>
          <w:p>
            <w:pPr>
              <w:pStyle w:val="TableContents"/>
              <w:bidi w:val="0"/>
              <w:spacing w:before="0" w:after="0"/>
              <w:ind w:left="0" w:right="0" w:hanging="0"/>
              <w:jc w:val="right"/>
              <w:rPr/>
            </w:pPr>
            <w:r>
              <w:rPr/>
              <w:t> </w:t>
            </w:r>
          </w:p>
        </w:tc>
        <w:tc>
          <w:tcPr>
            <w:tcW w:w="169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Common</w:t>
              <w:br/>
              <w:t>Stock, $0.001</w:t>
              <w:br/>
              <w:t>Par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Treasury Stock, $0.001</w:t>
              <w:br/>
              <w:t>Par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Additional</w:t>
              <w:br/>
              <w:t>Paid-In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6"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Accumulated</w:t>
              <w:br/>
              <w:t>Other</w:t>
              <w:b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1261" w:type="dxa"/>
            <w:tcBorders/>
            <w:vAlign w:val="center"/>
          </w:tcPr>
          <w:p>
            <w:pPr>
              <w:pStyle w:val="TableContents"/>
              <w:bidi w:val="0"/>
              <w:spacing w:before="0" w:after="0"/>
              <w:ind w:left="0" w:right="0" w:hanging="0"/>
              <w:jc w:val="center"/>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Balances at December 31, 2022</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49,217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1,647,446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(12,890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(642,381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992,224</w:t>
            </w:r>
          </w:p>
        </w:tc>
        <w:tc>
          <w:tcPr>
            <w:tcW w:w="211" w:type="dxa"/>
            <w:tcBorders/>
            <w:vAlign w:val="center"/>
          </w:tcPr>
          <w:p>
            <w:pPr>
              <w:pStyle w:val="TableContents"/>
              <w:bidi w:val="0"/>
              <w:spacing w:before="0" w:after="0"/>
              <w:ind w:left="0" w:right="0" w:hanging="0"/>
              <w:jc w:val="left"/>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 xml:space="preserve">Issuance of common stock under stock </w:t>
              <w:br/>
              <w:t>  plans</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1,196</w:t>
            </w:r>
          </w:p>
        </w:tc>
        <w:tc>
          <w:tcPr>
            <w:tcW w:w="211" w:type="dxa"/>
            <w:tcBorders/>
            <w:vAlign w:val="center"/>
          </w:tcPr>
          <w:p>
            <w:pPr>
              <w:pStyle w:val="TableContents"/>
              <w:bidi w:val="0"/>
              <w:spacing w:before="0" w:after="0"/>
              <w:ind w:left="0" w:right="0" w:hanging="0"/>
              <w:jc w:val="left"/>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Restricted stock units taxes paid in cash</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(1,198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(1,198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Stock-based compensation</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87,305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87,305</w:t>
            </w:r>
          </w:p>
        </w:tc>
        <w:tc>
          <w:tcPr>
            <w:tcW w:w="211" w:type="dxa"/>
            <w:tcBorders/>
            <w:vAlign w:val="center"/>
          </w:tcPr>
          <w:p>
            <w:pPr>
              <w:pStyle w:val="TableContents"/>
              <w:bidi w:val="0"/>
              <w:spacing w:before="0" w:after="0"/>
              <w:ind w:left="0" w:right="0" w:hanging="0"/>
              <w:jc w:val="left"/>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Cumulative translation adjustment</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627</w:t>
            </w:r>
          </w:p>
        </w:tc>
        <w:tc>
          <w:tcPr>
            <w:tcW w:w="211" w:type="dxa"/>
            <w:tcBorders/>
            <w:vAlign w:val="center"/>
          </w:tcPr>
          <w:p>
            <w:pPr>
              <w:pStyle w:val="TableContents"/>
              <w:bidi w:val="0"/>
              <w:spacing w:before="0" w:after="0"/>
              <w:ind w:left="0" w:right="0" w:hanging="0"/>
              <w:jc w:val="left"/>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Unrealized gain on investments, net of</w:t>
              <w:br/>
              <w:t>  income taxes of $0</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4,507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4,507</w:t>
            </w:r>
          </w:p>
        </w:tc>
        <w:tc>
          <w:tcPr>
            <w:tcW w:w="211" w:type="dxa"/>
            <w:tcBorders/>
            <w:vAlign w:val="center"/>
          </w:tcPr>
          <w:p>
            <w:pPr>
              <w:pStyle w:val="TableContents"/>
              <w:bidi w:val="0"/>
              <w:spacing w:before="0" w:after="0"/>
              <w:ind w:left="0" w:right="0" w:hanging="0"/>
              <w:jc w:val="left"/>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Net loss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(38,282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(38,282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Balances at March 31, 2023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49,473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910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1,734,749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(7,756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(680,663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1,046,379</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 xml:space="preserve">Issuance of common stock under stock </w:t>
              <w:br/>
              <w:t>  plans</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22,782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22,783</w:t>
            </w:r>
          </w:p>
        </w:tc>
        <w:tc>
          <w:tcPr>
            <w:tcW w:w="211" w:type="dxa"/>
            <w:tcBorders/>
            <w:vAlign w:val="center"/>
          </w:tcPr>
          <w:p>
            <w:pPr>
              <w:pStyle w:val="TableContents"/>
              <w:bidi w:val="0"/>
              <w:spacing w:before="0" w:after="0"/>
              <w:ind w:left="0" w:right="0" w:hanging="0"/>
              <w:jc w:val="left"/>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Restricted stock units taxes paid in cash</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(2,904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(2,904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Stock-based compensation</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135,782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135,782</w:t>
            </w:r>
          </w:p>
        </w:tc>
        <w:tc>
          <w:tcPr>
            <w:tcW w:w="211" w:type="dxa"/>
            <w:tcBorders/>
            <w:vAlign w:val="center"/>
          </w:tcPr>
          <w:p>
            <w:pPr>
              <w:pStyle w:val="TableContents"/>
              <w:bidi w:val="0"/>
              <w:spacing w:before="0" w:after="0"/>
              <w:ind w:left="0" w:right="0" w:hanging="0"/>
              <w:jc w:val="left"/>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Cumulative translation adjustment</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399</w:t>
            </w:r>
          </w:p>
        </w:tc>
        <w:tc>
          <w:tcPr>
            <w:tcW w:w="211" w:type="dxa"/>
            <w:tcBorders/>
            <w:vAlign w:val="center"/>
          </w:tcPr>
          <w:p>
            <w:pPr>
              <w:pStyle w:val="TableContents"/>
              <w:bidi w:val="0"/>
              <w:spacing w:before="0" w:after="0"/>
              <w:ind w:left="0" w:right="0" w:hanging="0"/>
              <w:jc w:val="left"/>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Unrealized loss on investments, net of</w:t>
              <w:br/>
              <w:t>  income taxes of $0</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(1,028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Net loss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(118,946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(118,946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Balances at June 30, 2023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49,841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910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1,890,409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(8,385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(799,609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1,082,465</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pPr>
      <w:r>
        <w:rPr/>
        <w:t> </w:t>
      </w:r>
    </w:p>
    <w:tbl>
      <w:tblPr>
        <w:tblW w:w="10361" w:type="dxa"/>
        <w:jc w:val="left"/>
        <w:tblInd w:w="0" w:type="dxa"/>
        <w:tblLayout w:type="fixed"/>
        <w:tblCellMar>
          <w:top w:w="28" w:type="dxa"/>
          <w:left w:w="28" w:type="dxa"/>
          <w:bottom w:w="28" w:type="dxa"/>
          <w:right w:w="28" w:type="dxa"/>
        </w:tblCellMar>
      </w:tblPr>
      <w:tblGrid>
        <w:gridCol w:w="1261"/>
        <w:gridCol w:w="146"/>
        <w:gridCol w:w="676"/>
        <w:gridCol w:w="146"/>
        <w:gridCol w:w="146"/>
        <w:gridCol w:w="211"/>
        <w:gridCol w:w="346"/>
        <w:gridCol w:w="146"/>
        <w:gridCol w:w="146"/>
        <w:gridCol w:w="146"/>
        <w:gridCol w:w="421"/>
        <w:gridCol w:w="146"/>
        <w:gridCol w:w="146"/>
        <w:gridCol w:w="211"/>
        <w:gridCol w:w="346"/>
        <w:gridCol w:w="146"/>
        <w:gridCol w:w="146"/>
        <w:gridCol w:w="211"/>
        <w:gridCol w:w="931"/>
        <w:gridCol w:w="166"/>
        <w:gridCol w:w="146"/>
        <w:gridCol w:w="244"/>
        <w:gridCol w:w="852"/>
        <w:gridCol w:w="166"/>
        <w:gridCol w:w="146"/>
        <w:gridCol w:w="211"/>
        <w:gridCol w:w="841"/>
        <w:gridCol w:w="166"/>
        <w:gridCol w:w="146"/>
        <w:gridCol w:w="211"/>
        <w:gridCol w:w="781"/>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vAlign w:val="center"/>
          </w:tcPr>
          <w:p>
            <w:pPr>
              <w:pStyle w:val="TableContents"/>
              <w:bidi w:val="0"/>
              <w:spacing w:before="0" w:after="0"/>
              <w:ind w:left="0" w:right="0" w:hanging="0"/>
              <w:jc w:val="right"/>
              <w:rPr/>
            </w:pPr>
            <w:r>
              <w:rPr/>
              <w:t> </w:t>
            </w:r>
          </w:p>
        </w:tc>
        <w:tc>
          <w:tcPr>
            <w:tcW w:w="167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Common</w:t>
              <w:br/>
              <w:t>Stock, $0.001</w:t>
              <w:br/>
              <w:t>Par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Treasury Stock, $0.001</w:t>
              <w:br/>
              <w:t>Par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Additional</w:t>
              <w:br/>
              <w:t>Paid-In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6"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Accumulated</w:t>
              <w:br/>
              <w:t>Other</w:t>
              <w:b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1261" w:type="dxa"/>
            <w:tcBorders/>
            <w:vAlign w:val="center"/>
          </w:tcPr>
          <w:p>
            <w:pPr>
              <w:pStyle w:val="TableContents"/>
              <w:bidi w:val="0"/>
              <w:spacing w:before="0" w:after="0"/>
              <w:ind w:left="0" w:right="0" w:hanging="0"/>
              <w:jc w:val="center"/>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Balances at December 31, 2021</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47,390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1,436,089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(1,339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(560,998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873,799</w:t>
            </w:r>
          </w:p>
        </w:tc>
        <w:tc>
          <w:tcPr>
            <w:tcW w:w="211" w:type="dxa"/>
            <w:tcBorders/>
            <w:vAlign w:val="center"/>
          </w:tcPr>
          <w:p>
            <w:pPr>
              <w:pStyle w:val="TableContents"/>
              <w:bidi w:val="0"/>
              <w:spacing w:before="0" w:after="0"/>
              <w:ind w:left="0" w:right="0" w:hanging="0"/>
              <w:jc w:val="left"/>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 xml:space="preserve">Issuance of common stock under stock </w:t>
              <w:br/>
              <w:t>  plans</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2,144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2,145</w:t>
            </w:r>
          </w:p>
        </w:tc>
        <w:tc>
          <w:tcPr>
            <w:tcW w:w="211" w:type="dxa"/>
            <w:tcBorders/>
            <w:vAlign w:val="center"/>
          </w:tcPr>
          <w:p>
            <w:pPr>
              <w:pStyle w:val="TableContents"/>
              <w:bidi w:val="0"/>
              <w:spacing w:before="0" w:after="0"/>
              <w:ind w:left="0" w:right="0" w:hanging="0"/>
              <w:jc w:val="left"/>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Restricted stock units taxes paid in cash</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(4,354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(4,354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Stock-based compensation</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46,436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46,436</w:t>
            </w:r>
          </w:p>
        </w:tc>
        <w:tc>
          <w:tcPr>
            <w:tcW w:w="211" w:type="dxa"/>
            <w:tcBorders/>
            <w:vAlign w:val="center"/>
          </w:tcPr>
          <w:p>
            <w:pPr>
              <w:pStyle w:val="TableContents"/>
              <w:bidi w:val="0"/>
              <w:spacing w:before="0" w:after="0"/>
              <w:ind w:left="0" w:right="0" w:hanging="0"/>
              <w:jc w:val="left"/>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Conversion of the 2025 Notes</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(691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(691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 xml:space="preserve">Cumulative adjustment from adoption </w:t>
              <w:br/>
              <w:t>  of convertible debt standard</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(101,167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31,366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(69,801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Cumulative translation adjustment</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(356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(356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Unrealized loss on investments, net of</w:t>
              <w:br/>
              <w:t>  income taxes of $0</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(4,001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(4,001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Net loss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(9,341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(9,341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Balances at March 31, 2022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47,640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910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1,378,457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(5,696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(538,973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833,836</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 xml:space="preserve">Issuance of common stock under stock </w:t>
              <w:br/>
              <w:t>  plans</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18,548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18,548</w:t>
            </w:r>
          </w:p>
        </w:tc>
        <w:tc>
          <w:tcPr>
            <w:tcW w:w="211" w:type="dxa"/>
            <w:tcBorders/>
            <w:vAlign w:val="center"/>
          </w:tcPr>
          <w:p>
            <w:pPr>
              <w:pStyle w:val="TableContents"/>
              <w:bidi w:val="0"/>
              <w:spacing w:before="0" w:after="0"/>
              <w:ind w:left="0" w:right="0" w:hanging="0"/>
              <w:jc w:val="left"/>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Restricted stock units taxes paid in cash</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(3,409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(3,409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Stock-based compensation</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84,113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84,113</w:t>
            </w:r>
          </w:p>
        </w:tc>
        <w:tc>
          <w:tcPr>
            <w:tcW w:w="211" w:type="dxa"/>
            <w:tcBorders/>
            <w:vAlign w:val="center"/>
          </w:tcPr>
          <w:p>
            <w:pPr>
              <w:pStyle w:val="TableContents"/>
              <w:bidi w:val="0"/>
              <w:spacing w:before="0" w:after="0"/>
              <w:ind w:left="0" w:right="0" w:hanging="0"/>
              <w:jc w:val="left"/>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Conversion of the 2022 Notes</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(60,422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(60,422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Settlement of Convertible Note Hedges</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60,483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60,483</w:t>
            </w:r>
          </w:p>
        </w:tc>
        <w:tc>
          <w:tcPr>
            <w:tcW w:w="211" w:type="dxa"/>
            <w:tcBorders/>
            <w:vAlign w:val="center"/>
          </w:tcPr>
          <w:p>
            <w:pPr>
              <w:pStyle w:val="TableContents"/>
              <w:bidi w:val="0"/>
              <w:spacing w:before="0" w:after="0"/>
              <w:ind w:left="0" w:right="0" w:hanging="0"/>
              <w:jc w:val="left"/>
              <w:rPr/>
            </w:pPr>
            <w:r>
              <w:rPr/>
              <w:t> </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Cumulative translation adjustment</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(2,669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(2,669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Unrealized loss on investments, net of</w:t>
              <w:br/>
              <w:t>  income taxes of $0</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(2,652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(2,652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Net loss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(56,361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(56,361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26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Balances at June 30, 2022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47,896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910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1,477,770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(11,017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(595,334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871,467</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The accompanying notes are an integral part of the consolidated financial statements.</w:t>
      </w:r>
    </w:p>
    <w:p>
      <w:pPr>
        <w:pStyle w:val="TextBody"/>
        <w:bidi w:val="0"/>
        <w:spacing w:before="4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HubSpot, Inc.</w:t>
      </w:r>
    </w:p>
    <w:p>
      <w:pPr>
        <w:pStyle w:val="TextBody"/>
        <w:bidi w:val="0"/>
        <w:spacing w:before="0" w:after="0"/>
        <w:jc w:val="center"/>
        <w:rPr>
          <w:rFonts w:ascii="Times New Roman;serif" w:hAnsi="Times New Roman;serif"/>
          <w:b/>
          <w:sz w:val="20"/>
        </w:rPr>
      </w:pPr>
      <w:bookmarkStart w:id="7" w:name="unaudited_consolidated_statements_cash_f"/>
      <w:bookmarkEnd w:id="7"/>
      <w:r>
        <w:rPr>
          <w:rFonts w:ascii="Times New Roman;serif" w:hAnsi="Times New Roman;serif"/>
          <w:b/>
          <w:sz w:val="20"/>
        </w:rPr>
        <w:t>Unaudited Consolidated Statements of Cash Flows</w:t>
      </w:r>
    </w:p>
    <w:p>
      <w:pPr>
        <w:pStyle w:val="TextBody"/>
        <w:bidi w:val="0"/>
        <w:spacing w:before="40" w:after="0"/>
        <w:jc w:val="center"/>
        <w:rPr>
          <w:rFonts w:ascii="Times New Roman;serif" w:hAnsi="Times New Roman;serif"/>
          <w:b/>
          <w:sz w:val="20"/>
        </w:rPr>
      </w:pPr>
      <w:r>
        <w:rPr>
          <w:rFonts w:ascii="Times New Roman;serif" w:hAnsi="Times New Roman;serif"/>
          <w:b/>
          <w:sz w:val="20"/>
        </w:rPr>
        <w:t>(in thousands)</w:t>
      </w:r>
    </w:p>
    <w:tbl>
      <w:tblPr>
        <w:tblW w:w="10205" w:type="dxa"/>
        <w:jc w:val="left"/>
        <w:tblInd w:w="0" w:type="dxa"/>
        <w:tblLayout w:type="fixed"/>
        <w:tblCellMar>
          <w:top w:w="28" w:type="dxa"/>
          <w:left w:w="28" w:type="dxa"/>
          <w:bottom w:w="28" w:type="dxa"/>
          <w:right w:w="28" w:type="dxa"/>
        </w:tblCellMar>
      </w:tblPr>
      <w:tblGrid>
        <w:gridCol w:w="6402"/>
        <w:gridCol w:w="146"/>
        <w:gridCol w:w="234"/>
        <w:gridCol w:w="901"/>
        <w:gridCol w:w="198"/>
        <w:gridCol w:w="174"/>
        <w:gridCol w:w="234"/>
        <w:gridCol w:w="901"/>
        <w:gridCol w:w="1015"/>
      </w:tblGrid>
      <w:tr>
        <w:trPr/>
        <w:tc>
          <w:tcPr>
            <w:tcW w:w="6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640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 June 30,</w:t>
            </w:r>
          </w:p>
        </w:tc>
        <w:tc>
          <w:tcPr>
            <w:tcW w:w="10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40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4" w:type="dxa"/>
            <w:tcBorders/>
            <w:vAlign w:val="center"/>
          </w:tcPr>
          <w:p>
            <w:pPr>
              <w:pStyle w:val="TableContents"/>
              <w:bidi w:val="0"/>
              <w:spacing w:before="0" w:after="0"/>
              <w:ind w:left="0" w:right="0" w:hanging="0"/>
              <w:jc w:val="left"/>
              <w:rPr/>
            </w:pPr>
            <w:r>
              <w:rPr/>
              <w:t> </w:t>
            </w:r>
          </w:p>
        </w:tc>
        <w:tc>
          <w:tcPr>
            <w:tcW w:w="11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0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402"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Operating Activities:</w:t>
            </w:r>
          </w:p>
        </w:tc>
        <w:tc>
          <w:tcPr>
            <w:tcW w:w="146" w:type="dxa"/>
            <w:tcBorders/>
            <w:vAlign w:val="center"/>
          </w:tcPr>
          <w:p>
            <w:pPr>
              <w:pStyle w:val="TableContents"/>
              <w:bidi w:val="0"/>
              <w:spacing w:before="0" w:after="0"/>
              <w:ind w:left="0" w:right="0" w:hanging="0"/>
              <w:jc w:val="left"/>
              <w:rPr/>
            </w:pPr>
            <w:r>
              <w:rPr/>
              <w:t> </w:t>
            </w:r>
          </w:p>
        </w:tc>
        <w:tc>
          <w:tcPr>
            <w:tcW w:w="1135" w:type="dxa"/>
            <w:gridSpan w:val="2"/>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right"/>
              <w:rPr/>
            </w:pPr>
            <w:r>
              <w:rPr/>
              <w:t> </w:t>
            </w:r>
          </w:p>
        </w:tc>
        <w:tc>
          <w:tcPr>
            <w:tcW w:w="174" w:type="dxa"/>
            <w:tcBorders/>
            <w:vAlign w:val="center"/>
          </w:tcPr>
          <w:p>
            <w:pPr>
              <w:pStyle w:val="TableContents"/>
              <w:bidi w:val="0"/>
              <w:spacing w:before="0" w:after="0"/>
              <w:ind w:left="0" w:right="0" w:hanging="0"/>
              <w:jc w:val="left"/>
              <w:rPr/>
            </w:pPr>
            <w:r>
              <w:rPr/>
              <w:t> </w:t>
            </w:r>
          </w:p>
        </w:tc>
        <w:tc>
          <w:tcPr>
            <w:tcW w:w="1135" w:type="dxa"/>
            <w:gridSpan w:val="2"/>
            <w:tcBorders/>
            <w:vAlign w:val="center"/>
          </w:tcPr>
          <w:p>
            <w:pPr>
              <w:pStyle w:val="TableContents"/>
              <w:bidi w:val="0"/>
              <w:spacing w:before="0" w:after="0"/>
              <w:ind w:left="0" w:right="0" w:hanging="0"/>
              <w:jc w:val="right"/>
              <w:rPr/>
            </w:pPr>
            <w:r>
              <w:rPr/>
              <w:t> </w:t>
            </w:r>
          </w:p>
        </w:tc>
        <w:tc>
          <w:tcPr>
            <w:tcW w:w="1015" w:type="dxa"/>
            <w:tcBorders/>
            <w:vAlign w:val="center"/>
          </w:tcPr>
          <w:p>
            <w:pPr>
              <w:pStyle w:val="TableContents"/>
              <w:bidi w:val="0"/>
              <w:spacing w:before="0" w:after="0"/>
              <w:ind w:left="0" w:right="0" w:firstLine="200"/>
              <w:jc w:val="right"/>
              <w:rPr/>
            </w:pPr>
            <w:r>
              <w:rPr/>
              <w:t> </w:t>
            </w:r>
          </w:p>
        </w:tc>
      </w:tr>
      <w:tr>
        <w:trPr/>
        <w:tc>
          <w:tcPr>
            <w:tcW w:w="640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(157,228</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(65,702</w:t>
            </w:r>
          </w:p>
        </w:tc>
        <w:tc>
          <w:tcPr>
            <w:tcW w:w="1015"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640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Adjustments to reconcile net loss to net cash and cash equivalents provided</w:t>
              <w:br/>
              <w:t>   by operating activities, net of acquisitions</w:t>
            </w:r>
          </w:p>
        </w:tc>
        <w:tc>
          <w:tcPr>
            <w:tcW w:w="146" w:type="dxa"/>
            <w:tcBorders/>
            <w:vAlign w:val="center"/>
          </w:tcPr>
          <w:p>
            <w:pPr>
              <w:pStyle w:val="TableContents"/>
              <w:bidi w:val="0"/>
              <w:spacing w:before="0" w:after="0"/>
              <w:ind w:left="0" w:right="0" w:hanging="0"/>
              <w:jc w:val="left"/>
              <w:rPr/>
            </w:pPr>
            <w:r>
              <w:rPr/>
              <w:t> </w:t>
            </w:r>
          </w:p>
        </w:tc>
        <w:tc>
          <w:tcPr>
            <w:tcW w:w="1135" w:type="dxa"/>
            <w:gridSpan w:val="2"/>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right"/>
              <w:rPr/>
            </w:pPr>
            <w:r>
              <w:rPr/>
              <w:t> </w:t>
            </w:r>
          </w:p>
        </w:tc>
        <w:tc>
          <w:tcPr>
            <w:tcW w:w="174" w:type="dxa"/>
            <w:tcBorders/>
            <w:vAlign w:val="center"/>
          </w:tcPr>
          <w:p>
            <w:pPr>
              <w:pStyle w:val="TableContents"/>
              <w:bidi w:val="0"/>
              <w:spacing w:before="0" w:after="0"/>
              <w:ind w:left="0" w:right="0" w:hanging="0"/>
              <w:jc w:val="left"/>
              <w:rPr/>
            </w:pPr>
            <w:r>
              <w:rPr/>
              <w:t> </w:t>
            </w:r>
          </w:p>
        </w:tc>
        <w:tc>
          <w:tcPr>
            <w:tcW w:w="1135" w:type="dxa"/>
            <w:gridSpan w:val="2"/>
            <w:tcBorders/>
            <w:vAlign w:val="center"/>
          </w:tcPr>
          <w:p>
            <w:pPr>
              <w:pStyle w:val="TableContents"/>
              <w:bidi w:val="0"/>
              <w:spacing w:before="0" w:after="0"/>
              <w:ind w:left="0" w:right="0" w:hanging="0"/>
              <w:jc w:val="right"/>
              <w:rPr/>
            </w:pPr>
            <w:r>
              <w:rPr/>
              <w:t> </w:t>
            </w:r>
          </w:p>
        </w:tc>
        <w:tc>
          <w:tcPr>
            <w:tcW w:w="1015" w:type="dxa"/>
            <w:tcBorders/>
            <w:vAlign w:val="center"/>
          </w:tcPr>
          <w:p>
            <w:pPr>
              <w:pStyle w:val="TableContents"/>
              <w:bidi w:val="0"/>
              <w:spacing w:before="0" w:after="0"/>
              <w:ind w:left="0" w:right="0" w:firstLine="400"/>
              <w:jc w:val="right"/>
              <w:rPr/>
            </w:pPr>
            <w:r>
              <w:rPr/>
              <w:t> </w:t>
            </w:r>
          </w:p>
        </w:tc>
      </w:tr>
      <w:tr>
        <w:trPr/>
        <w:tc>
          <w:tcPr>
            <w:tcW w:w="6402"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32,999</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27,063</w:t>
            </w:r>
          </w:p>
        </w:tc>
        <w:tc>
          <w:tcPr>
            <w:tcW w:w="1015" w:type="dxa"/>
            <w:tcBorders/>
            <w:vAlign w:val="center"/>
          </w:tcPr>
          <w:p>
            <w:pPr>
              <w:pStyle w:val="TableContents"/>
              <w:bidi w:val="0"/>
              <w:spacing w:before="0" w:after="0"/>
              <w:ind w:left="0" w:right="0" w:firstLine="400"/>
              <w:jc w:val="left"/>
              <w:rPr/>
            </w:pPr>
            <w:r>
              <w:rPr/>
              <w:t> </w:t>
            </w:r>
          </w:p>
        </w:tc>
      </w:tr>
      <w:tr>
        <w:trPr/>
        <w:tc>
          <w:tcPr>
            <w:tcW w:w="6402"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Stock-based compensation</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211,038</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126,868</w:t>
            </w:r>
          </w:p>
        </w:tc>
        <w:tc>
          <w:tcPr>
            <w:tcW w:w="1015" w:type="dxa"/>
            <w:tcBorders/>
            <w:vAlign w:val="center"/>
          </w:tcPr>
          <w:p>
            <w:pPr>
              <w:pStyle w:val="TableContents"/>
              <w:bidi w:val="0"/>
              <w:spacing w:before="0" w:after="0"/>
              <w:ind w:left="0" w:right="0" w:firstLine="400"/>
              <w:jc w:val="left"/>
              <w:rPr/>
            </w:pPr>
            <w:r>
              <w:rPr/>
              <w:t> </w:t>
            </w:r>
          </w:p>
        </w:tc>
      </w:tr>
      <w:tr>
        <w:trPr/>
        <w:tc>
          <w:tcPr>
            <w:tcW w:w="6402"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Restructuring charges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64,938</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firstLine="400"/>
              <w:jc w:val="left"/>
              <w:rPr/>
            </w:pPr>
            <w:r>
              <w:rPr/>
              <w:t> </w:t>
            </w:r>
          </w:p>
        </w:tc>
      </w:tr>
      <w:tr>
        <w:trPr/>
        <w:tc>
          <w:tcPr>
            <w:tcW w:w="6402"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Gain on strategic investments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(4,200</w:t>
            </w:r>
          </w:p>
        </w:tc>
        <w:tc>
          <w:tcPr>
            <w:tcW w:w="1015"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6402"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Provision for (benefit from) deferred income taxes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4,802</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(398</w:t>
            </w:r>
          </w:p>
        </w:tc>
        <w:tc>
          <w:tcPr>
            <w:tcW w:w="1015"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6402"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Amortization of debt discount and issuance costs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980</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1,017</w:t>
            </w:r>
          </w:p>
        </w:tc>
        <w:tc>
          <w:tcPr>
            <w:tcW w:w="1015" w:type="dxa"/>
            <w:tcBorders/>
            <w:vAlign w:val="center"/>
          </w:tcPr>
          <w:p>
            <w:pPr>
              <w:pStyle w:val="TableContents"/>
              <w:bidi w:val="0"/>
              <w:spacing w:before="0" w:after="0"/>
              <w:ind w:left="0" w:right="0" w:firstLine="400"/>
              <w:jc w:val="left"/>
              <w:rPr/>
            </w:pPr>
            <w:r>
              <w:rPr/>
              <w:t> </w:t>
            </w:r>
          </w:p>
        </w:tc>
      </w:tr>
      <w:tr>
        <w:trPr/>
        <w:tc>
          <w:tcPr>
            <w:tcW w:w="6402"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Accretion of bond discount</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(18,777</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(150</w:t>
            </w:r>
          </w:p>
        </w:tc>
        <w:tc>
          <w:tcPr>
            <w:tcW w:w="1015"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6402"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Unrealized currency translation</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(122</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1,980</w:t>
            </w:r>
          </w:p>
        </w:tc>
        <w:tc>
          <w:tcPr>
            <w:tcW w:w="1015" w:type="dxa"/>
            <w:tcBorders/>
            <w:vAlign w:val="center"/>
          </w:tcPr>
          <w:p>
            <w:pPr>
              <w:pStyle w:val="TableContents"/>
              <w:bidi w:val="0"/>
              <w:spacing w:before="0" w:after="0"/>
              <w:ind w:left="0" w:right="0" w:firstLine="400"/>
              <w:jc w:val="left"/>
              <w:rPr/>
            </w:pPr>
            <w:r>
              <w:rPr/>
              <w:t> </w:t>
            </w:r>
          </w:p>
        </w:tc>
      </w:tr>
      <w:tr>
        <w:trPr/>
        <w:tc>
          <w:tcPr>
            <w:tcW w:w="6402"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Changes in assets and liabilities</w:t>
            </w:r>
          </w:p>
        </w:tc>
        <w:tc>
          <w:tcPr>
            <w:tcW w:w="146" w:type="dxa"/>
            <w:tcBorders/>
            <w:vAlign w:val="center"/>
          </w:tcPr>
          <w:p>
            <w:pPr>
              <w:pStyle w:val="TableContents"/>
              <w:bidi w:val="0"/>
              <w:spacing w:before="0" w:after="0"/>
              <w:ind w:left="0" w:right="0" w:hanging="0"/>
              <w:jc w:val="left"/>
              <w:rPr/>
            </w:pPr>
            <w:r>
              <w:rPr/>
              <w:t> </w:t>
            </w:r>
          </w:p>
        </w:tc>
        <w:tc>
          <w:tcPr>
            <w:tcW w:w="1135" w:type="dxa"/>
            <w:gridSpan w:val="2"/>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right"/>
              <w:rPr/>
            </w:pPr>
            <w:r>
              <w:rPr/>
              <w:t> </w:t>
            </w:r>
          </w:p>
        </w:tc>
        <w:tc>
          <w:tcPr>
            <w:tcW w:w="174" w:type="dxa"/>
            <w:tcBorders/>
            <w:vAlign w:val="center"/>
          </w:tcPr>
          <w:p>
            <w:pPr>
              <w:pStyle w:val="TableContents"/>
              <w:bidi w:val="0"/>
              <w:spacing w:before="0" w:after="0"/>
              <w:ind w:left="0" w:right="0" w:hanging="0"/>
              <w:jc w:val="left"/>
              <w:rPr/>
            </w:pPr>
            <w:r>
              <w:rPr/>
              <w:t> </w:t>
            </w:r>
          </w:p>
        </w:tc>
        <w:tc>
          <w:tcPr>
            <w:tcW w:w="1135" w:type="dxa"/>
            <w:gridSpan w:val="2"/>
            <w:tcBorders/>
            <w:vAlign w:val="center"/>
          </w:tcPr>
          <w:p>
            <w:pPr>
              <w:pStyle w:val="TableContents"/>
              <w:bidi w:val="0"/>
              <w:spacing w:before="0" w:after="0"/>
              <w:ind w:left="0" w:right="0" w:hanging="0"/>
              <w:jc w:val="right"/>
              <w:rPr/>
            </w:pPr>
            <w:r>
              <w:rPr/>
              <w:t> </w:t>
            </w:r>
          </w:p>
        </w:tc>
        <w:tc>
          <w:tcPr>
            <w:tcW w:w="1015" w:type="dxa"/>
            <w:tcBorders/>
            <w:vAlign w:val="center"/>
          </w:tcPr>
          <w:p>
            <w:pPr>
              <w:pStyle w:val="TableContents"/>
              <w:bidi w:val="0"/>
              <w:spacing w:before="0" w:after="0"/>
              <w:ind w:left="0" w:right="0" w:firstLine="600"/>
              <w:jc w:val="right"/>
              <w:rPr/>
            </w:pPr>
            <w:r>
              <w:rPr/>
              <w:t> </w:t>
            </w:r>
          </w:p>
        </w:tc>
      </w:tr>
      <w:tr>
        <w:trPr/>
        <w:tc>
          <w:tcPr>
            <w:tcW w:w="6402"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Accounts receivable</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21,626</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(14,349</w:t>
            </w:r>
          </w:p>
        </w:tc>
        <w:tc>
          <w:tcPr>
            <w:tcW w:w="1015" w:type="dxa"/>
            <w:tcBorders/>
            <w:vAlign w:val="center"/>
          </w:tcPr>
          <w:p>
            <w:pPr>
              <w:pStyle w:val="TableContents"/>
              <w:bidi w:val="0"/>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6402"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Prepaid expenses and other assets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(47,445</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(21,911</w:t>
            </w:r>
          </w:p>
        </w:tc>
        <w:tc>
          <w:tcPr>
            <w:tcW w:w="1015" w:type="dxa"/>
            <w:tcBorders/>
            <w:vAlign w:val="center"/>
          </w:tcPr>
          <w:p>
            <w:pPr>
              <w:pStyle w:val="TableContents"/>
              <w:bidi w:val="0"/>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6402"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Deferred commission expense</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(37,034</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(13,744</w:t>
            </w:r>
          </w:p>
        </w:tc>
        <w:tc>
          <w:tcPr>
            <w:tcW w:w="1015" w:type="dxa"/>
            <w:tcBorders/>
            <w:vAlign w:val="center"/>
          </w:tcPr>
          <w:p>
            <w:pPr>
              <w:pStyle w:val="TableContents"/>
              <w:bidi w:val="0"/>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6402"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Right-of-use assets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20,972</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13,447</w:t>
            </w:r>
          </w:p>
        </w:tc>
        <w:tc>
          <w:tcPr>
            <w:tcW w:w="1015" w:type="dxa"/>
            <w:tcBorders/>
            <w:vAlign w:val="center"/>
          </w:tcPr>
          <w:p>
            <w:pPr>
              <w:pStyle w:val="TableContents"/>
              <w:bidi w:val="0"/>
              <w:spacing w:before="0" w:after="0"/>
              <w:ind w:left="0" w:right="0" w:firstLine="600"/>
              <w:jc w:val="left"/>
              <w:rPr/>
            </w:pPr>
            <w:r>
              <w:rPr/>
              <w:t> </w:t>
            </w:r>
          </w:p>
        </w:tc>
      </w:tr>
      <w:tr>
        <w:trPr/>
        <w:tc>
          <w:tcPr>
            <w:tcW w:w="6402"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Accounts payable</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(17,814</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8,960</w:t>
            </w:r>
          </w:p>
        </w:tc>
        <w:tc>
          <w:tcPr>
            <w:tcW w:w="1015" w:type="dxa"/>
            <w:tcBorders/>
            <w:vAlign w:val="center"/>
          </w:tcPr>
          <w:p>
            <w:pPr>
              <w:pStyle w:val="TableContents"/>
              <w:bidi w:val="0"/>
              <w:spacing w:before="0" w:after="0"/>
              <w:ind w:left="0" w:right="0" w:firstLine="600"/>
              <w:jc w:val="left"/>
              <w:rPr/>
            </w:pPr>
            <w:r>
              <w:rPr/>
              <w:t> </w:t>
            </w:r>
          </w:p>
        </w:tc>
      </w:tr>
      <w:tr>
        <w:trPr/>
        <w:tc>
          <w:tcPr>
            <w:tcW w:w="6402"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Accrued expenses and other liabilities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55,232</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23,089</w:t>
            </w:r>
          </w:p>
        </w:tc>
        <w:tc>
          <w:tcPr>
            <w:tcW w:w="1015" w:type="dxa"/>
            <w:tcBorders/>
            <w:vAlign w:val="center"/>
          </w:tcPr>
          <w:p>
            <w:pPr>
              <w:pStyle w:val="TableContents"/>
              <w:bidi w:val="0"/>
              <w:spacing w:before="0" w:after="0"/>
              <w:ind w:left="0" w:right="0" w:firstLine="600"/>
              <w:jc w:val="left"/>
              <w:rPr/>
            </w:pPr>
            <w:r>
              <w:rPr/>
              <w:t> </w:t>
            </w:r>
          </w:p>
        </w:tc>
      </w:tr>
      <w:tr>
        <w:trPr/>
        <w:tc>
          <w:tcPr>
            <w:tcW w:w="6402"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(17,985</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(11,330</w:t>
            </w:r>
          </w:p>
        </w:tc>
        <w:tc>
          <w:tcPr>
            <w:tcW w:w="1015" w:type="dxa"/>
            <w:tcBorders/>
            <w:vAlign w:val="center"/>
          </w:tcPr>
          <w:p>
            <w:pPr>
              <w:pStyle w:val="TableContents"/>
              <w:bidi w:val="0"/>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6402"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Deferred revenue</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41,431</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52,506</w:t>
            </w:r>
          </w:p>
        </w:tc>
        <w:tc>
          <w:tcPr>
            <w:tcW w:w="1015"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pPr>
            <w:r>
              <w:rPr/>
              <w:t> </w:t>
            </w:r>
          </w:p>
        </w:tc>
      </w:tr>
      <w:tr>
        <w:trPr/>
        <w:tc>
          <w:tcPr>
            <w:tcW w:w="6402" w:type="dxa"/>
            <w:tcBorders/>
            <w:vAlign w:val="center"/>
          </w:tcPr>
          <w:p>
            <w:pPr>
              <w:pStyle w:val="TableContents"/>
              <w:bidi w:val="0"/>
              <w:spacing w:before="0" w:after="0"/>
              <w:ind w:left="800" w:right="0" w:hanging="0"/>
              <w:jc w:val="left"/>
              <w:rPr>
                <w:rFonts w:ascii="Times New Roman;serif" w:hAnsi="Times New Roman;serif"/>
                <w:b w:val="false"/>
                <w:sz w:val="16"/>
              </w:rPr>
            </w:pPr>
            <w:r>
              <w:rPr>
                <w:rFonts w:ascii="Times New Roman;serif" w:hAnsi="Times New Roman;serif"/>
                <w:b w:val="false"/>
                <w:sz w:val="16"/>
              </w:rPr>
              <w:t>Net cash and cash equivalents provided by operating activities</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157,613</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123,146</w:t>
            </w:r>
          </w:p>
        </w:tc>
        <w:tc>
          <w:tcPr>
            <w:tcW w:w="10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402"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Investing Activities:</w:t>
            </w:r>
          </w:p>
        </w:tc>
        <w:tc>
          <w:tcPr>
            <w:tcW w:w="146" w:type="dxa"/>
            <w:tcBorders/>
            <w:vAlign w:val="center"/>
          </w:tcPr>
          <w:p>
            <w:pPr>
              <w:pStyle w:val="TableContents"/>
              <w:bidi w:val="0"/>
              <w:spacing w:before="0" w:after="0"/>
              <w:ind w:left="0" w:right="0" w:hanging="0"/>
              <w:jc w:val="left"/>
              <w:rPr/>
            </w:pPr>
            <w:r>
              <w:rPr/>
              <w:t> </w:t>
            </w:r>
          </w:p>
        </w:tc>
        <w:tc>
          <w:tcPr>
            <w:tcW w:w="1135" w:type="dxa"/>
            <w:gridSpan w:val="2"/>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right"/>
              <w:rPr/>
            </w:pPr>
            <w:r>
              <w:rPr/>
              <w:t> </w:t>
            </w:r>
          </w:p>
        </w:tc>
        <w:tc>
          <w:tcPr>
            <w:tcW w:w="174" w:type="dxa"/>
            <w:tcBorders/>
            <w:vAlign w:val="center"/>
          </w:tcPr>
          <w:p>
            <w:pPr>
              <w:pStyle w:val="TableContents"/>
              <w:bidi w:val="0"/>
              <w:spacing w:before="0" w:after="0"/>
              <w:ind w:left="0" w:right="0" w:hanging="0"/>
              <w:jc w:val="left"/>
              <w:rPr/>
            </w:pPr>
            <w:r>
              <w:rPr/>
              <w:t> </w:t>
            </w:r>
          </w:p>
        </w:tc>
        <w:tc>
          <w:tcPr>
            <w:tcW w:w="1135" w:type="dxa"/>
            <w:gridSpan w:val="2"/>
            <w:tcBorders/>
            <w:vAlign w:val="center"/>
          </w:tcPr>
          <w:p>
            <w:pPr>
              <w:pStyle w:val="TableContents"/>
              <w:bidi w:val="0"/>
              <w:spacing w:before="0" w:after="0"/>
              <w:ind w:left="0" w:right="0" w:hanging="0"/>
              <w:jc w:val="right"/>
              <w:rPr/>
            </w:pPr>
            <w:r>
              <w:rPr/>
              <w:t> </w:t>
            </w:r>
          </w:p>
        </w:tc>
        <w:tc>
          <w:tcPr>
            <w:tcW w:w="1015" w:type="dxa"/>
            <w:tcBorders/>
            <w:vAlign w:val="center"/>
          </w:tcPr>
          <w:p>
            <w:pPr>
              <w:pStyle w:val="TableContents"/>
              <w:bidi w:val="0"/>
              <w:spacing w:before="0" w:after="0"/>
              <w:ind w:left="0" w:right="0" w:firstLine="200"/>
              <w:jc w:val="right"/>
              <w:rPr/>
            </w:pPr>
            <w:r>
              <w:rPr/>
              <w:t> </w:t>
            </w:r>
          </w:p>
        </w:tc>
      </w:tr>
      <w:tr>
        <w:trPr/>
        <w:tc>
          <w:tcPr>
            <w:tcW w:w="640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Purchases of investments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(731,363</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(864,063</w:t>
            </w:r>
          </w:p>
        </w:tc>
        <w:tc>
          <w:tcPr>
            <w:tcW w:w="1015"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640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Maturities of investments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729,834</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625,378</w:t>
            </w:r>
          </w:p>
        </w:tc>
        <w:tc>
          <w:tcPr>
            <w:tcW w:w="1015" w:type="dxa"/>
            <w:tcBorders/>
            <w:vAlign w:val="center"/>
          </w:tcPr>
          <w:p>
            <w:pPr>
              <w:pStyle w:val="TableContents"/>
              <w:bidi w:val="0"/>
              <w:spacing w:before="0" w:after="0"/>
              <w:ind w:left="0" w:right="0" w:firstLine="200"/>
              <w:jc w:val="left"/>
              <w:rPr/>
            </w:pPr>
            <w:r>
              <w:rPr/>
              <w:t> </w:t>
            </w:r>
          </w:p>
        </w:tc>
      </w:tr>
      <w:tr>
        <w:trPr/>
        <w:tc>
          <w:tcPr>
            <w:tcW w:w="640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Sale of investments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124,998</w:t>
            </w:r>
          </w:p>
        </w:tc>
        <w:tc>
          <w:tcPr>
            <w:tcW w:w="1015" w:type="dxa"/>
            <w:tcBorders/>
            <w:vAlign w:val="center"/>
          </w:tcPr>
          <w:p>
            <w:pPr>
              <w:pStyle w:val="TableContents"/>
              <w:bidi w:val="0"/>
              <w:spacing w:before="0" w:after="0"/>
              <w:ind w:left="0" w:right="0" w:firstLine="200"/>
              <w:jc w:val="left"/>
              <w:rPr/>
            </w:pPr>
            <w:r>
              <w:rPr/>
              <w:t> </w:t>
            </w:r>
          </w:p>
        </w:tc>
      </w:tr>
      <w:tr>
        <w:trPr/>
        <w:tc>
          <w:tcPr>
            <w:tcW w:w="640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Equity method investment</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(250</w:t>
            </w:r>
          </w:p>
        </w:tc>
        <w:tc>
          <w:tcPr>
            <w:tcW w:w="1015"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640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Purchases of intangible assets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(10,000</w:t>
            </w:r>
          </w:p>
        </w:tc>
        <w:tc>
          <w:tcPr>
            <w:tcW w:w="1015"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640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Purchases of property and equipment</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(14,189</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(18,272</w:t>
            </w:r>
          </w:p>
        </w:tc>
        <w:tc>
          <w:tcPr>
            <w:tcW w:w="1015"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640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Purchases of strategic investments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(6,000</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(13,873</w:t>
            </w:r>
          </w:p>
        </w:tc>
        <w:tc>
          <w:tcPr>
            <w:tcW w:w="1015"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640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Capitalization of software development costs</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(31,595</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4"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(19,931</w:t>
            </w:r>
          </w:p>
        </w:tc>
        <w:tc>
          <w:tcPr>
            <w:tcW w:w="1015"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rFonts w:ascii="Times New Roman;serif" w:hAnsi="Times New Roman;serif"/>
                <w:b w:val="false"/>
                <w:sz w:val="16"/>
              </w:rPr>
            </w:pPr>
            <w:r>
              <w:rPr>
                <w:rFonts w:ascii="Times New Roman;serif" w:hAnsi="Times New Roman;serif"/>
                <w:b w:val="false"/>
                <w:sz w:val="16"/>
              </w:rPr>
              <w:t>)</w:t>
            </w:r>
          </w:p>
        </w:tc>
      </w:tr>
      <w:tr>
        <w:trPr/>
        <w:tc>
          <w:tcPr>
            <w:tcW w:w="6402" w:type="dxa"/>
            <w:tcBorders/>
            <w:vAlign w:val="center"/>
          </w:tcPr>
          <w:p>
            <w:pPr>
              <w:pStyle w:val="TableContents"/>
              <w:bidi w:val="0"/>
              <w:spacing w:before="0" w:after="0"/>
              <w:ind w:left="800" w:right="0" w:hanging="0"/>
              <w:jc w:val="left"/>
              <w:rPr>
                <w:rFonts w:ascii="Times New Roman;serif" w:hAnsi="Times New Roman;serif"/>
                <w:b w:val="false"/>
                <w:sz w:val="16"/>
              </w:rPr>
            </w:pPr>
            <w:r>
              <w:rPr>
                <w:rFonts w:ascii="Times New Roman;serif" w:hAnsi="Times New Roman;serif"/>
                <w:b w:val="false"/>
                <w:sz w:val="16"/>
              </w:rPr>
              <w:t>Net cash and cash equivalents used in investing activities</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(53,313</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4"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(176,013</w:t>
            </w:r>
          </w:p>
        </w:tc>
        <w:tc>
          <w:tcPr>
            <w:tcW w:w="10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402"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Financing Activities:</w:t>
            </w:r>
          </w:p>
        </w:tc>
        <w:tc>
          <w:tcPr>
            <w:tcW w:w="146" w:type="dxa"/>
            <w:tcBorders/>
            <w:vAlign w:val="center"/>
          </w:tcPr>
          <w:p>
            <w:pPr>
              <w:pStyle w:val="TableContents"/>
              <w:bidi w:val="0"/>
              <w:spacing w:before="0" w:after="0"/>
              <w:ind w:left="0" w:right="0" w:hanging="0"/>
              <w:jc w:val="left"/>
              <w:rPr/>
            </w:pPr>
            <w:r>
              <w:rPr/>
              <w:t> </w:t>
            </w:r>
          </w:p>
        </w:tc>
        <w:tc>
          <w:tcPr>
            <w:tcW w:w="1135" w:type="dxa"/>
            <w:gridSpan w:val="2"/>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right"/>
              <w:rPr/>
            </w:pPr>
            <w:r>
              <w:rPr/>
              <w:t> </w:t>
            </w:r>
          </w:p>
        </w:tc>
        <w:tc>
          <w:tcPr>
            <w:tcW w:w="174" w:type="dxa"/>
            <w:tcBorders/>
            <w:vAlign w:val="center"/>
          </w:tcPr>
          <w:p>
            <w:pPr>
              <w:pStyle w:val="TableContents"/>
              <w:bidi w:val="0"/>
              <w:spacing w:before="0" w:after="0"/>
              <w:ind w:left="0" w:right="0" w:hanging="0"/>
              <w:jc w:val="left"/>
              <w:rPr/>
            </w:pPr>
            <w:r>
              <w:rPr/>
              <w:t> </w:t>
            </w:r>
          </w:p>
        </w:tc>
        <w:tc>
          <w:tcPr>
            <w:tcW w:w="1135" w:type="dxa"/>
            <w:gridSpan w:val="2"/>
            <w:tcBorders/>
            <w:vAlign w:val="center"/>
          </w:tcPr>
          <w:p>
            <w:pPr>
              <w:pStyle w:val="TableContents"/>
              <w:bidi w:val="0"/>
              <w:spacing w:before="0" w:after="0"/>
              <w:ind w:left="0" w:right="0" w:hanging="0"/>
              <w:jc w:val="right"/>
              <w:rPr/>
            </w:pPr>
            <w:r>
              <w:rPr/>
              <w:t> </w:t>
            </w:r>
          </w:p>
        </w:tc>
        <w:tc>
          <w:tcPr>
            <w:tcW w:w="1015" w:type="dxa"/>
            <w:tcBorders/>
            <w:vAlign w:val="center"/>
          </w:tcPr>
          <w:p>
            <w:pPr>
              <w:pStyle w:val="TableContents"/>
              <w:bidi w:val="0"/>
              <w:spacing w:before="0" w:after="0"/>
              <w:ind w:left="0" w:right="0" w:firstLine="200"/>
              <w:jc w:val="right"/>
              <w:rPr/>
            </w:pPr>
            <w:r>
              <w:rPr/>
              <w:t> </w:t>
            </w:r>
          </w:p>
        </w:tc>
      </w:tr>
      <w:tr>
        <w:trPr/>
        <w:tc>
          <w:tcPr>
            <w:tcW w:w="640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Employee taxes paid related to the net share settlement of stock-based awards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(4,102</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(7,764</w:t>
            </w:r>
          </w:p>
        </w:tc>
        <w:tc>
          <w:tcPr>
            <w:tcW w:w="1015"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640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Proceeds related to the issuance of common stock under stock plans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24,550</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19,699</w:t>
            </w:r>
          </w:p>
        </w:tc>
        <w:tc>
          <w:tcPr>
            <w:tcW w:w="1015" w:type="dxa"/>
            <w:tcBorders/>
            <w:vAlign w:val="center"/>
          </w:tcPr>
          <w:p>
            <w:pPr>
              <w:pStyle w:val="TableContents"/>
              <w:bidi w:val="0"/>
              <w:spacing w:before="0" w:after="0"/>
              <w:ind w:left="0" w:right="0" w:firstLine="200"/>
              <w:jc w:val="left"/>
              <w:rPr/>
            </w:pPr>
            <w:r>
              <w:rPr/>
              <w:t> </w:t>
            </w:r>
          </w:p>
        </w:tc>
      </w:tr>
      <w:tr>
        <w:trPr/>
        <w:tc>
          <w:tcPr>
            <w:tcW w:w="640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Proceeds from settlement of Convertible Note Hedges related to the 2022 Convertible Notes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60,483</w:t>
            </w:r>
          </w:p>
        </w:tc>
        <w:tc>
          <w:tcPr>
            <w:tcW w:w="1015" w:type="dxa"/>
            <w:tcBorders/>
            <w:vAlign w:val="center"/>
          </w:tcPr>
          <w:p>
            <w:pPr>
              <w:pStyle w:val="TableContents"/>
              <w:bidi w:val="0"/>
              <w:spacing w:before="0" w:after="0"/>
              <w:ind w:left="0" w:right="0" w:firstLine="200"/>
              <w:jc w:val="left"/>
              <w:rPr/>
            </w:pPr>
            <w:r>
              <w:rPr/>
              <w:t> </w:t>
            </w:r>
          </w:p>
        </w:tc>
      </w:tr>
      <w:tr>
        <w:trPr/>
        <w:tc>
          <w:tcPr>
            <w:tcW w:w="640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Payment for settlement of 2022 Convertible Notes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(79,807</w:t>
            </w:r>
          </w:p>
        </w:tc>
        <w:tc>
          <w:tcPr>
            <w:tcW w:w="1015"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640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Repayment of 2025 Convertible Notes attributable to the principal</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(1,619</w:t>
            </w:r>
          </w:p>
        </w:tc>
        <w:tc>
          <w:tcPr>
            <w:tcW w:w="1015"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rFonts w:ascii="Times New Roman;serif" w:hAnsi="Times New Roman;serif"/>
                <w:b w:val="false"/>
                <w:sz w:val="16"/>
              </w:rPr>
            </w:pPr>
            <w:r>
              <w:rPr>
                <w:rFonts w:ascii="Times New Roman;serif" w:hAnsi="Times New Roman;serif"/>
                <w:b w:val="false"/>
                <w:sz w:val="16"/>
              </w:rPr>
              <w:t>)</w:t>
            </w:r>
          </w:p>
        </w:tc>
      </w:tr>
      <w:tr>
        <w:trPr/>
        <w:tc>
          <w:tcPr>
            <w:tcW w:w="6402" w:type="dxa"/>
            <w:tcBorders/>
            <w:vAlign w:val="center"/>
          </w:tcPr>
          <w:p>
            <w:pPr>
              <w:pStyle w:val="TableContents"/>
              <w:bidi w:val="0"/>
              <w:spacing w:before="0" w:after="0"/>
              <w:ind w:left="800" w:right="0" w:hanging="0"/>
              <w:jc w:val="left"/>
              <w:rPr>
                <w:rFonts w:ascii="Times New Roman;serif" w:hAnsi="Times New Roman;serif"/>
                <w:b w:val="false"/>
                <w:sz w:val="16"/>
              </w:rPr>
            </w:pPr>
            <w:r>
              <w:rPr>
                <w:rFonts w:ascii="Times New Roman;serif" w:hAnsi="Times New Roman;serif"/>
                <w:b w:val="false"/>
                <w:sz w:val="16"/>
              </w:rPr>
              <w:t>Net cash and cash equivalents provided by (used in) financing activities</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20,448</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(9,008</w:t>
            </w:r>
          </w:p>
        </w:tc>
        <w:tc>
          <w:tcPr>
            <w:tcW w:w="10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40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Effect of exchange rate changes on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1,448</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(9,474</w:t>
            </w:r>
          </w:p>
        </w:tc>
        <w:tc>
          <w:tcPr>
            <w:tcW w:w="10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40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increase (decrease)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126,196</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(71,349</w:t>
            </w:r>
          </w:p>
        </w:tc>
        <w:tc>
          <w:tcPr>
            <w:tcW w:w="101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40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Cash, cash equivalents and restricted cash, beginning of period</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334,175</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380,042</w:t>
            </w:r>
          </w:p>
        </w:tc>
        <w:tc>
          <w:tcPr>
            <w:tcW w:w="10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40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Cash, cash equivalents and restricted cash, end of period</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460,371</w:t>
            </w:r>
          </w:p>
        </w:tc>
        <w:tc>
          <w:tcPr>
            <w:tcW w:w="1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308,693</w:t>
            </w:r>
          </w:p>
        </w:tc>
        <w:tc>
          <w:tcPr>
            <w:tcW w:w="10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402"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Supplemental cash flow disclosure:</w:t>
            </w:r>
          </w:p>
        </w:tc>
        <w:tc>
          <w:tcPr>
            <w:tcW w:w="146" w:type="dxa"/>
            <w:tcBorders/>
            <w:vAlign w:val="center"/>
          </w:tcPr>
          <w:p>
            <w:pPr>
              <w:pStyle w:val="TableContents"/>
              <w:bidi w:val="0"/>
              <w:spacing w:before="0" w:after="0"/>
              <w:ind w:left="0" w:right="0" w:hanging="0"/>
              <w:jc w:val="left"/>
              <w:rPr/>
            </w:pPr>
            <w:r>
              <w:rPr/>
              <w:t> </w:t>
            </w:r>
          </w:p>
        </w:tc>
        <w:tc>
          <w:tcPr>
            <w:tcW w:w="1135" w:type="dxa"/>
            <w:gridSpan w:val="2"/>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right"/>
              <w:rPr/>
            </w:pPr>
            <w:r>
              <w:rPr/>
              <w:t> </w:t>
            </w:r>
          </w:p>
        </w:tc>
        <w:tc>
          <w:tcPr>
            <w:tcW w:w="174" w:type="dxa"/>
            <w:tcBorders/>
            <w:vAlign w:val="center"/>
          </w:tcPr>
          <w:p>
            <w:pPr>
              <w:pStyle w:val="TableContents"/>
              <w:bidi w:val="0"/>
              <w:spacing w:before="0" w:after="0"/>
              <w:ind w:left="0" w:right="0" w:hanging="0"/>
              <w:jc w:val="left"/>
              <w:rPr/>
            </w:pPr>
            <w:r>
              <w:rPr/>
              <w:t> </w:t>
            </w:r>
          </w:p>
        </w:tc>
        <w:tc>
          <w:tcPr>
            <w:tcW w:w="1135" w:type="dxa"/>
            <w:gridSpan w:val="2"/>
            <w:tcBorders/>
            <w:vAlign w:val="center"/>
          </w:tcPr>
          <w:p>
            <w:pPr>
              <w:pStyle w:val="TableContents"/>
              <w:bidi w:val="0"/>
              <w:spacing w:before="0" w:after="0"/>
              <w:ind w:left="0" w:right="0" w:hanging="0"/>
              <w:jc w:val="right"/>
              <w:rPr/>
            </w:pPr>
            <w:r>
              <w:rPr/>
              <w:t> </w:t>
            </w:r>
          </w:p>
        </w:tc>
        <w:tc>
          <w:tcPr>
            <w:tcW w:w="1015" w:type="dxa"/>
            <w:tcBorders/>
            <w:vAlign w:val="center"/>
          </w:tcPr>
          <w:p>
            <w:pPr>
              <w:pStyle w:val="TableContents"/>
              <w:bidi w:val="0"/>
              <w:spacing w:before="0" w:after="0"/>
              <w:ind w:left="0" w:right="0" w:hanging="0"/>
              <w:jc w:val="right"/>
              <w:rPr/>
            </w:pPr>
            <w:r>
              <w:rPr/>
              <w:t> </w:t>
            </w:r>
          </w:p>
        </w:tc>
      </w:tr>
      <w:tr>
        <w:trPr/>
        <w:tc>
          <w:tcPr>
            <w:tcW w:w="640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Cash paid for income taxes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9,467</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2,824</w:t>
            </w:r>
          </w:p>
        </w:tc>
        <w:tc>
          <w:tcPr>
            <w:tcW w:w="1015" w:type="dxa"/>
            <w:tcBorders/>
            <w:vAlign w:val="center"/>
          </w:tcPr>
          <w:p>
            <w:pPr>
              <w:pStyle w:val="TableContents"/>
              <w:bidi w:val="0"/>
              <w:spacing w:before="0" w:after="0"/>
              <w:ind w:left="0" w:right="0" w:hanging="0"/>
              <w:jc w:val="left"/>
              <w:rPr/>
            </w:pPr>
            <w:r>
              <w:rPr/>
              <w:t> </w:t>
            </w:r>
          </w:p>
        </w:tc>
      </w:tr>
      <w:tr>
        <w:trPr/>
        <w:tc>
          <w:tcPr>
            <w:tcW w:w="640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Cash paid for interest</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861</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881</w:t>
            </w:r>
          </w:p>
        </w:tc>
        <w:tc>
          <w:tcPr>
            <w:tcW w:w="1015" w:type="dxa"/>
            <w:tcBorders/>
            <w:vAlign w:val="center"/>
          </w:tcPr>
          <w:p>
            <w:pPr>
              <w:pStyle w:val="TableContents"/>
              <w:bidi w:val="0"/>
              <w:spacing w:before="0" w:after="0"/>
              <w:ind w:left="0" w:right="0" w:hanging="0"/>
              <w:jc w:val="left"/>
              <w:rPr/>
            </w:pPr>
            <w:r>
              <w:rPr/>
              <w:t> </w:t>
            </w:r>
          </w:p>
        </w:tc>
      </w:tr>
      <w:tr>
        <w:trPr/>
        <w:tc>
          <w:tcPr>
            <w:tcW w:w="640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Right-of-use assets obtained in exchange for operating lease liabilities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4,674</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4,673</w:t>
            </w:r>
          </w:p>
        </w:tc>
        <w:tc>
          <w:tcPr>
            <w:tcW w:w="1015" w:type="dxa"/>
            <w:tcBorders/>
            <w:vAlign w:val="center"/>
          </w:tcPr>
          <w:p>
            <w:pPr>
              <w:pStyle w:val="TableContents"/>
              <w:bidi w:val="0"/>
              <w:spacing w:before="0" w:after="0"/>
              <w:ind w:left="0" w:right="0" w:hanging="0"/>
              <w:jc w:val="left"/>
              <w:rPr/>
            </w:pPr>
            <w:r>
              <w:rPr/>
              <w:t> </w:t>
            </w:r>
          </w:p>
        </w:tc>
      </w:tr>
      <w:tr>
        <w:trPr/>
        <w:tc>
          <w:tcPr>
            <w:tcW w:w="640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Right-of-use asset reductions related to operating lease terminations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(1,217</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1" w:type="dxa"/>
            <w:tcBorders/>
            <w:vAlign w:val="center"/>
          </w:tcPr>
          <w:p>
            <w:pPr>
              <w:pStyle w:val="TableContents"/>
              <w:bidi w:val="0"/>
              <w:spacing w:before="0" w:after="0"/>
              <w:ind w:left="0" w:right="0" w:hanging="0"/>
              <w:jc w:val="right"/>
              <w:rPr/>
            </w:pPr>
            <w:r>
              <w:rPr/>
              <w:t>—</w:t>
            </w:r>
          </w:p>
        </w:tc>
        <w:tc>
          <w:tcPr>
            <w:tcW w:w="1015" w:type="dxa"/>
            <w:tcBorders/>
            <w:vAlign w:val="center"/>
          </w:tcPr>
          <w:p>
            <w:pPr>
              <w:pStyle w:val="TableContents"/>
              <w:bidi w:val="0"/>
              <w:spacing w:before="0" w:after="0"/>
              <w:ind w:left="0" w:right="0" w:hanging="0"/>
              <w:jc w:val="left"/>
              <w:rPr/>
            </w:pPr>
            <w:r>
              <w:rPr/>
              <w:t> </w:t>
            </w:r>
          </w:p>
        </w:tc>
      </w:tr>
      <w:tr>
        <w:trPr/>
        <w:tc>
          <w:tcPr>
            <w:tcW w:w="6402"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Non-cash investing and financing activities:</w:t>
            </w:r>
          </w:p>
        </w:tc>
        <w:tc>
          <w:tcPr>
            <w:tcW w:w="146" w:type="dxa"/>
            <w:tcBorders/>
            <w:vAlign w:val="center"/>
          </w:tcPr>
          <w:p>
            <w:pPr>
              <w:pStyle w:val="TableContents"/>
              <w:bidi w:val="0"/>
              <w:spacing w:before="0" w:after="0"/>
              <w:ind w:left="0" w:right="0" w:hanging="0"/>
              <w:jc w:val="left"/>
              <w:rPr/>
            </w:pPr>
            <w:r>
              <w:rPr/>
              <w:t> </w:t>
            </w:r>
          </w:p>
        </w:tc>
        <w:tc>
          <w:tcPr>
            <w:tcW w:w="1135" w:type="dxa"/>
            <w:gridSpan w:val="2"/>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right"/>
              <w:rPr/>
            </w:pPr>
            <w:r>
              <w:rPr/>
              <w:t> </w:t>
            </w:r>
          </w:p>
        </w:tc>
        <w:tc>
          <w:tcPr>
            <w:tcW w:w="174" w:type="dxa"/>
            <w:tcBorders/>
            <w:vAlign w:val="center"/>
          </w:tcPr>
          <w:p>
            <w:pPr>
              <w:pStyle w:val="TableContents"/>
              <w:bidi w:val="0"/>
              <w:spacing w:before="0" w:after="0"/>
              <w:ind w:left="0" w:right="0" w:hanging="0"/>
              <w:jc w:val="left"/>
              <w:rPr/>
            </w:pPr>
            <w:r>
              <w:rPr/>
              <w:t> </w:t>
            </w:r>
          </w:p>
        </w:tc>
        <w:tc>
          <w:tcPr>
            <w:tcW w:w="1135" w:type="dxa"/>
            <w:gridSpan w:val="2"/>
            <w:tcBorders/>
            <w:vAlign w:val="center"/>
          </w:tcPr>
          <w:p>
            <w:pPr>
              <w:pStyle w:val="TableContents"/>
              <w:bidi w:val="0"/>
              <w:spacing w:before="0" w:after="0"/>
              <w:ind w:left="0" w:right="0" w:hanging="0"/>
              <w:jc w:val="right"/>
              <w:rPr/>
            </w:pPr>
            <w:r>
              <w:rPr/>
              <w:t> </w:t>
            </w:r>
          </w:p>
        </w:tc>
        <w:tc>
          <w:tcPr>
            <w:tcW w:w="1015" w:type="dxa"/>
            <w:tcBorders/>
            <w:vAlign w:val="center"/>
          </w:tcPr>
          <w:p>
            <w:pPr>
              <w:pStyle w:val="TableContents"/>
              <w:bidi w:val="0"/>
              <w:spacing w:before="0" w:after="0"/>
              <w:ind w:left="0" w:right="0" w:hanging="0"/>
              <w:jc w:val="right"/>
              <w:rPr/>
            </w:pPr>
            <w:r>
              <w:rPr/>
              <w:t> </w:t>
            </w:r>
          </w:p>
        </w:tc>
      </w:tr>
      <w:tr>
        <w:trPr/>
        <w:tc>
          <w:tcPr>
            <w:tcW w:w="640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Capital expenditures incurred but not yet paid</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9,628</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3,271</w:t>
            </w:r>
          </w:p>
        </w:tc>
        <w:tc>
          <w:tcPr>
            <w:tcW w:w="1015" w:type="dxa"/>
            <w:tcBorders/>
            <w:vAlign w:val="center"/>
          </w:tcPr>
          <w:p>
            <w:pPr>
              <w:pStyle w:val="TableContents"/>
              <w:bidi w:val="0"/>
              <w:spacing w:before="0" w:after="0"/>
              <w:ind w:left="0" w:right="0" w:hanging="0"/>
              <w:jc w:val="left"/>
              <w:rPr/>
            </w:pPr>
            <w:r>
              <w:rPr/>
              <w:t> </w:t>
            </w:r>
          </w:p>
        </w:tc>
      </w:tr>
      <w:tr>
        <w:trPr/>
        <w:tc>
          <w:tcPr>
            <w:tcW w:w="640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Asset retirement obligations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(466</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1,161</w:t>
            </w:r>
          </w:p>
        </w:tc>
        <w:tc>
          <w:tcPr>
            <w:tcW w:w="1015" w:type="dxa"/>
            <w:tcBorders/>
            <w:vAlign w:val="center"/>
          </w:tcPr>
          <w:p>
            <w:pPr>
              <w:pStyle w:val="TableContents"/>
              <w:bidi w:val="0"/>
              <w:spacing w:before="0" w:after="0"/>
              <w:ind w:left="0" w:right="0" w:hanging="0"/>
              <w:jc w:val="left"/>
              <w:rPr/>
            </w:pPr>
            <w:r>
              <w:rPr/>
              <w:t> </w:t>
            </w:r>
          </w:p>
        </w:tc>
      </w:tr>
      <w:tr>
        <w:trPr/>
        <w:tc>
          <w:tcPr>
            <w:tcW w:w="640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35" w:type="dxa"/>
            <w:gridSpan w:val="2"/>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right"/>
              <w:rPr/>
            </w:pPr>
            <w:r>
              <w:rPr/>
              <w:t> </w:t>
            </w:r>
          </w:p>
        </w:tc>
        <w:tc>
          <w:tcPr>
            <w:tcW w:w="174" w:type="dxa"/>
            <w:tcBorders/>
            <w:vAlign w:val="center"/>
          </w:tcPr>
          <w:p>
            <w:pPr>
              <w:pStyle w:val="TableContents"/>
              <w:bidi w:val="0"/>
              <w:spacing w:before="0" w:after="0"/>
              <w:ind w:left="0" w:right="0" w:hanging="0"/>
              <w:jc w:val="left"/>
              <w:rPr/>
            </w:pPr>
            <w:r>
              <w:rPr/>
              <w:t> </w:t>
            </w:r>
          </w:p>
        </w:tc>
        <w:tc>
          <w:tcPr>
            <w:tcW w:w="1135" w:type="dxa"/>
            <w:gridSpan w:val="2"/>
            <w:tcBorders/>
            <w:vAlign w:val="center"/>
          </w:tcPr>
          <w:p>
            <w:pPr>
              <w:pStyle w:val="TableContents"/>
              <w:bidi w:val="0"/>
              <w:spacing w:before="0" w:after="0"/>
              <w:ind w:left="0" w:right="0" w:hanging="0"/>
              <w:jc w:val="right"/>
              <w:rPr/>
            </w:pPr>
            <w:r>
              <w:rPr/>
              <w:t> </w:t>
            </w:r>
          </w:p>
        </w:tc>
        <w:tc>
          <w:tcPr>
            <w:tcW w:w="1015" w:type="dxa"/>
            <w:tcBorders/>
            <w:vAlign w:val="center"/>
          </w:tcPr>
          <w:p>
            <w:pPr>
              <w:pStyle w:val="TableContents"/>
              <w:bidi w:val="0"/>
              <w:spacing w:before="0" w:after="0"/>
              <w:ind w:left="0" w:right="0" w:hanging="0"/>
              <w:jc w:val="right"/>
              <w:rPr/>
            </w:pPr>
            <w:r>
              <w:rPr/>
              <w:t> </w:t>
            </w:r>
          </w:p>
        </w:tc>
      </w:tr>
    </w:tbl>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The accompanying notes are an integral part of the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HubSpot, Inc.</w:t>
      </w:r>
    </w:p>
    <w:p>
      <w:pPr>
        <w:pStyle w:val="TextBody"/>
        <w:bidi w:val="0"/>
        <w:spacing w:before="0" w:after="0"/>
        <w:jc w:val="center"/>
        <w:rPr>
          <w:rFonts w:ascii="Times New Roman;serif" w:hAnsi="Times New Roman;serif"/>
          <w:b/>
          <w:sz w:val="20"/>
        </w:rPr>
      </w:pPr>
      <w:bookmarkStart w:id="8" w:name="notes_to_unaudited_consolida_ted_financi"/>
      <w:bookmarkEnd w:id="8"/>
      <w:r>
        <w:rPr>
          <w:rFonts w:ascii="Times New Roman;serif" w:hAnsi="Times New Roman;serif"/>
          <w:b/>
          <w:sz w:val="20"/>
        </w:rPr>
        <w:t>Notes to Unaudited Consolidated Financial Statements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00" w:after="0"/>
        <w:jc w:val="left"/>
        <w:rPr>
          <w:rFonts w:ascii="Times New Roman;serif" w:hAnsi="Times New Roman;serif"/>
          <w:b/>
          <w:sz w:val="20"/>
        </w:rPr>
      </w:pPr>
      <w:r>
        <w:rPr>
          <w:rFonts w:ascii="Times New Roman;serif" w:hAnsi="Times New Roman;serif"/>
          <w:b/>
          <w:sz w:val="20"/>
        </w:rPr>
        <w:t>1. Organization and Operations</w:t>
      </w:r>
    </w:p>
    <w:p>
      <w:pPr>
        <w:pStyle w:val="TextBody"/>
        <w:bidi w:val="0"/>
        <w:spacing w:before="200" w:after="0"/>
        <w:jc w:val="left"/>
        <w:rPr>
          <w:rFonts w:ascii="Times New Roman" w:hAnsi="Times New Roman"/>
          <w:sz w:val="20"/>
        </w:rPr>
      </w:pPr>
      <w:r>
        <w:rPr>
          <w:rFonts w:ascii="Times New Roman;serif" w:hAnsi="Times New Roman;serif"/>
          <w:b w:val="false"/>
          <w:sz w:val="20"/>
        </w:rPr>
        <w:t>HubSpot, Inc. (the “Company”) provides a cloud-based customer relationship management (“CRM”) Platform, that enables companies to attract, engage, and delight customers throughout the customer experience. The Company’s CRM Platform, comprised of Marketing Hub, Sales Hub, Service Hub, content management system ("CMS") Hub and Operations Hub, features integrated applications, tools, and a native payment solution, that enable businesses to create a cohesive and adaptable customer experience.</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The accompanying unaudited consolidated financial statements have been prepared in accordance with generally accepted accounting principles in the United States (“GAAP”) applicable to interim periods, under the rules and regulations of the United States Securities and Exchange Commission (“SEC”). In the opinion of management, the Company has prepared the accompanying unaudited consolidated financial statements on a basis substantially consistent with the audited consolidated financial statements of the Company as of and for the year ended December 31, 2022, and these consolidated financial statements include all adjustments, consisting only of normal recurring adjustments, necessary for a fair statement of the results of the interim periods presented. All intercompany balances and transactions have been eliminated in consolidation.</w:t>
      </w:r>
      <w:r>
        <w:rPr>
          <w:rFonts w:ascii="Times New Roman" w:hAnsi="Times New Roman"/>
          <w:sz w:val="20"/>
        </w:rPr>
        <w:t xml:space="preserve">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results of operations for the interim periods presented are not necessarily indicative of the results to be expected for any subsequent quarter or for the entire year ending December 31, 2023. The year-end balance sheet data was derived from audited financial statements, but this Form 10-Q does not include all disclosures required under GAAP. Certain information and note disclosures normally included in annual financial statements prepared in accordance with GAAP have been omitted under the rules and regulations of the SEC.</w:t>
      </w:r>
    </w:p>
    <w:p>
      <w:pPr>
        <w:pStyle w:val="TextBody"/>
        <w:bidi w:val="0"/>
        <w:spacing w:before="200" w:after="0"/>
        <w:jc w:val="left"/>
        <w:rPr>
          <w:rFonts w:ascii="Times New Roman" w:hAnsi="Times New Roman"/>
          <w:sz w:val="20"/>
        </w:rPr>
      </w:pPr>
      <w:r>
        <w:rPr>
          <w:rFonts w:ascii="Times New Roman;serif" w:hAnsi="Times New Roman;serif"/>
          <w:b w:val="false"/>
          <w:sz w:val="20"/>
        </w:rPr>
        <w:t>These interim financial statements should be read in conjunction with the audited consolidated financial statements and related notes contained in the Company’s Annual Report on Form 10-K filed with the SEC on February 16, 2023. There have been no changes in the Company’s significant accounting policies from those that were disclosed in the Company’s Annual Report on Form 10-K that have had a material impact on our consolidated financial statements and related notes.</w:t>
      </w:r>
      <w:r>
        <w:rPr>
          <w:rFonts w:ascii="Times New Roman" w:hAnsi="Times New Roman"/>
          <w:sz w:val="20"/>
        </w:rPr>
        <w:t xml:space="preserve"> </w:t>
      </w:r>
    </w:p>
    <w:p>
      <w:pPr>
        <w:pStyle w:val="TextBody"/>
        <w:bidi w:val="0"/>
        <w:spacing w:before="200" w:after="0"/>
        <w:jc w:val="left"/>
        <w:rPr>
          <w:rFonts w:ascii="Times New Roman;serif" w:hAnsi="Times New Roman;serif"/>
          <w:b/>
          <w:i/>
          <w:sz w:val="20"/>
        </w:rPr>
      </w:pPr>
      <w:r>
        <w:rPr>
          <w:rFonts w:ascii="Times New Roman;serif" w:hAnsi="Times New Roman;serif"/>
          <w:b/>
          <w:i/>
          <w:sz w:val="20"/>
        </w:rPr>
        <w:t>Recent Accounting Pronouncements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Company has implemented all applicable accounting pronouncements that are in effect and there are no new accounting pronouncements that have been issued that would have a material impact on its financial position or results of operations.</w:t>
      </w:r>
    </w:p>
    <w:p>
      <w:pPr>
        <w:pStyle w:val="TextBody"/>
        <w:bidi w:val="0"/>
        <w:spacing w:before="240" w:after="0"/>
        <w:jc w:val="both"/>
        <w:rPr>
          <w:rFonts w:ascii="Times New Roman;serif" w:hAnsi="Times New Roman;serif"/>
          <w:b/>
          <w:sz w:val="20"/>
        </w:rPr>
      </w:pPr>
      <w:r>
        <w:rPr>
          <w:rFonts w:ascii="Times New Roman;serif" w:hAnsi="Times New Roman;serif"/>
          <w:b/>
          <w:sz w:val="20"/>
        </w:rPr>
        <w:t>2. Revenues</w:t>
      </w:r>
    </w:p>
    <w:p>
      <w:pPr>
        <w:pStyle w:val="TextBody"/>
        <w:bidi w:val="0"/>
        <w:spacing w:before="240" w:after="0"/>
        <w:jc w:val="both"/>
        <w:rPr>
          <w:rFonts w:ascii="Times New Roman" w:hAnsi="Times New Roman"/>
          <w:sz w:val="20"/>
        </w:rPr>
      </w:pPr>
      <w:r>
        <w:rPr>
          <w:rFonts w:ascii="Times New Roman;serif" w:hAnsi="Times New Roman;serif"/>
          <w:b/>
          <w:i/>
          <w:sz w:val="20"/>
        </w:rPr>
        <w:t>Disaggregation of Revenue</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provides disaggregation of revenue based on geographic region (Note 13) and based on the subscription versus professional services and other classification on the consolidated statements of operations as it believes these best depict how the nature, amount, timing and uncertainty of revenue and cash flows are affected by economic factors.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Deferred Revenue and Deferred Commission Expense</w:t>
      </w:r>
    </w:p>
    <w:p>
      <w:pPr>
        <w:pStyle w:val="TextBody"/>
        <w:bidi w:val="0"/>
        <w:spacing w:before="240" w:after="0"/>
        <w:jc w:val="left"/>
        <w:rPr>
          <w:rFonts w:ascii="Times New Roman" w:hAnsi="Times New Roman"/>
          <w:sz w:val="20"/>
        </w:rPr>
      </w:pPr>
      <w:r>
        <w:rPr>
          <w:rFonts w:ascii="Times New Roman;serif" w:hAnsi="Times New Roman;serif"/>
          <w:b w:val="false"/>
          <w:sz w:val="20"/>
        </w:rPr>
        <w:t>Amounts that have been invoiced are recorded in accounts receivable and deferred revenue or revenue, depending on whether the revenue recognition criteria have been met. Deferred revenue represents amounts billed for which revenue has not yet been recognized. Deferred revenue that will be recognized during the succeeding 12-month period is recorded as current deferred revenue, and the remaining portion is recorded as long-term deferred revenue. Deferred revenue during the six months ended June 30, 2023 increased by $44.7</w:t>
      </w:r>
      <w:r>
        <w:rPr>
          <w:rFonts w:ascii="Times New Roman" w:hAnsi="Times New Roman"/>
          <w:sz w:val="20"/>
        </w:rPr>
        <w:t xml:space="preserve"> </w:t>
      </w:r>
      <w:r>
        <w:rPr>
          <w:rFonts w:ascii="Times New Roman;serif" w:hAnsi="Times New Roman;serif"/>
          <w:b w:val="false"/>
          <w:sz w:val="20"/>
        </w:rPr>
        <w:t>million resulting from $573.8</w:t>
      </w:r>
      <w:r>
        <w:rPr>
          <w:rFonts w:ascii="Times New Roman" w:hAnsi="Times New Roman"/>
          <w:sz w:val="20"/>
        </w:rPr>
        <w:t xml:space="preserve"> </w:t>
      </w:r>
      <w:r>
        <w:rPr>
          <w:rFonts w:ascii="Times New Roman;serif" w:hAnsi="Times New Roman;serif"/>
          <w:b w:val="false"/>
          <w:sz w:val="20"/>
        </w:rPr>
        <w:t>million of additional invoicing and was offset by revenue recognized of $529.1</w:t>
      </w:r>
      <w:r>
        <w:rPr>
          <w:rFonts w:ascii="Times New Roman" w:hAnsi="Times New Roman"/>
          <w:sz w:val="20"/>
        </w:rPr>
        <w:t xml:space="preserve"> </w:t>
      </w:r>
      <w:r>
        <w:rPr>
          <w:rFonts w:ascii="Times New Roman;serif" w:hAnsi="Times New Roman;serif"/>
          <w:b w:val="false"/>
          <w:sz w:val="20"/>
        </w:rPr>
        <w:t>million during the same period. $309.0</w:t>
      </w:r>
      <w:r>
        <w:rPr>
          <w:rFonts w:ascii="Times New Roman" w:hAnsi="Times New Roman"/>
          <w:sz w:val="20"/>
        </w:rPr>
        <w:t xml:space="preserve"> </w:t>
      </w:r>
      <w:r>
        <w:rPr>
          <w:rFonts w:ascii="Times New Roman;serif" w:hAnsi="Times New Roman;serif"/>
          <w:b w:val="false"/>
          <w:sz w:val="20"/>
        </w:rPr>
        <w:t>million of revenue was recognized during the three months ended June 30, 2023 that was included in deferred revenue at the beginning of the period. $423.3</w:t>
      </w:r>
      <w:r>
        <w:rPr>
          <w:rFonts w:ascii="Times New Roman" w:hAnsi="Times New Roman"/>
          <w:sz w:val="20"/>
        </w:rPr>
        <w:t xml:space="preserve"> </w:t>
      </w:r>
      <w:r>
        <w:rPr>
          <w:rFonts w:ascii="Times New Roman;serif" w:hAnsi="Times New Roman;serif"/>
          <w:b w:val="false"/>
          <w:sz w:val="20"/>
        </w:rPr>
        <w:t>million of revenue was recognized during the six months ended June 30, 2023 that was included in deferred revenue at the beginning of the period. As of June 30, 2023, approximately $671.9</w:t>
      </w:r>
      <w:r>
        <w:rPr>
          <w:rFonts w:ascii="Times New Roman" w:hAnsi="Times New Roman"/>
          <w:sz w:val="20"/>
        </w:rPr>
        <w:t xml:space="preserve"> </w:t>
      </w:r>
      <w:r>
        <w:rPr>
          <w:rFonts w:ascii="Times New Roman;serif" w:hAnsi="Times New Roman;serif"/>
          <w:b w:val="false"/>
          <w:sz w:val="20"/>
        </w:rPr>
        <w:t>million of revenue is expected to be recognized from remaining performance obligations for contracts with original performance obligations that exceed one year. The Company expects to recognize revenue on approximately 91%</w:t>
      </w:r>
      <w:r>
        <w:rPr>
          <w:rFonts w:ascii="Times New Roman" w:hAnsi="Times New Roman"/>
          <w:sz w:val="20"/>
        </w:rPr>
        <w:t xml:space="preserve"> </w:t>
      </w:r>
      <w:r>
        <w:rPr>
          <w:rFonts w:ascii="Times New Roman;serif" w:hAnsi="Times New Roman;serif"/>
          <w:b w:val="false"/>
          <w:sz w:val="20"/>
        </w:rPr>
        <w:t>of these remaining performance obligations over the next 24 months, with the balance recognized thereafter.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Additional contract liabilities of $4.2</w:t>
      </w:r>
      <w:r>
        <w:rPr>
          <w:rFonts w:ascii="Times New Roman" w:hAnsi="Times New Roman"/>
          <w:sz w:val="20"/>
        </w:rPr>
        <w:t xml:space="preserve"> </w:t>
      </w:r>
      <w:r>
        <w:rPr>
          <w:rFonts w:ascii="Times New Roman;serif" w:hAnsi="Times New Roman;serif"/>
          <w:b w:val="false"/>
          <w:sz w:val="20"/>
        </w:rPr>
        <w:t>million and $3.0</w:t>
      </w:r>
      <w:r>
        <w:rPr>
          <w:rFonts w:ascii="Times New Roman" w:hAnsi="Times New Roman"/>
          <w:sz w:val="20"/>
        </w:rPr>
        <w:t xml:space="preserve"> </w:t>
      </w:r>
      <w:r>
        <w:rPr>
          <w:rFonts w:ascii="Times New Roman;serif" w:hAnsi="Times New Roman;serif"/>
          <w:b w:val="false"/>
          <w:sz w:val="20"/>
        </w:rPr>
        <w:t>were included in accrued expenses and other current liabilities on the consolidated balance sheet as of June 30, 2023 and December 31, 2022.</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The incremental direct costs of obtaining a contract, which primarily consist of sales and partner commissions paid for new subscription contracts, are deferred and amortized on a straight-line basis over a period of approximately two to four years. The two</w:t>
      </w:r>
      <w:r>
        <w:rPr>
          <w:rFonts w:ascii="Times New Roman" w:hAnsi="Times New Roman"/>
          <w:sz w:val="20"/>
        </w:rPr>
        <w:t xml:space="preserve"> </w:t>
      </w:r>
      <w:r>
        <w:rPr>
          <w:rFonts w:ascii="Times New Roman;serif" w:hAnsi="Times New Roman;serif"/>
          <w:b w:val="false"/>
          <w:sz w:val="20"/>
        </w:rPr>
        <w:t>to four-year</w:t>
      </w:r>
      <w:r>
        <w:rPr>
          <w:rFonts w:ascii="Times New Roman" w:hAnsi="Times New Roman"/>
          <w:sz w:val="20"/>
        </w:rPr>
        <w:t xml:space="preserve"> </w:t>
      </w:r>
      <w:r>
        <w:rPr>
          <w:rFonts w:ascii="Times New Roman;serif" w:hAnsi="Times New Roman;serif"/>
          <w:b w:val="false"/>
          <w:sz w:val="20"/>
        </w:rPr>
        <w:t>period has been determined by taking into consideration the type of product sold, the commitment term of the customer contract, the nature of the Company’s technology development life-cycle, and an estimated customer relationship period. Sales and partner commissions for upgrade contracts are deferred and amortized on a straight-line basis over the remaining estimated customer relationship period of the related customer. Deferred commission expense that will be recorded as expense during the succeeding 12-month period is recorded as current deferred commission expense, and the remaining portion is recorded as long-term deferred commission expense.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Deferred commission expense during the three months ended June 30, 2023 increased by $18.6</w:t>
      </w:r>
      <w:r>
        <w:rPr>
          <w:rFonts w:ascii="Times New Roman" w:hAnsi="Times New Roman"/>
          <w:sz w:val="20"/>
        </w:rPr>
        <w:t xml:space="preserve"> </w:t>
      </w:r>
      <w:r>
        <w:rPr>
          <w:rFonts w:ascii="Times New Roman;serif" w:hAnsi="Times New Roman;serif"/>
          <w:b w:val="false"/>
          <w:sz w:val="20"/>
        </w:rPr>
        <w:t>million as a result of deferring incremental costs of obtaining a contract of $42.0</w:t>
      </w:r>
      <w:r>
        <w:rPr>
          <w:rFonts w:ascii="Times New Roman" w:hAnsi="Times New Roman"/>
          <w:sz w:val="20"/>
        </w:rPr>
        <w:t xml:space="preserve"> </w:t>
      </w:r>
      <w:r>
        <w:rPr>
          <w:rFonts w:ascii="Times New Roman;serif" w:hAnsi="Times New Roman;serif"/>
          <w:b w:val="false"/>
          <w:sz w:val="20"/>
        </w:rPr>
        <w:t>million and was offset by amortization of $23.4</w:t>
      </w:r>
      <w:r>
        <w:rPr>
          <w:rFonts w:ascii="Times New Roman" w:hAnsi="Times New Roman"/>
          <w:sz w:val="20"/>
        </w:rPr>
        <w:t xml:space="preserve"> </w:t>
      </w:r>
      <w:r>
        <w:rPr>
          <w:rFonts w:ascii="Times New Roman;serif" w:hAnsi="Times New Roman;serif"/>
          <w:b w:val="false"/>
          <w:sz w:val="20"/>
        </w:rPr>
        <w:t>million during the same period. Deferred commission expense during the six months ended June 30, 2023 increased by $37.8</w:t>
      </w:r>
      <w:r>
        <w:rPr>
          <w:rFonts w:ascii="Times New Roman" w:hAnsi="Times New Roman"/>
          <w:sz w:val="20"/>
        </w:rPr>
        <w:t xml:space="preserve"> </w:t>
      </w:r>
      <w:r>
        <w:rPr>
          <w:rFonts w:ascii="Times New Roman;serif" w:hAnsi="Times New Roman;serif"/>
          <w:b w:val="false"/>
          <w:sz w:val="20"/>
        </w:rPr>
        <w:t>million as a result of deferring incremental costs of obtaining a contract of $82.9</w:t>
      </w:r>
      <w:r>
        <w:rPr>
          <w:rFonts w:ascii="Times New Roman" w:hAnsi="Times New Roman"/>
          <w:sz w:val="20"/>
        </w:rPr>
        <w:t xml:space="preserve"> </w:t>
      </w:r>
      <w:r>
        <w:rPr>
          <w:rFonts w:ascii="Times New Roman;serif" w:hAnsi="Times New Roman;serif"/>
          <w:b w:val="false"/>
          <w:sz w:val="20"/>
        </w:rPr>
        <w:t>million and was offset by amortization of $45.1</w:t>
      </w:r>
      <w:r>
        <w:rPr>
          <w:rFonts w:ascii="Times New Roman" w:hAnsi="Times New Roman"/>
          <w:sz w:val="20"/>
        </w:rPr>
        <w:t xml:space="preserve"> </w:t>
      </w:r>
      <w:r>
        <w:rPr>
          <w:rFonts w:ascii="Times New Roman;serif" w:hAnsi="Times New Roman;serif"/>
          <w:b w:val="false"/>
          <w:sz w:val="20"/>
        </w:rPr>
        <w:t>million during the same period.</w:t>
      </w:r>
      <w:r>
        <w:rPr>
          <w:rFonts w:ascii="Times New Roman" w:hAnsi="Times New Roman"/>
          <w:sz w:val="20"/>
        </w:rPr>
        <w:t xml:space="preserve"> </w:t>
      </w:r>
    </w:p>
    <w:p>
      <w:pPr>
        <w:pStyle w:val="TextBody"/>
        <w:bidi w:val="0"/>
        <w:spacing w:before="240" w:after="0"/>
        <w:jc w:val="left"/>
        <w:rPr>
          <w:rFonts w:ascii="Times New Roman;serif" w:hAnsi="Times New Roman;serif"/>
          <w:b/>
          <w:sz w:val="20"/>
        </w:rPr>
      </w:pPr>
      <w:r>
        <w:rPr>
          <w:rFonts w:ascii="Times New Roman;serif" w:hAnsi="Times New Roman;serif"/>
          <w:b/>
          <w:sz w:val="20"/>
        </w:rPr>
        <w:t>3. Net Loss per Share</w:t>
      </w:r>
    </w:p>
    <w:p>
      <w:pPr>
        <w:pStyle w:val="TextBody"/>
        <w:bidi w:val="0"/>
        <w:spacing w:before="240" w:after="0"/>
        <w:jc w:val="left"/>
        <w:rPr>
          <w:rFonts w:ascii="Times New Roman" w:hAnsi="Times New Roman"/>
          <w:sz w:val="20"/>
        </w:rPr>
      </w:pPr>
      <w:r>
        <w:rPr>
          <w:rFonts w:ascii="Times New Roman;serif" w:hAnsi="Times New Roman;serif"/>
          <w:b w:val="false"/>
          <w:sz w:val="20"/>
        </w:rPr>
        <w:t>Basic net loss per share is computed by dividing net loss by the weighted average number of common shares outstanding for the period. Diluted net loss per share is computed by giving effect to all potential dilutive common stock equivalents outstanding for the period. For purposes of this calculation, options to purchase common stock, restricted stock units (“RSUs”), shares issued pursuant to the Employee Stock Purchase Plan (“ESPP”), performance restricted stock units (“PSUs”), the Warrants (defined in Note 8), the Conversion Option of the 2022 Notes, and the Conversion Option of the 2025 Notes (the “Conversion Options”) (Note 8) are considered to be potential common stock equivalents.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 reconciliation of the denominator used in the calculation of basic and diluted net loss per share is as follows:</w:t>
      </w:r>
    </w:p>
    <w:tbl>
      <w:tblPr>
        <w:tblW w:w="9976" w:type="dxa"/>
        <w:jc w:val="left"/>
        <w:tblInd w:w="0" w:type="dxa"/>
        <w:tblLayout w:type="fixed"/>
        <w:tblCellMar>
          <w:top w:w="28" w:type="dxa"/>
          <w:left w:w="28" w:type="dxa"/>
          <w:bottom w:w="28" w:type="dxa"/>
          <w:right w:w="28" w:type="dxa"/>
        </w:tblCellMar>
      </w:tblPr>
      <w:tblGrid>
        <w:gridCol w:w="4831"/>
        <w:gridCol w:w="211"/>
        <w:gridCol w:w="841"/>
        <w:gridCol w:w="166"/>
        <w:gridCol w:w="146"/>
        <w:gridCol w:w="211"/>
        <w:gridCol w:w="736"/>
        <w:gridCol w:w="166"/>
        <w:gridCol w:w="146"/>
        <w:gridCol w:w="211"/>
        <w:gridCol w:w="841"/>
        <w:gridCol w:w="166"/>
        <w:gridCol w:w="146"/>
        <w:gridCol w:w="211"/>
        <w:gridCol w:w="736"/>
        <w:gridCol w:w="211"/>
      </w:tblGrid>
      <w:tr>
        <w:trPr/>
        <w:tc>
          <w:tcPr>
            <w:tcW w:w="4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31" w:type="dxa"/>
            <w:tcBorders/>
            <w:vAlign w:val="center"/>
          </w:tcPr>
          <w:p>
            <w:pPr>
              <w:pStyle w:val="TableContents"/>
              <w:bidi w:val="0"/>
              <w:spacing w:before="0" w:after="0"/>
              <w:ind w:left="0" w:right="0" w:hanging="0"/>
              <w:jc w:val="left"/>
              <w:rPr/>
            </w:pPr>
            <w:r>
              <w:rPr/>
              <w:t> </w:t>
            </w:r>
          </w:p>
        </w:tc>
        <w:tc>
          <w:tcPr>
            <w:tcW w:w="23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3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31"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(118,946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(56,361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(157,228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(65,702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common shares outstanding — basic</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49,703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47,815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49,550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47,697</w:t>
            </w:r>
          </w:p>
        </w:tc>
        <w:tc>
          <w:tcPr>
            <w:tcW w:w="211" w:type="dxa"/>
            <w:tcBorders/>
            <w:vAlign w:val="center"/>
          </w:tcPr>
          <w:p>
            <w:pPr>
              <w:pStyle w:val="TableContents"/>
              <w:bidi w:val="0"/>
              <w:spacing w:before="0" w:after="0"/>
              <w:ind w:left="0" w:right="0" w:hanging="0"/>
              <w:jc w:val="left"/>
              <w:rPr/>
            </w:pPr>
            <w:r>
              <w:rPr/>
              <w:t> </w:t>
            </w:r>
          </w:p>
        </w:tc>
      </w:tr>
      <w:tr>
        <w:trPr/>
        <w:tc>
          <w:tcPr>
            <w:tcW w:w="48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Dilutive effect of share equivalents resulting from stock </w:t>
              <w:br/>
              <w:t xml:space="preserve">   options, RSUs, ESPP, PSUs, Warrants and the </w:t>
              <w:br/>
              <w:t>   Conversion Options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8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common shares, outstanding — diluted</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49,703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47,815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49,550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47,697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8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Since the Company incurred net losses for each of the periods presented, diluted net loss per share is the same as basic net loss per share. All of the Company’s outstanding stock options, RSUs, PSUs, and shares issuable under the ESPP, as well as the Warrants and Conversion Options were excluded in the calculation of diluted net loss per share as the effect would be anti-dilutive.</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uses the treasury stock method and the average market price per share during the period for calculating any potential dilutive effect of the Warrants. The average stock price for the three months ended June 30, 2023</w:t>
      </w:r>
      <w:r>
        <w:rPr>
          <w:rFonts w:ascii="Times New Roman" w:hAnsi="Times New Roman"/>
          <w:sz w:val="20"/>
        </w:rPr>
        <w:t xml:space="preserve"> </w:t>
      </w:r>
      <w:r>
        <w:rPr>
          <w:rFonts w:ascii="Times New Roman;serif" w:hAnsi="Times New Roman;serif"/>
          <w:b w:val="false"/>
          <w:sz w:val="20"/>
        </w:rPr>
        <w:t>was $468.65</w:t>
      </w:r>
      <w:r>
        <w:rPr>
          <w:rFonts w:ascii="Times New Roman" w:hAnsi="Times New Roman"/>
          <w:sz w:val="20"/>
        </w:rPr>
        <w:t xml:space="preserve"> </w:t>
      </w:r>
      <w:r>
        <w:rPr>
          <w:rFonts w:ascii="Times New Roman;serif" w:hAnsi="Times New Roman;serif"/>
          <w:b w:val="false"/>
          <w:sz w:val="20"/>
        </w:rPr>
        <w:t>and for the six months ended June 30, 2023</w:t>
      </w:r>
      <w:r>
        <w:rPr>
          <w:rFonts w:ascii="Times New Roman" w:hAnsi="Times New Roman"/>
          <w:sz w:val="20"/>
        </w:rPr>
        <w:t xml:space="preserve"> </w:t>
      </w:r>
      <w:r>
        <w:rPr>
          <w:rFonts w:ascii="Times New Roman;serif" w:hAnsi="Times New Roman;serif"/>
          <w:b w:val="false"/>
          <w:sz w:val="20"/>
        </w:rPr>
        <w:t>was $416.79. The Company uses the if-converted method when calculating any potential dilutive effect of the Conversion Options, which assumes conversion of outstanding convertible securities at the beginning of the reporting period or date of issuance, if the convertible security was issued during the period.</w:t>
      </w:r>
    </w:p>
    <w:p>
      <w:pPr>
        <w:pStyle w:val="TextBody"/>
        <w:bidi w:val="0"/>
        <w:spacing w:before="240" w:after="0"/>
        <w:jc w:val="left"/>
        <w:rPr>
          <w:rFonts w:ascii="Times New Roman" w:hAnsi="Times New Roman"/>
          <w:sz w:val="20"/>
        </w:rPr>
      </w:pPr>
      <w:r>
        <w:rPr>
          <w:rFonts w:ascii="Times New Roman;serif" w:hAnsi="Times New Roman;serif"/>
          <w:b w:val="false"/>
          <w:sz w:val="20"/>
        </w:rPr>
        <w:t>Because the last reported sale price of the Company’s common stock for at least 20</w:t>
      </w:r>
      <w:r>
        <w:rPr>
          <w:rFonts w:ascii="Times New Roman" w:hAnsi="Times New Roman"/>
          <w:sz w:val="20"/>
        </w:rPr>
        <w:t xml:space="preserve"> </w:t>
      </w:r>
      <w:r>
        <w:rPr>
          <w:rFonts w:ascii="Times New Roman;serif" w:hAnsi="Times New Roman;serif"/>
          <w:b w:val="false"/>
          <w:sz w:val="20"/>
        </w:rPr>
        <w:t>trading days during the period of 30</w:t>
      </w:r>
      <w:r>
        <w:rPr>
          <w:rFonts w:ascii="Times New Roman" w:hAnsi="Times New Roman"/>
          <w:sz w:val="20"/>
        </w:rPr>
        <w:t xml:space="preserve"> </w:t>
      </w:r>
      <w:r>
        <w:rPr>
          <w:rFonts w:ascii="Times New Roman;serif" w:hAnsi="Times New Roman;serif"/>
          <w:b w:val="false"/>
          <w:sz w:val="20"/>
        </w:rPr>
        <w:t>consecutive trading days ending on the last trading day of the calendar quarter ended June 30, 2023</w:t>
      </w:r>
      <w:r>
        <w:rPr>
          <w:rFonts w:ascii="Times New Roman" w:hAnsi="Times New Roman"/>
          <w:sz w:val="20"/>
        </w:rPr>
        <w:t xml:space="preserve"> </w:t>
      </w:r>
      <w:r>
        <w:rPr>
          <w:rFonts w:ascii="Times New Roman;serif" w:hAnsi="Times New Roman;serif"/>
          <w:b w:val="false"/>
          <w:sz w:val="20"/>
        </w:rPr>
        <w:t>was equal to or greater than 130% of the applicable conversion price of $282.52</w:t>
      </w:r>
      <w:r>
        <w:rPr>
          <w:rFonts w:ascii="Times New Roman" w:hAnsi="Times New Roman"/>
          <w:sz w:val="20"/>
        </w:rPr>
        <w:t xml:space="preserve"> </w:t>
      </w:r>
      <w:r>
        <w:rPr>
          <w:rFonts w:ascii="Times New Roman;serif" w:hAnsi="Times New Roman;serif"/>
          <w:b w:val="false"/>
          <w:sz w:val="20"/>
        </w:rPr>
        <w:t>on each applicable trading day, the 2025 Notes (defined in Note 8) are convertible at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option of the holders thereof during the calendar quarter ending September 30, 2023. As of July 28, 2023, the Company had not received any material conversion notices.</w:t>
      </w:r>
    </w:p>
    <w:p>
      <w:pPr>
        <w:pStyle w:val="TextBody"/>
        <w:bidi w:val="0"/>
        <w:spacing w:before="240" w:after="0"/>
        <w:jc w:val="left"/>
        <w:rPr>
          <w:rFonts w:ascii="Times New Roman" w:hAnsi="Times New Roman"/>
          <w:sz w:val="20"/>
        </w:rPr>
      </w:pPr>
      <w:r>
        <w:rPr>
          <w:rFonts w:ascii="Times New Roman;serif" w:hAnsi="Times New Roman;serif"/>
          <w:b w:val="false"/>
          <w:sz w:val="20"/>
        </w:rPr>
        <w:t>The following table contains all potentially dilutive common stock equivalents.</w:t>
      </w:r>
      <w:r>
        <w:rPr>
          <w:rFonts w:ascii="Times New Roman" w:hAnsi="Times New Roman"/>
          <w:sz w:val="20"/>
        </w:rPr>
        <w:t xml:space="preserve"> </w:t>
      </w:r>
    </w:p>
    <w:tbl>
      <w:tblPr>
        <w:tblW w:w="6339" w:type="dxa"/>
        <w:jc w:val="left"/>
        <w:tblInd w:w="0" w:type="dxa"/>
        <w:tblLayout w:type="fixed"/>
        <w:tblCellMar>
          <w:top w:w="28" w:type="dxa"/>
          <w:left w:w="28" w:type="dxa"/>
          <w:bottom w:w="28" w:type="dxa"/>
          <w:right w:w="28" w:type="dxa"/>
        </w:tblCellMar>
      </w:tblPr>
      <w:tblGrid>
        <w:gridCol w:w="4276"/>
        <w:gridCol w:w="146"/>
        <w:gridCol w:w="146"/>
        <w:gridCol w:w="571"/>
        <w:gridCol w:w="146"/>
        <w:gridCol w:w="146"/>
        <w:gridCol w:w="146"/>
        <w:gridCol w:w="571"/>
        <w:gridCol w:w="191"/>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1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vAlign w:val="center"/>
          </w:tcPr>
          <w:p>
            <w:pPr>
              <w:pStyle w:val="TableContents"/>
              <w:bidi w:val="0"/>
              <w:spacing w:before="0" w:after="0"/>
              <w:ind w:left="0" w:right="0" w:hanging="0"/>
              <w:jc w:val="center"/>
              <w:rPr/>
            </w:pPr>
            <w:r>
              <w:rPr/>
              <w:t> </w:t>
            </w:r>
          </w:p>
        </w:tc>
      </w:tr>
      <w:tr>
        <w:trPr/>
        <w:tc>
          <w:tcPr>
            <w:tcW w:w="42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to purchase common shares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538</w:t>
            </w:r>
          </w:p>
        </w:tc>
        <w:tc>
          <w:tcPr>
            <w:tcW w:w="191" w:type="dxa"/>
            <w:tcBorders/>
            <w:vAlign w:val="center"/>
          </w:tcPr>
          <w:p>
            <w:pPr>
              <w:pStyle w:val="TableContents"/>
              <w:bidi w:val="0"/>
              <w:spacing w:before="0" w:after="0"/>
              <w:ind w:left="0" w:right="0" w:hanging="0"/>
              <w:jc w:val="left"/>
              <w:rPr/>
            </w:pPr>
            <w:r>
              <w:rPr/>
              <w:t> </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RSUs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1,477</w:t>
            </w:r>
          </w:p>
        </w:tc>
        <w:tc>
          <w:tcPr>
            <w:tcW w:w="191" w:type="dxa"/>
            <w:tcBorders/>
            <w:vAlign w:val="center"/>
          </w:tcPr>
          <w:p>
            <w:pPr>
              <w:pStyle w:val="TableContents"/>
              <w:bidi w:val="0"/>
              <w:spacing w:before="0" w:after="0"/>
              <w:ind w:left="0" w:right="0" w:hanging="0"/>
              <w:jc w:val="left"/>
              <w:rPr/>
            </w:pPr>
            <w:r>
              <w:rPr/>
              <w:t> </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Conversion Option of the 2022 Notes and Warrants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1,049</w:t>
            </w:r>
          </w:p>
        </w:tc>
        <w:tc>
          <w:tcPr>
            <w:tcW w:w="191" w:type="dxa"/>
            <w:tcBorders/>
            <w:vAlign w:val="center"/>
          </w:tcPr>
          <w:p>
            <w:pPr>
              <w:pStyle w:val="TableContents"/>
              <w:bidi w:val="0"/>
              <w:spacing w:before="0" w:after="0"/>
              <w:ind w:left="0" w:right="0" w:hanging="0"/>
              <w:jc w:val="left"/>
              <w:rPr/>
            </w:pPr>
            <w:r>
              <w:rPr/>
              <w:t> </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Conversion Option of the 2025 Notes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1,625</w:t>
            </w:r>
          </w:p>
        </w:tc>
        <w:tc>
          <w:tcPr>
            <w:tcW w:w="191" w:type="dxa"/>
            <w:tcBorders/>
            <w:vAlign w:val="center"/>
          </w:tcPr>
          <w:p>
            <w:pPr>
              <w:pStyle w:val="TableContents"/>
              <w:bidi w:val="0"/>
              <w:spacing w:before="0" w:after="0"/>
              <w:ind w:left="0" w:right="0" w:hanging="0"/>
              <w:jc w:val="left"/>
              <w:rPr/>
            </w:pPr>
            <w:r>
              <w:rPr/>
              <w:t> </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PSUs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ESPP</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00" w:after="0"/>
        <w:jc w:val="left"/>
        <w:rPr>
          <w:rFonts w:ascii="Times New Roman;serif" w:hAnsi="Times New Roman;serif"/>
          <w:b/>
          <w:sz w:val="20"/>
        </w:rPr>
      </w:pPr>
      <w:r>
        <w:rPr>
          <w:rFonts w:ascii="Times New Roman;serif" w:hAnsi="Times New Roman;serif"/>
          <w:b/>
          <w:sz w:val="20"/>
        </w:rPr>
        <w:t>4. Fair Value of Financial Instruments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Level 1 — Quoted prices in active markets for identical assets or liabilities.</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pStyle w:val="TextBody"/>
        <w:bidi w:val="0"/>
        <w:spacing w:before="200" w:after="0"/>
        <w:jc w:val="left"/>
        <w:rPr/>
      </w:pPr>
      <w:r>
        <w:rPr/>
        <w:t>•</w:t>
      </w:r>
    </w:p>
    <w:p>
      <w:pPr>
        <w:pStyle w:val="TextBody"/>
        <w:bidi w:val="0"/>
        <w:spacing w:before="200" w:after="283"/>
        <w:jc w:val="left"/>
        <w:rPr>
          <w:rFonts w:ascii="Times New Roman;serif" w:hAnsi="Times New Roman;serif"/>
          <w:b w:val="false"/>
          <w:sz w:val="20"/>
        </w:rPr>
      </w:pPr>
      <w:r>
        <w:rPr>
          <w:rFonts w:ascii="Times New Roman;serif" w:hAnsi="Times New Roman;serif"/>
          <w:b w:val="false"/>
          <w:sz w:val="20"/>
        </w:rPr>
        <w:t>Level 3 — Unobservable inputs to the valuation methodology that are significant to the measurement of fair value of assets or liabilities.</w:t>
      </w:r>
    </w:p>
    <w:p>
      <w:pPr>
        <w:pStyle w:val="TextBody"/>
        <w:bidi w:val="0"/>
        <w:spacing w:before="200" w:after="0"/>
        <w:jc w:val="left"/>
        <w:rPr>
          <w:rFonts w:ascii="Times New Roman" w:hAnsi="Times New Roman"/>
          <w:sz w:val="20"/>
        </w:rPr>
      </w:pPr>
      <w:r>
        <w:rPr>
          <w:rFonts w:ascii="Times New Roman;serif" w:hAnsi="Times New Roman;serif"/>
          <w:b w:val="false"/>
          <w:sz w:val="20"/>
        </w:rPr>
        <w:t>The following table details the fair value measurements within the fair value hierarchy of the Company’s financial assets and liabilities at June 30, 2023 and December 31, 2022:</w:t>
        <w:br/>
      </w:r>
      <w:r>
        <w:rPr>
          <w:rFonts w:ascii="Times New Roman" w:hAnsi="Times New Roman"/>
          <w:sz w:val="20"/>
        </w:rPr>
        <w:t> </w:t>
      </w:r>
    </w:p>
    <w:tbl>
      <w:tblPr>
        <w:tblW w:w="8260" w:type="dxa"/>
        <w:jc w:val="left"/>
        <w:tblInd w:w="0" w:type="dxa"/>
        <w:tblLayout w:type="fixed"/>
        <w:tblCellMar>
          <w:top w:w="28" w:type="dxa"/>
          <w:left w:w="28" w:type="dxa"/>
          <w:bottom w:w="28" w:type="dxa"/>
          <w:right w:w="28" w:type="dxa"/>
        </w:tblCellMar>
      </w:tblPr>
      <w:tblGrid>
        <w:gridCol w:w="2941"/>
        <w:gridCol w:w="146"/>
        <w:gridCol w:w="211"/>
        <w:gridCol w:w="781"/>
        <w:gridCol w:w="146"/>
        <w:gridCol w:w="146"/>
        <w:gridCol w:w="211"/>
        <w:gridCol w:w="931"/>
        <w:gridCol w:w="146"/>
        <w:gridCol w:w="146"/>
        <w:gridCol w:w="239"/>
        <w:gridCol w:w="391"/>
        <w:gridCol w:w="146"/>
        <w:gridCol w:w="146"/>
        <w:gridCol w:w="211"/>
        <w:gridCol w:w="931"/>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782"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782"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vAlign w:val="center"/>
          </w:tcPr>
          <w:p>
            <w:pPr>
              <w:pStyle w:val="TableContents"/>
              <w:bidi w:val="0"/>
              <w:spacing w:before="0" w:after="0"/>
              <w:ind w:left="0" w:right="0" w:hanging="0"/>
              <w:jc w:val="center"/>
              <w:rPr/>
            </w:pPr>
            <w:r>
              <w:rPr/>
              <w:t> </w:t>
            </w:r>
          </w:p>
        </w:tc>
      </w:tr>
      <w:tr>
        <w:trPr/>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equivalents and investments:</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167,858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167,858</w:t>
            </w:r>
          </w:p>
        </w:tc>
        <w:tc>
          <w:tcPr>
            <w:tcW w:w="391" w:type="dxa"/>
            <w:tcBorders/>
            <w:vAlign w:val="center"/>
          </w:tcPr>
          <w:p>
            <w:pPr>
              <w:pStyle w:val="TableContents"/>
              <w:bidi w:val="0"/>
              <w:spacing w:before="0" w:after="0"/>
              <w:ind w:left="0" w:right="0" w:firstLine="200"/>
              <w:jc w:val="left"/>
              <w:rPr/>
            </w:pPr>
            <w:r>
              <w:rPr/>
              <w:t> </w:t>
            </w:r>
          </w:p>
        </w:tc>
      </w:tr>
      <w:tr>
        <w:trPr/>
        <w:tc>
          <w:tcPr>
            <w:tcW w:w="2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19,777</w:t>
            </w:r>
          </w:p>
        </w:tc>
        <w:tc>
          <w:tcPr>
            <w:tcW w:w="391" w:type="dxa"/>
            <w:tcBorders/>
            <w:vAlign w:val="center"/>
          </w:tcPr>
          <w:p>
            <w:pPr>
              <w:pStyle w:val="TableContents"/>
              <w:bidi w:val="0"/>
              <w:spacing w:before="0" w:after="0"/>
              <w:ind w:left="0" w:right="0" w:firstLine="200"/>
              <w:jc w:val="left"/>
              <w:rPr/>
            </w:pPr>
            <w:r>
              <w:rPr/>
              <w:t> </w:t>
            </w:r>
          </w:p>
        </w:tc>
      </w:tr>
      <w:tr>
        <w:trPr/>
        <w:tc>
          <w:tcPr>
            <w:tcW w:w="2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225,935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225,935</w:t>
            </w:r>
          </w:p>
        </w:tc>
        <w:tc>
          <w:tcPr>
            <w:tcW w:w="391" w:type="dxa"/>
            <w:tcBorders/>
            <w:vAlign w:val="center"/>
          </w:tcPr>
          <w:p>
            <w:pPr>
              <w:pStyle w:val="TableContents"/>
              <w:bidi w:val="0"/>
              <w:spacing w:before="0" w:after="0"/>
              <w:ind w:left="0" w:right="0" w:firstLine="200"/>
              <w:jc w:val="left"/>
              <w:rPr/>
            </w:pPr>
            <w:r>
              <w:rPr/>
              <w:t> </w:t>
            </w:r>
          </w:p>
        </w:tc>
      </w:tr>
      <w:tr>
        <w:trPr/>
        <w:tc>
          <w:tcPr>
            <w:tcW w:w="2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Government agency securities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80,842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80,842</w:t>
            </w:r>
          </w:p>
        </w:tc>
        <w:tc>
          <w:tcPr>
            <w:tcW w:w="391" w:type="dxa"/>
            <w:tcBorders/>
            <w:vAlign w:val="center"/>
          </w:tcPr>
          <w:p>
            <w:pPr>
              <w:pStyle w:val="TableContents"/>
              <w:bidi w:val="0"/>
              <w:spacing w:before="0" w:after="0"/>
              <w:ind w:left="0" w:right="0" w:firstLine="200"/>
              <w:jc w:val="left"/>
              <w:rPr/>
            </w:pPr>
            <w:r>
              <w:rPr/>
              <w:t> </w:t>
            </w:r>
          </w:p>
        </w:tc>
      </w:tr>
      <w:tr>
        <w:trPr/>
        <w:tc>
          <w:tcPr>
            <w:tcW w:w="2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892,611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892,611</w:t>
            </w:r>
          </w:p>
        </w:tc>
        <w:tc>
          <w:tcPr>
            <w:tcW w:w="391" w:type="dxa"/>
            <w:tcBorders/>
            <w:vAlign w:val="center"/>
          </w:tcPr>
          <w:p>
            <w:pPr>
              <w:pStyle w:val="TableContents"/>
              <w:bidi w:val="0"/>
              <w:spacing w:before="0" w:after="0"/>
              <w:ind w:left="0" w:right="0" w:hanging="0"/>
              <w:jc w:val="left"/>
              <w:rPr/>
            </w:pPr>
            <w:r>
              <w:rPr/>
              <w:t> </w:t>
            </w:r>
          </w:p>
        </w:tc>
      </w:tr>
      <w:tr>
        <w:trPr/>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167,858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1,222,318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1,390,176</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pPr>
      <w:r>
        <w:rPr/>
        <w:t> </w:t>
      </w:r>
    </w:p>
    <w:tbl>
      <w:tblPr>
        <w:tblW w:w="8155" w:type="dxa"/>
        <w:jc w:val="left"/>
        <w:tblInd w:w="0" w:type="dxa"/>
        <w:tblLayout w:type="fixed"/>
        <w:tblCellMar>
          <w:top w:w="28" w:type="dxa"/>
          <w:left w:w="28" w:type="dxa"/>
          <w:bottom w:w="28" w:type="dxa"/>
          <w:right w:w="28" w:type="dxa"/>
        </w:tblCellMar>
      </w:tblPr>
      <w:tblGrid>
        <w:gridCol w:w="2941"/>
        <w:gridCol w:w="146"/>
        <w:gridCol w:w="211"/>
        <w:gridCol w:w="676"/>
        <w:gridCol w:w="146"/>
        <w:gridCol w:w="146"/>
        <w:gridCol w:w="211"/>
        <w:gridCol w:w="931"/>
        <w:gridCol w:w="146"/>
        <w:gridCol w:w="146"/>
        <w:gridCol w:w="239"/>
        <w:gridCol w:w="391"/>
        <w:gridCol w:w="146"/>
        <w:gridCol w:w="146"/>
        <w:gridCol w:w="211"/>
        <w:gridCol w:w="931"/>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77"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77"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vAlign w:val="center"/>
          </w:tcPr>
          <w:p>
            <w:pPr>
              <w:pStyle w:val="TableContents"/>
              <w:bidi w:val="0"/>
              <w:spacing w:before="0" w:after="0"/>
              <w:ind w:left="0" w:right="0" w:hanging="0"/>
              <w:jc w:val="center"/>
              <w:rPr/>
            </w:pPr>
            <w:r>
              <w:rPr/>
              <w:t> </w:t>
            </w:r>
          </w:p>
        </w:tc>
      </w:tr>
      <w:tr>
        <w:trPr/>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equivalents and investments:</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11,518</w:t>
            </w:r>
          </w:p>
        </w:tc>
        <w:tc>
          <w:tcPr>
            <w:tcW w:w="391" w:type="dxa"/>
            <w:tcBorders/>
            <w:vAlign w:val="center"/>
          </w:tcPr>
          <w:p>
            <w:pPr>
              <w:pStyle w:val="TableContents"/>
              <w:bidi w:val="0"/>
              <w:spacing w:before="0" w:after="0"/>
              <w:ind w:left="0" w:right="0" w:firstLine="200"/>
              <w:jc w:val="left"/>
              <w:rPr/>
            </w:pPr>
            <w:r>
              <w:rPr/>
              <w:t> </w:t>
            </w:r>
          </w:p>
        </w:tc>
      </w:tr>
      <w:tr>
        <w:trPr/>
        <w:tc>
          <w:tcPr>
            <w:tcW w:w="2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16,036</w:t>
            </w:r>
          </w:p>
        </w:tc>
        <w:tc>
          <w:tcPr>
            <w:tcW w:w="391" w:type="dxa"/>
            <w:tcBorders/>
            <w:vAlign w:val="center"/>
          </w:tcPr>
          <w:p>
            <w:pPr>
              <w:pStyle w:val="TableContents"/>
              <w:bidi w:val="0"/>
              <w:spacing w:before="0" w:after="0"/>
              <w:ind w:left="0" w:right="0" w:firstLine="200"/>
              <w:jc w:val="left"/>
              <w:rPr/>
            </w:pPr>
            <w:r>
              <w:rPr/>
              <w:t> </w:t>
            </w:r>
          </w:p>
        </w:tc>
      </w:tr>
      <w:tr>
        <w:trPr/>
        <w:tc>
          <w:tcPr>
            <w:tcW w:w="2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261,918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261,918</w:t>
            </w:r>
          </w:p>
        </w:tc>
        <w:tc>
          <w:tcPr>
            <w:tcW w:w="391" w:type="dxa"/>
            <w:tcBorders/>
            <w:vAlign w:val="center"/>
          </w:tcPr>
          <w:p>
            <w:pPr>
              <w:pStyle w:val="TableContents"/>
              <w:bidi w:val="0"/>
              <w:spacing w:before="0" w:after="0"/>
              <w:ind w:left="0" w:right="0" w:firstLine="200"/>
              <w:jc w:val="left"/>
              <w:rPr/>
            </w:pPr>
            <w:r>
              <w:rPr/>
              <w:t> </w:t>
            </w:r>
          </w:p>
        </w:tc>
      </w:tr>
      <w:tr>
        <w:trPr/>
        <w:tc>
          <w:tcPr>
            <w:tcW w:w="2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Government agency securities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39,965</w:t>
            </w:r>
          </w:p>
        </w:tc>
        <w:tc>
          <w:tcPr>
            <w:tcW w:w="391" w:type="dxa"/>
            <w:tcBorders/>
            <w:vAlign w:val="center"/>
          </w:tcPr>
          <w:p>
            <w:pPr>
              <w:pStyle w:val="TableContents"/>
              <w:bidi w:val="0"/>
              <w:spacing w:before="0" w:after="0"/>
              <w:ind w:left="0" w:right="0" w:firstLine="200"/>
              <w:jc w:val="left"/>
              <w:rPr/>
            </w:pPr>
            <w:r>
              <w:rPr/>
              <w:t> </w:t>
            </w:r>
          </w:p>
        </w:tc>
      </w:tr>
      <w:tr>
        <w:trPr/>
        <w:tc>
          <w:tcPr>
            <w:tcW w:w="2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876,534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876,534</w:t>
            </w:r>
          </w:p>
        </w:tc>
        <w:tc>
          <w:tcPr>
            <w:tcW w:w="391" w:type="dxa"/>
            <w:tcBorders/>
            <w:vAlign w:val="center"/>
          </w:tcPr>
          <w:p>
            <w:pPr>
              <w:pStyle w:val="TableContents"/>
              <w:bidi w:val="0"/>
              <w:spacing w:before="0" w:after="0"/>
              <w:ind w:left="0" w:right="0" w:hanging="0"/>
              <w:jc w:val="left"/>
              <w:rPr/>
            </w:pPr>
            <w:r>
              <w:rPr/>
              <w:t> </w:t>
            </w:r>
          </w:p>
        </w:tc>
      </w:tr>
      <w:tr>
        <w:trPr/>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1,197,606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1,209,124</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left"/>
        <w:rPr>
          <w:rFonts w:ascii="Times New Roman" w:hAnsi="Times New Roman"/>
          <w:sz w:val="20"/>
        </w:rPr>
      </w:pPr>
      <w:r>
        <w:rPr>
          <w:rFonts w:ascii="Times New Roman;serif" w:hAnsi="Times New Roman;serif"/>
          <w:b w:val="false"/>
          <w:sz w:val="20"/>
        </w:rPr>
        <w:t>The Company considers all highly liquid investments purchased with an original maturity of three months or less to be cash equivalents. The fair value of the Company’s investments in certain money market funds is their face value and such instruments are classified as Level 1 and are included in cash and cash equivalents on the consolidated balance sheets. At June 30, 2023 and December 31, 2022, Level 2 securities were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As of June 30, 2023, the fair value of the 2025 Notes was $860.1</w:t>
      </w:r>
      <w:r>
        <w:rPr>
          <w:rFonts w:ascii="Times New Roman" w:hAnsi="Times New Roman"/>
          <w:sz w:val="20"/>
        </w:rPr>
        <w:t xml:space="preserve"> </w:t>
      </w:r>
      <w:r>
        <w:rPr>
          <w:rFonts w:ascii="Times New Roman;serif" w:hAnsi="Times New Roman;serif"/>
          <w:b w:val="false"/>
          <w:sz w:val="20"/>
        </w:rPr>
        <w:t>million. The fair value was determined based on the quoted price of the 2025 Notes in an inactive market on the last trading day of the reporting period and has been classified as Level 2 within the fair value hierarchy.</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For certain other financial instruments, including accounts receivable, accounts payable, and other current liabilities, the carrying amounts approximate their fair value due to the relatively short maturity of these balances.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Restricted cash is comprised of money market funds related to landlord guarantees for leased facilities. These restricted cash balances have been excluded from our cash and cash equivalents balance on our consolidated balance sheets.</w:t>
      </w:r>
    </w:p>
    <w:p>
      <w:pPr>
        <w:pStyle w:val="TextBody"/>
        <w:bidi w:val="0"/>
        <w:spacing w:before="200" w:after="0"/>
        <w:jc w:val="left"/>
        <w:rPr>
          <w:rFonts w:ascii="Times New Roman" w:hAnsi="Times New Roman"/>
          <w:sz w:val="20"/>
        </w:rPr>
      </w:pPr>
      <w:r>
        <w:rPr>
          <w:rFonts w:ascii="Times New Roman;serif" w:hAnsi="Times New Roman;serif"/>
          <w:b w:val="false"/>
          <w:sz w:val="20"/>
        </w:rPr>
        <w:t>Strategic investments consist of non-controlling equity and debt investments in privately held companies. The Company elected the measurement alternative for these investments without readily determinable fair values and for which the Company does not have the ability to exercise significant influence. These investments are accounted for under the cost method of accounting. Under the cost method of accounting, the non-marketable equity securities are carried at cost less any impairment, plus or minus adjustments resulting from observable price changes in orderly transactions for the identical or a similar investment of the same issuer, which is recorded within the statement of operations. The Company holds $49.3</w:t>
      </w:r>
      <w:r>
        <w:rPr>
          <w:rFonts w:ascii="Times New Roman" w:hAnsi="Times New Roman"/>
          <w:sz w:val="20"/>
        </w:rPr>
        <w:t xml:space="preserve"> </w:t>
      </w:r>
      <w:r>
        <w:rPr>
          <w:rFonts w:ascii="Times New Roman;serif" w:hAnsi="Times New Roman;serif"/>
          <w:b w:val="false"/>
          <w:sz w:val="20"/>
        </w:rPr>
        <w:t>million of strategic investments without readily determinable fair values at June 30, 2023 and $43.6</w:t>
      </w:r>
      <w:r>
        <w:rPr>
          <w:rFonts w:ascii="Times New Roman" w:hAnsi="Times New Roman"/>
          <w:sz w:val="20"/>
        </w:rPr>
        <w:t xml:space="preserve"> </w:t>
      </w:r>
      <w:r>
        <w:rPr>
          <w:rFonts w:ascii="Times New Roman;serif" w:hAnsi="Times New Roman;serif"/>
          <w:b w:val="false"/>
          <w:sz w:val="20"/>
        </w:rPr>
        <w:t>million of strategic investments without readily determinable fair values at December 31, 2022. These investments are included in other assets on the consolidated balance sheets.</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During the six months ended June 30, 2022, an acquisition of an entity in which the Company held a strategic investment was completed, which resulted in an observable price change. In the first quarter of 2022, the Company adjusted the fair value of its investment and recognized a gain of $4.2</w:t>
      </w:r>
      <w:r>
        <w:rPr>
          <w:rFonts w:ascii="Times New Roman" w:hAnsi="Times New Roman"/>
          <w:sz w:val="20"/>
        </w:rPr>
        <w:t xml:space="preserve"> </w:t>
      </w:r>
      <w:r>
        <w:rPr>
          <w:rFonts w:ascii="Times New Roman;serif" w:hAnsi="Times New Roman;serif"/>
          <w:b w:val="false"/>
          <w:sz w:val="20"/>
        </w:rPr>
        <w:t>million reported in the consolidated statements of operations as other (expense) income. There were no other material adjustments to the carrying value of the strategic investments resulting from impairments or observable price changes in the three and six months ended June 30, 2023 and 2022.</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The following tables summarize the composition of our short- and long-term investments at June 30, 2023 and December 31, 2022.</w:t>
      </w:r>
      <w:r>
        <w:rPr>
          <w:rFonts w:ascii="Times New Roman" w:hAnsi="Times New Roman"/>
          <w:sz w:val="20"/>
        </w:rPr>
        <w:t xml:space="preserve"> </w:t>
      </w:r>
    </w:p>
    <w:tbl>
      <w:tblPr>
        <w:tblW w:w="8430" w:type="dxa"/>
        <w:jc w:val="left"/>
        <w:tblInd w:w="0" w:type="dxa"/>
        <w:tblLayout w:type="fixed"/>
        <w:tblCellMar>
          <w:top w:w="28" w:type="dxa"/>
          <w:left w:w="28" w:type="dxa"/>
          <w:bottom w:w="28" w:type="dxa"/>
          <w:right w:w="28" w:type="dxa"/>
        </w:tblCellMar>
      </w:tblPr>
      <w:tblGrid>
        <w:gridCol w:w="2941"/>
        <w:gridCol w:w="146"/>
        <w:gridCol w:w="211"/>
        <w:gridCol w:w="931"/>
        <w:gridCol w:w="146"/>
        <w:gridCol w:w="146"/>
        <w:gridCol w:w="335"/>
        <w:gridCol w:w="551"/>
        <w:gridCol w:w="146"/>
        <w:gridCol w:w="146"/>
        <w:gridCol w:w="222"/>
        <w:gridCol w:w="664"/>
        <w:gridCol w:w="166"/>
        <w:gridCol w:w="146"/>
        <w:gridCol w:w="211"/>
        <w:gridCol w:w="931"/>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952"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w:t>
              <w:b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w:t>
              <w:br/>
              <w:t>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w:t>
              <w:br/>
              <w:t>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w:t>
              <w:br/>
              <w:t>Fair Value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952"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vAlign w:val="center"/>
          </w:tcPr>
          <w:p>
            <w:pPr>
              <w:pStyle w:val="TableContents"/>
              <w:bidi w:val="0"/>
              <w:spacing w:before="0" w:after="0"/>
              <w:ind w:left="0" w:right="0" w:hanging="0"/>
              <w:jc w:val="center"/>
              <w:rPr/>
            </w:pPr>
            <w:r>
              <w:rPr/>
              <w:t> </w:t>
            </w:r>
          </w:p>
        </w:tc>
      </w:tr>
      <w:tr>
        <w:trPr/>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18,784</w:t>
            </w:r>
          </w:p>
        </w:tc>
        <w:tc>
          <w:tcPr>
            <w:tcW w:w="391" w:type="dxa"/>
            <w:tcBorders/>
            <w:vAlign w:val="center"/>
          </w:tcPr>
          <w:p>
            <w:pPr>
              <w:pStyle w:val="TableContents"/>
              <w:bidi w:val="0"/>
              <w:spacing w:before="0" w:after="0"/>
              <w:ind w:left="0" w:right="0" w:hanging="0"/>
              <w:jc w:val="left"/>
              <w:rPr/>
            </w:pPr>
            <w:r>
              <w:rPr/>
              <w:t> </w:t>
            </w:r>
          </w:p>
        </w:tc>
      </w:tr>
      <w:tr>
        <w:trPr/>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228,647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225,935</w:t>
            </w:r>
          </w:p>
        </w:tc>
        <w:tc>
          <w:tcPr>
            <w:tcW w:w="391" w:type="dxa"/>
            <w:tcBorders/>
            <w:vAlign w:val="center"/>
          </w:tcPr>
          <w:p>
            <w:pPr>
              <w:pStyle w:val="TableContents"/>
              <w:bidi w:val="0"/>
              <w:spacing w:before="0" w:after="0"/>
              <w:ind w:left="0" w:right="0" w:hanging="0"/>
              <w:jc w:val="left"/>
              <w:rPr/>
            </w:pPr>
            <w:r>
              <w:rPr/>
              <w:t> </w:t>
            </w:r>
          </w:p>
        </w:tc>
      </w:tr>
      <w:tr>
        <w:trPr/>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agency securities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81,937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80,842</w:t>
            </w:r>
          </w:p>
        </w:tc>
        <w:tc>
          <w:tcPr>
            <w:tcW w:w="391" w:type="dxa"/>
            <w:tcBorders/>
            <w:vAlign w:val="center"/>
          </w:tcPr>
          <w:p>
            <w:pPr>
              <w:pStyle w:val="TableContents"/>
              <w:bidi w:val="0"/>
              <w:spacing w:before="0" w:after="0"/>
              <w:ind w:left="0" w:right="0" w:hanging="0"/>
              <w:jc w:val="left"/>
              <w:rPr/>
            </w:pPr>
            <w:r>
              <w:rPr/>
              <w:t> </w:t>
            </w:r>
          </w:p>
        </w:tc>
      </w:tr>
      <w:tr>
        <w:trPr/>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895,120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892,611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94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2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1,224,488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(6,328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1,218,172</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pPr>
      <w:r>
        <w:rPr/>
        <w:t> </w:t>
      </w:r>
    </w:p>
    <w:tbl>
      <w:tblPr>
        <w:tblW w:w="8430" w:type="dxa"/>
        <w:jc w:val="left"/>
        <w:tblInd w:w="0" w:type="dxa"/>
        <w:tblLayout w:type="fixed"/>
        <w:tblCellMar>
          <w:top w:w="28" w:type="dxa"/>
          <w:left w:w="28" w:type="dxa"/>
          <w:bottom w:w="28" w:type="dxa"/>
          <w:right w:w="28" w:type="dxa"/>
        </w:tblCellMar>
      </w:tblPr>
      <w:tblGrid>
        <w:gridCol w:w="2941"/>
        <w:gridCol w:w="146"/>
        <w:gridCol w:w="211"/>
        <w:gridCol w:w="931"/>
        <w:gridCol w:w="146"/>
        <w:gridCol w:w="146"/>
        <w:gridCol w:w="335"/>
        <w:gridCol w:w="551"/>
        <w:gridCol w:w="146"/>
        <w:gridCol w:w="146"/>
        <w:gridCol w:w="222"/>
        <w:gridCol w:w="664"/>
        <w:gridCol w:w="166"/>
        <w:gridCol w:w="146"/>
        <w:gridCol w:w="211"/>
        <w:gridCol w:w="931"/>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952"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w:t>
              <w:b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w:t>
              <w:br/>
              <w:t>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w:t>
              <w:br/>
              <w:t>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w:t>
              <w:br/>
              <w:t>Fair Value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952"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vAlign w:val="center"/>
          </w:tcPr>
          <w:p>
            <w:pPr>
              <w:pStyle w:val="TableContents"/>
              <w:bidi w:val="0"/>
              <w:spacing w:before="0" w:after="0"/>
              <w:ind w:left="0" w:right="0" w:hanging="0"/>
              <w:jc w:val="center"/>
              <w:rPr/>
            </w:pPr>
            <w:r>
              <w:rPr/>
              <w:t> </w:t>
            </w:r>
          </w:p>
        </w:tc>
      </w:tr>
      <w:tr>
        <w:trPr/>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16,036</w:t>
            </w:r>
          </w:p>
        </w:tc>
        <w:tc>
          <w:tcPr>
            <w:tcW w:w="391" w:type="dxa"/>
            <w:tcBorders/>
            <w:vAlign w:val="center"/>
          </w:tcPr>
          <w:p>
            <w:pPr>
              <w:pStyle w:val="TableContents"/>
              <w:bidi w:val="0"/>
              <w:spacing w:before="0" w:after="0"/>
              <w:ind w:left="0" w:right="0" w:hanging="0"/>
              <w:jc w:val="left"/>
              <w:rPr/>
            </w:pPr>
            <w:r>
              <w:rPr/>
              <w:t> </w:t>
            </w:r>
          </w:p>
        </w:tc>
      </w:tr>
      <w:tr>
        <w:trPr/>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265,875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261,918</w:t>
            </w:r>
          </w:p>
        </w:tc>
        <w:tc>
          <w:tcPr>
            <w:tcW w:w="391" w:type="dxa"/>
            <w:tcBorders/>
            <w:vAlign w:val="center"/>
          </w:tcPr>
          <w:p>
            <w:pPr>
              <w:pStyle w:val="TableContents"/>
              <w:bidi w:val="0"/>
              <w:spacing w:before="0" w:after="0"/>
              <w:ind w:left="0" w:right="0" w:hanging="0"/>
              <w:jc w:val="left"/>
              <w:rPr/>
            </w:pPr>
            <w:r>
              <w:rPr/>
              <w:t> </w:t>
            </w:r>
          </w:p>
        </w:tc>
      </w:tr>
      <w:tr>
        <w:trPr/>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agency securities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40,908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39,965</w:t>
            </w:r>
          </w:p>
        </w:tc>
        <w:tc>
          <w:tcPr>
            <w:tcW w:w="391" w:type="dxa"/>
            <w:tcBorders/>
            <w:vAlign w:val="center"/>
          </w:tcPr>
          <w:p>
            <w:pPr>
              <w:pStyle w:val="TableContents"/>
              <w:bidi w:val="0"/>
              <w:spacing w:before="0" w:after="0"/>
              <w:ind w:left="0" w:right="0" w:hanging="0"/>
              <w:jc w:val="left"/>
              <w:rPr/>
            </w:pPr>
            <w:r>
              <w:rPr/>
              <w:t> </w:t>
            </w:r>
          </w:p>
        </w:tc>
      </w:tr>
      <w:tr>
        <w:trPr/>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881,428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876,534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94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2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1,204,247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(9,818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1,194,453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For all of our securities for which the amortized cost basis was greater than the fair value at June 30, 2023, the Company has concluded that there is no plan to sell the security nor is it more likely than not that the Company would be required to sell the security before its anticipated recovery. In making the determination as to whether the unrealized loss is other-than-temporary, the Company considered the length of time and extent the investment has been in an unrealized loss position, the financial condition and near-term prospects of the issuers, the issuers’ credit rating and the time to maturity.</w:t>
      </w:r>
    </w:p>
    <w:p>
      <w:pPr>
        <w:pStyle w:val="TextBody"/>
        <w:bidi w:val="0"/>
        <w:spacing w:before="200" w:after="0"/>
        <w:jc w:val="left"/>
        <w:rPr>
          <w:rFonts w:ascii="Times New Roman;serif" w:hAnsi="Times New Roman;serif"/>
          <w:b/>
          <w:i/>
          <w:sz w:val="20"/>
        </w:rPr>
      </w:pPr>
      <w:r>
        <w:rPr>
          <w:rFonts w:ascii="Times New Roman;serif" w:hAnsi="Times New Roman;serif"/>
          <w:b/>
          <w:i/>
          <w:sz w:val="20"/>
        </w:rPr>
        <w:t>Contractual Maturities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contractual maturities of short-term and long-term investments held at June 30, 2023 and December 31, 2022 are as follows:</w:t>
      </w:r>
    </w:p>
    <w:tbl>
      <w:tblPr>
        <w:tblW w:w="8682" w:type="dxa"/>
        <w:jc w:val="left"/>
        <w:tblInd w:w="0" w:type="dxa"/>
        <w:tblLayout w:type="fixed"/>
        <w:tblCellMar>
          <w:top w:w="28" w:type="dxa"/>
          <w:left w:w="28" w:type="dxa"/>
          <w:bottom w:w="28" w:type="dxa"/>
          <w:right w:w="28" w:type="dxa"/>
        </w:tblCellMar>
      </w:tblPr>
      <w:tblGrid>
        <w:gridCol w:w="2701"/>
        <w:gridCol w:w="146"/>
        <w:gridCol w:w="211"/>
        <w:gridCol w:w="931"/>
        <w:gridCol w:w="146"/>
        <w:gridCol w:w="146"/>
        <w:gridCol w:w="211"/>
        <w:gridCol w:w="931"/>
        <w:gridCol w:w="146"/>
        <w:gridCol w:w="146"/>
        <w:gridCol w:w="211"/>
        <w:gridCol w:w="931"/>
        <w:gridCol w:w="146"/>
        <w:gridCol w:w="146"/>
        <w:gridCol w:w="211"/>
        <w:gridCol w:w="931"/>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5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w:t>
              <w:br/>
              <w:t>Cost Basis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w:t>
              <w:b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w:t>
              <w:br/>
              <w:t>Cost Basis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w:t>
              <w:br/>
              <w:t>Fair Value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7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Due within one year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1,076,641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1,071,927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1,089,250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1,081,662</w:t>
            </w:r>
          </w:p>
        </w:tc>
        <w:tc>
          <w:tcPr>
            <w:tcW w:w="3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Due after 1 year through 2 years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147,847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146,245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114,997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112,791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1,224,488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1,218,172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1,204,247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1,194,453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left"/>
        <w:rPr/>
      </w:pPr>
      <w:r>
        <w:rPr/>
        <w:t> </w:t>
      </w:r>
    </w:p>
    <w:p>
      <w:pPr>
        <w:pStyle w:val="TextBody"/>
        <w:bidi w:val="0"/>
        <w:spacing w:before="200" w:after="0"/>
        <w:jc w:val="left"/>
        <w:rPr/>
      </w:pPr>
      <w:r>
        <w:rPr/>
        <w:t> </w:t>
      </w:r>
    </w:p>
    <w:p>
      <w:pPr>
        <w:pStyle w:val="TextBody"/>
        <w:bidi w:val="0"/>
        <w:spacing w:before="200" w:after="0"/>
        <w:jc w:val="left"/>
        <w:rPr>
          <w:rFonts w:ascii="Times New Roman;serif" w:hAnsi="Times New Roman;serif"/>
          <w:b/>
          <w:sz w:val="20"/>
        </w:rPr>
      </w:pPr>
      <w:r>
        <w:rPr>
          <w:rFonts w:ascii="Times New Roman;serif" w:hAnsi="Times New Roman;serif"/>
          <w:b/>
          <w:sz w:val="20"/>
        </w:rPr>
        <w:t>5. Restricted cash</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following table provides a reconciliation of cash, cash equivalents, and restricted cash reported within the consolidated balance sheets that sum to the total of the same such amounts shown in the statement of cash flows for the three months ended June 30, 2023 and 2022.</w:t>
      </w:r>
    </w:p>
    <w:p>
      <w:pPr>
        <w:pStyle w:val="TextBody"/>
        <w:bidi w:val="0"/>
        <w:spacing w:before="0" w:after="0"/>
        <w:jc w:val="left"/>
        <w:rPr/>
      </w:pPr>
      <w:r>
        <w:rPr/>
        <w:t> </w:t>
      </w:r>
    </w:p>
    <w:tbl>
      <w:tblPr>
        <w:tblW w:w="9392" w:type="dxa"/>
        <w:jc w:val="left"/>
        <w:tblInd w:w="0" w:type="dxa"/>
        <w:tblLayout w:type="fixed"/>
        <w:tblCellMar>
          <w:top w:w="28" w:type="dxa"/>
          <w:left w:w="28" w:type="dxa"/>
          <w:bottom w:w="28" w:type="dxa"/>
          <w:right w:w="28" w:type="dxa"/>
        </w:tblCellMar>
      </w:tblPr>
      <w:tblGrid>
        <w:gridCol w:w="4621"/>
        <w:gridCol w:w="146"/>
        <w:gridCol w:w="239"/>
        <w:gridCol w:w="886"/>
        <w:gridCol w:w="146"/>
        <w:gridCol w:w="146"/>
        <w:gridCol w:w="239"/>
        <w:gridCol w:w="886"/>
        <w:gridCol w:w="146"/>
        <w:gridCol w:w="146"/>
        <w:gridCol w:w="319"/>
        <w:gridCol w:w="1181"/>
        <w:gridCol w:w="29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6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34" w:type="dxa"/>
            <w:gridSpan w:val="10"/>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91" w:type="dxa"/>
            <w:tcBorders/>
            <w:vAlign w:val="center"/>
          </w:tcPr>
          <w:p>
            <w:pPr>
              <w:pStyle w:val="TableContents"/>
              <w:bidi w:val="0"/>
              <w:spacing w:before="0" w:after="0"/>
              <w:ind w:left="0" w:right="0" w:hanging="0"/>
              <w:jc w:val="center"/>
              <w:rPr/>
            </w:pPr>
            <w:r>
              <w:rPr/>
              <w:t> </w:t>
            </w:r>
          </w:p>
        </w:tc>
      </w:tr>
      <w:tr>
        <w:trPr/>
        <w:tc>
          <w:tcPr>
            <w:tcW w:w="4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457,218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305,664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331,022</w:t>
            </w:r>
          </w:p>
        </w:tc>
        <w:tc>
          <w:tcPr>
            <w:tcW w:w="291" w:type="dxa"/>
            <w:tcBorders/>
            <w:vAlign w:val="center"/>
          </w:tcPr>
          <w:p>
            <w:pPr>
              <w:pStyle w:val="TableContents"/>
              <w:bidi w:val="0"/>
              <w:spacing w:before="0" w:after="0"/>
              <w:ind w:left="0" w:right="0" w:hanging="0"/>
              <w:jc w:val="left"/>
              <w:rPr/>
            </w:pPr>
            <w:r>
              <w:rPr/>
              <w:t> </w:t>
            </w:r>
          </w:p>
        </w:tc>
      </w:tr>
      <w:tr>
        <w:trPr/>
        <w:tc>
          <w:tcPr>
            <w:tcW w:w="46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Restricted cash, included in prepaid expenses</w:t>
            </w:r>
            <w:r>
              <w:rPr>
                <w:rFonts w:ascii="Times New Roman" w:hAnsi="Times New Roman"/>
                <w:sz w:val="20"/>
              </w:rPr>
              <w:t> </w:t>
            </w:r>
            <w:r>
              <w:rPr>
                <w:rFonts w:ascii="Times New Roman;serif" w:hAnsi="Times New Roman;serif"/>
                <w:b w:val="false"/>
                <w:sz w:val="20"/>
              </w:rPr>
              <w:t>and other</w:t>
              <w:br/>
              <w:t>   current assets and other assets</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3,153</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462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460,371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308,693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334,175</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serif" w:hAnsi="Times New Roman;serif"/>
          <w:b/>
          <w:sz w:val="20"/>
        </w:rPr>
      </w:pPr>
      <w:r>
        <w:rPr>
          <w:rFonts w:ascii="Times New Roman;serif" w:hAnsi="Times New Roman;serif"/>
          <w:b/>
          <w:sz w:val="20"/>
        </w:rPr>
        <w:t>6. Property and Equipment, Net</w:t>
      </w:r>
    </w:p>
    <w:p>
      <w:pPr>
        <w:pStyle w:val="TextBody"/>
        <w:bidi w:val="0"/>
        <w:spacing w:before="200" w:after="0"/>
        <w:jc w:val="left"/>
        <w:rPr>
          <w:rFonts w:ascii="Times New Roman" w:hAnsi="Times New Roman"/>
          <w:sz w:val="20"/>
        </w:rPr>
      </w:pPr>
      <w:r>
        <w:rPr>
          <w:rFonts w:ascii="Times New Roman;serif" w:hAnsi="Times New Roman;serif"/>
          <w:b w:val="false"/>
          <w:sz w:val="20"/>
        </w:rPr>
        <w:t>Property and equipment, net consists of the following:</w:t>
        <w:br/>
      </w:r>
      <w:r>
        <w:rPr>
          <w:rFonts w:ascii="Times New Roman" w:hAnsi="Times New Roman"/>
          <w:sz w:val="20"/>
        </w:rPr>
        <w:t> </w:t>
      </w:r>
    </w:p>
    <w:tbl>
      <w:tblPr>
        <w:tblW w:w="7275" w:type="dxa"/>
        <w:jc w:val="left"/>
        <w:tblInd w:w="0" w:type="dxa"/>
        <w:tblLayout w:type="fixed"/>
        <w:tblCellMar>
          <w:top w:w="28" w:type="dxa"/>
          <w:left w:w="28" w:type="dxa"/>
          <w:bottom w:w="28" w:type="dxa"/>
          <w:right w:w="28" w:type="dxa"/>
        </w:tblCellMar>
      </w:tblPr>
      <w:tblGrid>
        <w:gridCol w:w="3781"/>
        <w:gridCol w:w="146"/>
        <w:gridCol w:w="225"/>
        <w:gridCol w:w="900"/>
        <w:gridCol w:w="166"/>
        <w:gridCol w:w="146"/>
        <w:gridCol w:w="301"/>
        <w:gridCol w:w="1199"/>
        <w:gridCol w:w="41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7"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411" w:type="dxa"/>
            <w:tcBorders/>
            <w:vAlign w:val="center"/>
          </w:tcPr>
          <w:p>
            <w:pPr>
              <w:pStyle w:val="TableContents"/>
              <w:bidi w:val="0"/>
              <w:spacing w:before="0" w:after="0"/>
              <w:ind w:left="0" w:right="0" w:hanging="0"/>
              <w:jc w:val="center"/>
              <w:rPr/>
            </w:pPr>
            <w:r>
              <w:rPr/>
              <w:t> </w:t>
            </w:r>
          </w:p>
        </w:tc>
      </w:tr>
      <w:tr>
        <w:trPr/>
        <w:tc>
          <w:tcPr>
            <w:tcW w:w="37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equipment and purchased software</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17,710</w:t>
            </w:r>
          </w:p>
        </w:tc>
        <w:tc>
          <w:tcPr>
            <w:tcW w:w="411" w:type="dxa"/>
            <w:tcBorders/>
            <w:vAlign w:val="center"/>
          </w:tcPr>
          <w:p>
            <w:pPr>
              <w:pStyle w:val="TableContents"/>
              <w:bidi w:val="0"/>
              <w:spacing w:before="0" w:after="0"/>
              <w:ind w:left="0" w:right="0" w:hanging="0"/>
              <w:jc w:val="left"/>
              <w:rPr/>
            </w:pPr>
            <w:r>
              <w:rPr/>
              <w:t> </w:t>
            </w:r>
          </w:p>
        </w:tc>
      </w:tr>
      <w:tr>
        <w:trPr/>
        <w:tc>
          <w:tcPr>
            <w:tcW w:w="37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Employee related computer equipment</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1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46,399</w:t>
            </w:r>
          </w:p>
        </w:tc>
        <w:tc>
          <w:tcPr>
            <w:tcW w:w="411" w:type="dxa"/>
            <w:tcBorders/>
            <w:vAlign w:val="center"/>
          </w:tcPr>
          <w:p>
            <w:pPr>
              <w:pStyle w:val="TableContents"/>
              <w:bidi w:val="0"/>
              <w:spacing w:before="0" w:after="0"/>
              <w:ind w:left="0" w:right="0" w:hanging="0"/>
              <w:jc w:val="left"/>
              <w:rPr/>
            </w:pPr>
            <w:r>
              <w:rPr/>
              <w:t> </w:t>
            </w:r>
          </w:p>
        </w:tc>
      </w:tr>
      <w:tr>
        <w:trPr/>
        <w:tc>
          <w:tcPr>
            <w:tcW w:w="37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fixtures</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1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21,232</w:t>
            </w:r>
          </w:p>
        </w:tc>
        <w:tc>
          <w:tcPr>
            <w:tcW w:w="411" w:type="dxa"/>
            <w:tcBorders/>
            <w:vAlign w:val="center"/>
          </w:tcPr>
          <w:p>
            <w:pPr>
              <w:pStyle w:val="TableContents"/>
              <w:bidi w:val="0"/>
              <w:spacing w:before="0" w:after="0"/>
              <w:ind w:left="0" w:right="0" w:hanging="0"/>
              <w:jc w:val="left"/>
              <w:rPr/>
            </w:pPr>
            <w:r>
              <w:rPr/>
              <w:t> </w:t>
            </w:r>
          </w:p>
        </w:tc>
      </w:tr>
      <w:tr>
        <w:trPr/>
        <w:tc>
          <w:tcPr>
            <w:tcW w:w="37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103,979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1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98,427</w:t>
            </w:r>
          </w:p>
        </w:tc>
        <w:tc>
          <w:tcPr>
            <w:tcW w:w="411" w:type="dxa"/>
            <w:tcBorders/>
            <w:vAlign w:val="center"/>
          </w:tcPr>
          <w:p>
            <w:pPr>
              <w:pStyle w:val="TableContents"/>
              <w:bidi w:val="0"/>
              <w:spacing w:before="0" w:after="0"/>
              <w:ind w:left="0" w:right="0" w:hanging="0"/>
              <w:jc w:val="left"/>
              <w:rPr/>
            </w:pPr>
            <w:r>
              <w:rPr/>
              <w:t> </w:t>
            </w:r>
          </w:p>
        </w:tc>
      </w:tr>
      <w:tr>
        <w:trPr/>
        <w:tc>
          <w:tcPr>
            <w:tcW w:w="37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Internal-use software</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1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32,205</w:t>
            </w:r>
          </w:p>
        </w:tc>
        <w:tc>
          <w:tcPr>
            <w:tcW w:w="411" w:type="dxa"/>
            <w:tcBorders/>
            <w:vAlign w:val="center"/>
          </w:tcPr>
          <w:p>
            <w:pPr>
              <w:pStyle w:val="TableContents"/>
              <w:bidi w:val="0"/>
              <w:spacing w:before="0" w:after="0"/>
              <w:ind w:left="0" w:right="0" w:hanging="0"/>
              <w:jc w:val="left"/>
              <w:rPr/>
            </w:pPr>
            <w:r>
              <w:rPr/>
              <w:t> </w:t>
            </w:r>
          </w:p>
        </w:tc>
      </w:tr>
      <w:tr>
        <w:trPr/>
        <w:tc>
          <w:tcPr>
            <w:tcW w:w="37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Construction in progress</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1,699</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7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property and equipment</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235,562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1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217,672</w:t>
            </w:r>
          </w:p>
        </w:tc>
        <w:tc>
          <w:tcPr>
            <w:tcW w:w="411" w:type="dxa"/>
            <w:tcBorders/>
            <w:vAlign w:val="center"/>
          </w:tcPr>
          <w:p>
            <w:pPr>
              <w:pStyle w:val="TableContents"/>
              <w:bidi w:val="0"/>
              <w:spacing w:before="0" w:after="0"/>
              <w:ind w:left="0" w:right="0" w:hanging="0"/>
              <w:jc w:val="left"/>
              <w:rPr/>
            </w:pPr>
            <w:r>
              <w:rPr/>
              <w:t> </w:t>
            </w:r>
          </w:p>
        </w:tc>
      </w:tr>
      <w:tr>
        <w:trPr/>
        <w:tc>
          <w:tcPr>
            <w:tcW w:w="37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(131,335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(112,445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7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104,227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105,227</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left"/>
        <w:rPr>
          <w:rFonts w:ascii="Times New Roman" w:hAnsi="Times New Roman"/>
          <w:sz w:val="20"/>
        </w:rPr>
      </w:pPr>
      <w:r>
        <w:rPr>
          <w:rFonts w:ascii="Times New Roman;serif" w:hAnsi="Times New Roman;serif"/>
          <w:b w:val="false"/>
          <w:sz w:val="20"/>
        </w:rPr>
        <w:t>Depreciation and amortization expense on property and equipment was $6.7</w:t>
      </w:r>
      <w:r>
        <w:rPr>
          <w:rFonts w:ascii="Times New Roman" w:hAnsi="Times New Roman"/>
          <w:sz w:val="20"/>
        </w:rPr>
        <w:t xml:space="preserve"> </w:t>
      </w:r>
      <w:r>
        <w:rPr>
          <w:rFonts w:ascii="Times New Roman;serif" w:hAnsi="Times New Roman;serif"/>
          <w:b w:val="false"/>
          <w:sz w:val="20"/>
        </w:rPr>
        <w:t>million for the three months ended June 30, 2023, $14.1</w:t>
      </w:r>
      <w:r>
        <w:rPr>
          <w:rFonts w:ascii="Times New Roman" w:hAnsi="Times New Roman"/>
          <w:sz w:val="20"/>
        </w:rPr>
        <w:t xml:space="preserve"> </w:t>
      </w:r>
      <w:r>
        <w:rPr>
          <w:rFonts w:ascii="Times New Roman;serif" w:hAnsi="Times New Roman;serif"/>
          <w:b w:val="false"/>
          <w:sz w:val="20"/>
        </w:rPr>
        <w:t>million for the six months ended June 30, 2023, $6.9</w:t>
      </w:r>
      <w:r>
        <w:rPr>
          <w:rFonts w:ascii="Times New Roman" w:hAnsi="Times New Roman"/>
          <w:sz w:val="20"/>
        </w:rPr>
        <w:t xml:space="preserve"> </w:t>
      </w:r>
      <w:r>
        <w:rPr>
          <w:rFonts w:ascii="Times New Roman;serif" w:hAnsi="Times New Roman;serif"/>
          <w:b w:val="false"/>
          <w:sz w:val="20"/>
        </w:rPr>
        <w:t>million for the three months ended June 30, 2022, and $13.2</w:t>
      </w:r>
      <w:r>
        <w:rPr>
          <w:rFonts w:ascii="Times New Roman" w:hAnsi="Times New Roman"/>
          <w:sz w:val="20"/>
        </w:rPr>
        <w:t xml:space="preserve"> </w:t>
      </w:r>
      <w:r>
        <w:rPr>
          <w:rFonts w:ascii="Times New Roman;serif" w:hAnsi="Times New Roman;serif"/>
          <w:b w:val="false"/>
          <w:sz w:val="20"/>
        </w:rPr>
        <w:t>million for the six months ended June 30, 2022.</w:t>
      </w:r>
    </w:p>
    <w:p>
      <w:pPr>
        <w:pStyle w:val="TextBody"/>
        <w:bidi w:val="0"/>
        <w:spacing w:before="200" w:after="0"/>
        <w:jc w:val="left"/>
        <w:rPr>
          <w:rFonts w:ascii="Times New Roman" w:hAnsi="Times New Roman"/>
          <w:sz w:val="20"/>
        </w:rPr>
      </w:pPr>
      <w:r>
        <w:rPr>
          <w:rFonts w:ascii="Times New Roman;serif" w:hAnsi="Times New Roman;serif"/>
          <w:b w:val="false"/>
          <w:sz w:val="20"/>
        </w:rPr>
        <w:t>As part of the Restructuring Plan (defined in Note 15), the Company disposed of $0.5</w:t>
      </w:r>
      <w:r>
        <w:rPr>
          <w:rFonts w:ascii="Times New Roman" w:hAnsi="Times New Roman"/>
          <w:sz w:val="20"/>
        </w:rPr>
        <w:t xml:space="preserve"> </w:t>
      </w:r>
      <w:r>
        <w:rPr>
          <w:rFonts w:ascii="Times New Roman;serif" w:hAnsi="Times New Roman;serif"/>
          <w:b w:val="false"/>
          <w:sz w:val="20"/>
        </w:rPr>
        <w:t>million of fixed assets, net, in the three months ended June 30, 2023</w:t>
      </w:r>
      <w:r>
        <w:rPr>
          <w:rFonts w:ascii="Times New Roman" w:hAnsi="Times New Roman"/>
          <w:sz w:val="20"/>
        </w:rPr>
        <w:t xml:space="preserve"> </w:t>
      </w:r>
      <w:r>
        <w:rPr>
          <w:rFonts w:ascii="Times New Roman;serif" w:hAnsi="Times New Roman;serif"/>
          <w:b w:val="false"/>
          <w:sz w:val="20"/>
        </w:rPr>
        <w:t>and $1.3</w:t>
      </w:r>
      <w:r>
        <w:rPr>
          <w:rFonts w:ascii="Times New Roman" w:hAnsi="Times New Roman"/>
          <w:sz w:val="20"/>
        </w:rPr>
        <w:t xml:space="preserve"> </w:t>
      </w:r>
      <w:r>
        <w:rPr>
          <w:rFonts w:ascii="Times New Roman;serif" w:hAnsi="Times New Roman;serif"/>
          <w:b w:val="false"/>
          <w:sz w:val="20"/>
        </w:rPr>
        <w:t>million in the six months ended June 30, 2023. The Company also recorded accelerated depreciation expense for fixed assets in connection with the lease abandonments as part of the Restructuring Plan. See Note 15 for more information.</w:t>
      </w:r>
      <w:r>
        <w:rPr>
          <w:rFonts w:ascii="Times New Roman" w:hAnsi="Times New Roman"/>
          <w:sz w:val="20"/>
        </w:rPr>
        <w:t xml:space="preserve"> </w:t>
      </w:r>
    </w:p>
    <w:p>
      <w:pPr>
        <w:pStyle w:val="TextBody"/>
        <w:bidi w:val="0"/>
        <w:spacing w:before="200" w:after="0"/>
        <w:jc w:val="left"/>
        <w:rPr>
          <w:rFonts w:ascii="Times New Roman;serif" w:hAnsi="Times New Roman;serif"/>
          <w:b/>
          <w:sz w:val="20"/>
        </w:rPr>
      </w:pPr>
      <w:r>
        <w:rPr>
          <w:rFonts w:ascii="Times New Roman;serif" w:hAnsi="Times New Roman;serif"/>
          <w:b/>
          <w:sz w:val="20"/>
        </w:rPr>
        <w:t>7. Capitalized Software Development Costs</w:t>
      </w:r>
    </w:p>
    <w:p>
      <w:pPr>
        <w:pStyle w:val="TextBody"/>
        <w:bidi w:val="0"/>
        <w:spacing w:before="200" w:after="0"/>
        <w:jc w:val="left"/>
        <w:rPr>
          <w:rFonts w:ascii="Times New Roman" w:hAnsi="Times New Roman"/>
          <w:sz w:val="20"/>
        </w:rPr>
      </w:pPr>
      <w:r>
        <w:rPr>
          <w:rFonts w:ascii="Times New Roman;serif" w:hAnsi="Times New Roman;serif"/>
          <w:b w:val="false"/>
          <w:sz w:val="20"/>
        </w:rPr>
        <w:t xml:space="preserve">Capitalized software development costs, exclusive of those recorded within property and equipment, consisted of the following: </w:t>
        <w:br/>
      </w:r>
      <w:r>
        <w:rPr>
          <w:rFonts w:ascii="Times New Roman" w:hAnsi="Times New Roman"/>
          <w:sz w:val="20"/>
        </w:rPr>
        <w:t> </w:t>
      </w:r>
    </w:p>
    <w:tbl>
      <w:tblPr>
        <w:tblW w:w="7290" w:type="dxa"/>
        <w:jc w:val="left"/>
        <w:tblInd w:w="0" w:type="dxa"/>
        <w:tblLayout w:type="fixed"/>
        <w:tblCellMar>
          <w:top w:w="28" w:type="dxa"/>
          <w:left w:w="28" w:type="dxa"/>
          <w:bottom w:w="28" w:type="dxa"/>
          <w:right w:w="28" w:type="dxa"/>
        </w:tblCellMar>
      </w:tblPr>
      <w:tblGrid>
        <w:gridCol w:w="3796"/>
        <w:gridCol w:w="146"/>
        <w:gridCol w:w="225"/>
        <w:gridCol w:w="900"/>
        <w:gridCol w:w="166"/>
        <w:gridCol w:w="146"/>
        <w:gridCol w:w="301"/>
        <w:gridCol w:w="1199"/>
        <w:gridCol w:w="41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7"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411" w:type="dxa"/>
            <w:tcBorders/>
            <w:vAlign w:val="center"/>
          </w:tcPr>
          <w:p>
            <w:pPr>
              <w:pStyle w:val="TableContents"/>
              <w:bidi w:val="0"/>
              <w:spacing w:before="0" w:after="0"/>
              <w:ind w:left="0" w:right="0" w:hanging="0"/>
              <w:jc w:val="center"/>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capitalized software development costs</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214,153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174,732</w:t>
            </w:r>
          </w:p>
        </w:tc>
        <w:tc>
          <w:tcPr>
            <w:tcW w:w="411"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amortization</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(127,605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(110,942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7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Capitalized software development costs, net</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86,548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63,790</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left"/>
        <w:rPr>
          <w:rFonts w:ascii="Times New Roman" w:hAnsi="Times New Roman"/>
          <w:sz w:val="20"/>
        </w:rPr>
      </w:pPr>
      <w:r>
        <w:rPr>
          <w:rFonts w:ascii="Times New Roman;serif" w:hAnsi="Times New Roman;serif"/>
          <w:b w:val="false"/>
          <w:sz w:val="20"/>
        </w:rPr>
        <w:t>These capitalized software development costs are associated with software developed for customer purchase. Capitalized software development costs recorded within property and equipment are associated with software developed for Company use.</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Amortization of capitalized software development costs, exclusive of costs recorded within property and equipment, was $10.7</w:t>
      </w:r>
      <w:r>
        <w:rPr>
          <w:rFonts w:ascii="Times New Roman" w:hAnsi="Times New Roman"/>
          <w:sz w:val="20"/>
        </w:rPr>
        <w:t xml:space="preserve"> </w:t>
      </w:r>
      <w:r>
        <w:rPr>
          <w:rFonts w:ascii="Times New Roman;serif" w:hAnsi="Times New Roman;serif"/>
          <w:b w:val="false"/>
          <w:sz w:val="20"/>
        </w:rPr>
        <w:t>million for the three months ended June 30, 2023, $20.5</w:t>
      </w:r>
      <w:r>
        <w:rPr>
          <w:rFonts w:ascii="Times New Roman" w:hAnsi="Times New Roman"/>
          <w:sz w:val="20"/>
        </w:rPr>
        <w:t xml:space="preserve"> </w:t>
      </w:r>
      <w:r>
        <w:rPr>
          <w:rFonts w:ascii="Times New Roman;serif" w:hAnsi="Times New Roman;serif"/>
          <w:b w:val="false"/>
          <w:sz w:val="20"/>
        </w:rPr>
        <w:t>million for the six months ended June 30, 2023, $7.5</w:t>
      </w:r>
      <w:r>
        <w:rPr>
          <w:rFonts w:ascii="Times New Roman" w:hAnsi="Times New Roman"/>
          <w:sz w:val="20"/>
        </w:rPr>
        <w:t xml:space="preserve"> </w:t>
      </w:r>
      <w:r>
        <w:rPr>
          <w:rFonts w:ascii="Times New Roman;serif" w:hAnsi="Times New Roman;serif"/>
          <w:b w:val="false"/>
          <w:sz w:val="20"/>
        </w:rPr>
        <w:t>million for three months ended June 30, 2022, and $14.6</w:t>
      </w:r>
      <w:r>
        <w:rPr>
          <w:rFonts w:ascii="Times New Roman" w:hAnsi="Times New Roman"/>
          <w:sz w:val="20"/>
        </w:rPr>
        <w:t xml:space="preserve"> </w:t>
      </w:r>
      <w:r>
        <w:rPr>
          <w:rFonts w:ascii="Times New Roman;serif" w:hAnsi="Times New Roman;serif"/>
          <w:b w:val="false"/>
          <w:sz w:val="20"/>
        </w:rPr>
        <w:t>million for the six months ended June 30, 2022.</w:t>
      </w:r>
    </w:p>
    <w:p>
      <w:pPr>
        <w:pStyle w:val="TextBody"/>
        <w:bidi w:val="0"/>
        <w:spacing w:before="40" w:after="0"/>
        <w:jc w:val="left"/>
        <w:rPr/>
      </w:pPr>
      <w:r>
        <w:rPr/>
        <w:t> </w:t>
      </w:r>
    </w:p>
    <w:p>
      <w:pPr>
        <w:pStyle w:val="TextBody"/>
        <w:bidi w:val="0"/>
        <w:spacing w:before="200" w:after="0"/>
        <w:jc w:val="left"/>
        <w:rPr>
          <w:rFonts w:ascii="Times New Roman;serif" w:hAnsi="Times New Roman;serif"/>
          <w:b/>
          <w:sz w:val="20"/>
        </w:rPr>
      </w:pPr>
      <w:r>
        <w:rPr>
          <w:rFonts w:ascii="Times New Roman;serif" w:hAnsi="Times New Roman;serif"/>
          <w:b/>
          <w:sz w:val="20"/>
        </w:rPr>
        <w:t>8. Convertible Senior Notes</w:t>
      </w:r>
    </w:p>
    <w:p>
      <w:pPr>
        <w:pStyle w:val="TextBody"/>
        <w:bidi w:val="0"/>
        <w:spacing w:before="200" w:after="0"/>
        <w:jc w:val="left"/>
        <w:rPr>
          <w:rFonts w:ascii="Times New Roman" w:hAnsi="Times New Roman"/>
          <w:sz w:val="20"/>
        </w:rPr>
      </w:pPr>
      <w:r>
        <w:rPr>
          <w:rFonts w:ascii="Times New Roman;serif" w:hAnsi="Times New Roman;serif"/>
          <w:b/>
          <w:i/>
          <w:sz w:val="20"/>
        </w:rPr>
        <w:t>2025 Convertible Senior Notes and Capped Call Options</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In June 2020, the Company issued $400</w:t>
      </w:r>
      <w:r>
        <w:rPr>
          <w:rFonts w:ascii="Times New Roman" w:hAnsi="Times New Roman"/>
          <w:sz w:val="20"/>
        </w:rPr>
        <w:t xml:space="preserve"> </w:t>
      </w:r>
      <w:r>
        <w:rPr>
          <w:rFonts w:ascii="Times New Roman;serif" w:hAnsi="Times New Roman;serif"/>
          <w:b w:val="false"/>
          <w:sz w:val="20"/>
        </w:rPr>
        <w:t>million aggregate principal amount of 0.375% convertible senior notes due June 1, 2025</w:t>
      </w:r>
      <w:r>
        <w:rPr>
          <w:rFonts w:ascii="Times New Roman" w:hAnsi="Times New Roman"/>
          <w:sz w:val="20"/>
        </w:rPr>
        <w:t xml:space="preserve"> </w:t>
      </w:r>
      <w:r>
        <w:rPr>
          <w:rFonts w:ascii="Times New Roman;serif" w:hAnsi="Times New Roman;serif"/>
          <w:b w:val="false"/>
          <w:sz w:val="20"/>
        </w:rPr>
        <w:t>(the “2025 Notes”) in a private offering and an additional $60</w:t>
      </w:r>
      <w:r>
        <w:rPr>
          <w:rFonts w:ascii="Times New Roman" w:hAnsi="Times New Roman"/>
          <w:sz w:val="20"/>
        </w:rPr>
        <w:t xml:space="preserve"> </w:t>
      </w:r>
      <w:r>
        <w:rPr>
          <w:rFonts w:ascii="Times New Roman;serif" w:hAnsi="Times New Roman;serif"/>
          <w:b w:val="false"/>
          <w:sz w:val="20"/>
        </w:rPr>
        <w:t>million aggregate principal amount of the 2025 Notes pursuant to the exercise in full of the over-allotment options of the initial purchasers. The interest rate is fixed at 0.375% per annum and is payable semi-annually in arrears on June 1 and December 1 of each year.</w:t>
      </w:r>
      <w:r>
        <w:rPr>
          <w:rFonts w:ascii="Times New Roman" w:hAnsi="Times New Roman"/>
          <w:sz w:val="20"/>
        </w:rPr>
        <w:t xml:space="preserve"> </w:t>
      </w:r>
      <w:r>
        <w:rPr>
          <w:rFonts w:ascii="Times New Roman;serif" w:hAnsi="Times New Roman;serif"/>
          <w:b w:val="false"/>
          <w:sz w:val="20"/>
        </w:rPr>
        <w:t>The total net proceeds from the debt offering, after deducting initial purchase discounts and debt issuance costs, were approximately $450.1</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200" w:after="0"/>
        <w:jc w:val="left"/>
        <w:rPr>
          <w:rFonts w:ascii="Times New Roman" w:hAnsi="Times New Roman"/>
          <w:sz w:val="20"/>
        </w:rPr>
      </w:pPr>
      <w:r>
        <w:rPr>
          <w:rFonts w:ascii="Times New Roman;serif" w:hAnsi="Times New Roman;serif"/>
          <w:b w:val="false"/>
          <w:sz w:val="20"/>
        </w:rPr>
        <w:t>Each $1,000</w:t>
      </w:r>
      <w:r>
        <w:rPr>
          <w:rFonts w:ascii="Times New Roman" w:hAnsi="Times New Roman"/>
          <w:sz w:val="20"/>
        </w:rPr>
        <w:t xml:space="preserve"> </w:t>
      </w:r>
      <w:r>
        <w:rPr>
          <w:rFonts w:ascii="Times New Roman;serif" w:hAnsi="Times New Roman;serif"/>
          <w:b w:val="false"/>
          <w:sz w:val="20"/>
        </w:rPr>
        <w:t>of principal amount of the 2025 Notes will initially be convertible into 3.5396</w:t>
      </w:r>
      <w:r>
        <w:rPr>
          <w:rFonts w:ascii="Times New Roman" w:hAnsi="Times New Roman"/>
          <w:sz w:val="20"/>
        </w:rPr>
        <w:t xml:space="preserve"> </w:t>
      </w:r>
      <w:r>
        <w:rPr>
          <w:rFonts w:ascii="Times New Roman;serif" w:hAnsi="Times New Roman;serif"/>
          <w:b w:val="false"/>
          <w:sz w:val="20"/>
        </w:rPr>
        <w:t>shares of the Company’s common stock (the “Conversion Option of the 2025 Notes”), which is equivalent to an initial conversion price of approximately $282.52</w:t>
      </w:r>
      <w:r>
        <w:rPr>
          <w:rFonts w:ascii="Times New Roman" w:hAnsi="Times New Roman"/>
          <w:sz w:val="20"/>
        </w:rPr>
        <w:t xml:space="preserve"> </w:t>
      </w:r>
      <w:r>
        <w:rPr>
          <w:rFonts w:ascii="Times New Roman;serif" w:hAnsi="Times New Roman;serif"/>
          <w:b w:val="false"/>
          <w:sz w:val="20"/>
        </w:rPr>
        <w:t xml:space="preserve">per share, subject to adjustment upon the occurrence of certain specified events. On or after March 1, 2025 until the close of business on the second scheduled trading day immediately preceding the maturity date, holders may convert their 2025 Notes at any time. The 2025 Notes will be convertible at the option of the holders prior to the close of business on the business day immediately preceding March 1, 2025 under certain circumstances as described in the indenture governing the 2025 Notes (the “Indenture”). Upon conversion, the Company will pay or deliver, as the case may be, cash, shares of the Company’s common stock or a combination of cash and shares of the Company’s common stock, at the Company’s election. The Company expects to settle the principal amount of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 w:hAnsi="Times New Roman"/>
          <w:sz w:val="20"/>
        </w:rPr>
      </w:pPr>
      <w:r>
        <w:rPr>
          <w:rFonts w:ascii="Times New Roman;serif" w:hAnsi="Times New Roman;serif"/>
          <w:b w:val="false"/>
          <w:sz w:val="20"/>
        </w:rPr>
        <w:t>the 2025 Notes in cash.</w:t>
      </w:r>
      <w:r>
        <w:rPr>
          <w:rFonts w:ascii="Times New Roman" w:hAnsi="Times New Roman"/>
          <w:sz w:val="20"/>
        </w:rPr>
        <w:t xml:space="preserve"> </w:t>
      </w:r>
      <w:r>
        <w:rPr>
          <w:rFonts w:ascii="Times New Roman;serif" w:hAnsi="Times New Roman;serif"/>
          <w:b w:val="false"/>
          <w:sz w:val="20"/>
        </w:rPr>
        <w:t>Because the last reported sale price of the Company’s common stock for at least 20</w:t>
      </w:r>
      <w:r>
        <w:rPr>
          <w:rFonts w:ascii="Times New Roman" w:hAnsi="Times New Roman"/>
          <w:sz w:val="20"/>
        </w:rPr>
        <w:t xml:space="preserve"> </w:t>
      </w:r>
      <w:r>
        <w:rPr>
          <w:rFonts w:ascii="Times New Roman;serif" w:hAnsi="Times New Roman;serif"/>
          <w:b w:val="false"/>
          <w:sz w:val="20"/>
        </w:rPr>
        <w:t>trading days during the period of 30</w:t>
      </w:r>
      <w:r>
        <w:rPr>
          <w:rFonts w:ascii="Times New Roman" w:hAnsi="Times New Roman"/>
          <w:sz w:val="20"/>
        </w:rPr>
        <w:t xml:space="preserve"> </w:t>
      </w:r>
      <w:r>
        <w:rPr>
          <w:rFonts w:ascii="Times New Roman;serif" w:hAnsi="Times New Roman;serif"/>
          <w:b w:val="false"/>
          <w:sz w:val="20"/>
        </w:rPr>
        <w:t>consecutive trading days ending on the last trading day of the calendar quarter ended June 30, 2023</w:t>
      </w:r>
      <w:r>
        <w:rPr>
          <w:rFonts w:ascii="Times New Roman" w:hAnsi="Times New Roman"/>
          <w:sz w:val="20"/>
        </w:rPr>
        <w:t xml:space="preserve"> </w:t>
      </w:r>
      <w:r>
        <w:rPr>
          <w:rFonts w:ascii="Times New Roman;serif" w:hAnsi="Times New Roman;serif"/>
          <w:b w:val="false"/>
          <w:sz w:val="20"/>
        </w:rPr>
        <w:t>was equal to or greater than 130% of the applicable conversion price on each applicable trading day, the 2025 Notes are convertible at the option of the holders thereof during the calendar quarter ending September 30, 2023. As of July 28, 2023, the Company has not received any material conversion notices.</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The net carrying amount of the liability component of the 2025 Notes is as follows:</w:t>
        <w:br/>
      </w:r>
      <w:r>
        <w:rPr>
          <w:rFonts w:ascii="Times New Roman" w:hAnsi="Times New Roman"/>
          <w:sz w:val="20"/>
        </w:rPr>
        <w:t> </w:t>
      </w:r>
    </w:p>
    <w:tbl>
      <w:tblPr>
        <w:tblW w:w="6690" w:type="dxa"/>
        <w:jc w:val="left"/>
        <w:tblInd w:w="0" w:type="dxa"/>
        <w:tblLayout w:type="fixed"/>
        <w:tblCellMar>
          <w:top w:w="28" w:type="dxa"/>
          <w:left w:w="28" w:type="dxa"/>
          <w:bottom w:w="28" w:type="dxa"/>
          <w:right w:w="28" w:type="dxa"/>
        </w:tblCellMar>
      </w:tblPr>
      <w:tblGrid>
        <w:gridCol w:w="2356"/>
        <w:gridCol w:w="146"/>
        <w:gridCol w:w="328"/>
        <w:gridCol w:w="1217"/>
        <w:gridCol w:w="166"/>
        <w:gridCol w:w="146"/>
        <w:gridCol w:w="408"/>
        <w:gridCol w:w="1512"/>
        <w:gridCol w:w="41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3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December 31, 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7"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411" w:type="dxa"/>
            <w:tcBorders/>
            <w:vAlign w:val="center"/>
          </w:tcPr>
          <w:p>
            <w:pPr>
              <w:pStyle w:val="TableContents"/>
              <w:bidi w:val="0"/>
              <w:spacing w:before="0" w:after="0"/>
              <w:ind w:left="0" w:right="0" w:hanging="0"/>
              <w:jc w:val="center"/>
              <w:rPr/>
            </w:pPr>
            <w:r>
              <w:rPr/>
              <w:t> </w:t>
            </w:r>
          </w:p>
        </w:tc>
      </w:tr>
      <w:tr>
        <w:trPr/>
        <w:tc>
          <w:tcPr>
            <w:tcW w:w="23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w:t>
            </w:r>
          </w:p>
        </w:tc>
        <w:tc>
          <w:tcPr>
            <w:tcW w:w="146" w:type="dxa"/>
            <w:tcBorders/>
            <w:vAlign w:val="center"/>
          </w:tcPr>
          <w:p>
            <w:pPr>
              <w:pStyle w:val="TableContents"/>
              <w:bidi w:val="0"/>
              <w:spacing w:before="0" w:after="0"/>
              <w:ind w:left="0" w:right="0" w:hanging="0"/>
              <w:jc w:val="left"/>
              <w:rPr/>
            </w:pPr>
            <w:r>
              <w:rPr/>
              <w:t> </w:t>
            </w:r>
          </w:p>
        </w:tc>
        <w:tc>
          <w:tcPr>
            <w:tcW w:w="3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459,083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459,083</w:t>
            </w:r>
          </w:p>
        </w:tc>
        <w:tc>
          <w:tcPr>
            <w:tcW w:w="411" w:type="dxa"/>
            <w:tcBorders/>
            <w:vAlign w:val="center"/>
          </w:tcPr>
          <w:p>
            <w:pPr>
              <w:pStyle w:val="TableContents"/>
              <w:bidi w:val="0"/>
              <w:spacing w:before="0" w:after="0"/>
              <w:ind w:left="0" w:right="0" w:hanging="0"/>
              <w:jc w:val="left"/>
              <w:rPr/>
            </w:pPr>
            <w:r>
              <w:rPr/>
              <w:t> </w:t>
            </w:r>
          </w:p>
        </w:tc>
      </w:tr>
      <w:tr>
        <w:trPr/>
        <w:tc>
          <w:tcPr>
            <w:tcW w:w="23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Unamortized issuance costs</w:t>
            </w:r>
          </w:p>
        </w:tc>
        <w:tc>
          <w:tcPr>
            <w:tcW w:w="146" w:type="dxa"/>
            <w:tcBorders/>
            <w:vAlign w:val="center"/>
          </w:tcPr>
          <w:p>
            <w:pPr>
              <w:pStyle w:val="TableContents"/>
              <w:bidi w:val="0"/>
              <w:spacing w:before="0" w:after="0"/>
              <w:ind w:left="0" w:right="0" w:hanging="0"/>
              <w:jc w:val="left"/>
              <w:rPr/>
            </w:pPr>
            <w:r>
              <w:rPr/>
              <w:t> </w:t>
            </w:r>
          </w:p>
        </w:tc>
        <w:tc>
          <w:tcPr>
            <w:tcW w:w="3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4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(4,856</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3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carrying amount</w:t>
            </w:r>
          </w:p>
        </w:tc>
        <w:tc>
          <w:tcPr>
            <w:tcW w:w="146" w:type="dxa"/>
            <w:tcBorders/>
            <w:vAlign w:val="center"/>
          </w:tcPr>
          <w:p>
            <w:pPr>
              <w:pStyle w:val="TableContents"/>
              <w:bidi w:val="0"/>
              <w:spacing w:before="0" w:after="0"/>
              <w:ind w:left="0" w:right="0" w:hanging="0"/>
              <w:jc w:val="left"/>
              <w:rPr/>
            </w:pPr>
            <w:r>
              <w:rPr/>
              <w:t> </w:t>
            </w:r>
          </w:p>
        </w:tc>
        <w:tc>
          <w:tcPr>
            <w:tcW w:w="3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455,207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454,227</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left"/>
        <w:rPr>
          <w:rFonts w:ascii="Times New Roman" w:hAnsi="Times New Roman"/>
          <w:sz w:val="20"/>
        </w:rPr>
      </w:pPr>
      <w:r>
        <w:rPr>
          <w:rFonts w:ascii="Times New Roman;serif" w:hAnsi="Times New Roman;serif"/>
          <w:b w:val="false"/>
          <w:sz w:val="20"/>
        </w:rPr>
        <w:t>Interest expense related to the 2025 Notes is as follows:</w:t>
        <w:br/>
      </w:r>
      <w:r>
        <w:rPr>
          <w:rFonts w:ascii="Times New Roman" w:hAnsi="Times New Roman"/>
          <w:sz w:val="20"/>
        </w:rPr>
        <w:t> </w:t>
      </w:r>
    </w:p>
    <w:tbl>
      <w:tblPr>
        <w:tblW w:w="7757" w:type="dxa"/>
        <w:jc w:val="left"/>
        <w:tblInd w:w="0" w:type="dxa"/>
        <w:tblLayout w:type="fixed"/>
        <w:tblCellMar>
          <w:top w:w="28" w:type="dxa"/>
          <w:left w:w="28" w:type="dxa"/>
          <w:bottom w:w="28" w:type="dxa"/>
          <w:right w:w="28" w:type="dxa"/>
        </w:tblCellMar>
      </w:tblPr>
      <w:tblGrid>
        <w:gridCol w:w="2596"/>
        <w:gridCol w:w="146"/>
        <w:gridCol w:w="307"/>
        <w:gridCol w:w="613"/>
        <w:gridCol w:w="212"/>
        <w:gridCol w:w="212"/>
        <w:gridCol w:w="307"/>
        <w:gridCol w:w="613"/>
        <w:gridCol w:w="146"/>
        <w:gridCol w:w="146"/>
        <w:gridCol w:w="235"/>
        <w:gridCol w:w="637"/>
        <w:gridCol w:w="162"/>
        <w:gridCol w:w="162"/>
        <w:gridCol w:w="235"/>
        <w:gridCol w:w="637"/>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2" w:type="dxa"/>
            <w:tcBorders/>
            <w:vAlign w:val="center"/>
          </w:tcPr>
          <w:p>
            <w:pPr>
              <w:pStyle w:val="TableContents"/>
              <w:bidi w:val="0"/>
              <w:spacing w:before="0" w:after="0"/>
              <w:ind w:left="0" w:right="0" w:hanging="0"/>
              <w:jc w:val="center"/>
              <w:rPr/>
            </w:pPr>
            <w:r>
              <w:rPr/>
              <w:t> </w:t>
            </w:r>
          </w:p>
        </w:tc>
        <w:tc>
          <w:tcPr>
            <w:tcW w:w="9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2" w:type="dxa"/>
            <w:tcBorders/>
            <w:vAlign w:val="center"/>
          </w:tcPr>
          <w:p>
            <w:pPr>
              <w:pStyle w:val="TableContents"/>
              <w:bidi w:val="0"/>
              <w:spacing w:before="0" w:after="0"/>
              <w:ind w:left="0" w:right="0" w:hanging="0"/>
              <w:jc w:val="center"/>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24"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vAlign w:val="center"/>
          </w:tcPr>
          <w:p>
            <w:pPr>
              <w:pStyle w:val="TableContents"/>
              <w:bidi w:val="0"/>
              <w:spacing w:before="0" w:after="0"/>
              <w:ind w:left="0" w:right="0" w:hanging="0"/>
              <w:jc w:val="center"/>
              <w:rPr/>
            </w:pPr>
            <w:r>
              <w:rPr/>
              <w:t> </w:t>
            </w:r>
          </w:p>
        </w:tc>
      </w:tr>
      <w:tr>
        <w:trPr/>
        <w:tc>
          <w:tcPr>
            <w:tcW w:w="2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Contractual interest expense</w:t>
            </w:r>
          </w:p>
        </w:tc>
        <w:tc>
          <w:tcPr>
            <w:tcW w:w="146" w:type="dxa"/>
            <w:tcBorders/>
            <w:vAlign w:val="center"/>
          </w:tcPr>
          <w:p>
            <w:pPr>
              <w:pStyle w:val="TableContents"/>
              <w:bidi w:val="0"/>
              <w:spacing w:before="0" w:after="0"/>
              <w:ind w:left="0" w:right="0" w:hanging="0"/>
              <w:jc w:val="left"/>
              <w:rPr/>
            </w:pPr>
            <w:r>
              <w:rPr/>
              <w:t> </w:t>
            </w:r>
          </w:p>
        </w:tc>
        <w:tc>
          <w:tcPr>
            <w:tcW w:w="3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w:t>
            </w:r>
          </w:p>
        </w:tc>
        <w:tc>
          <w:tcPr>
            <w:tcW w:w="212"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right"/>
              <w:rPr/>
            </w:pPr>
            <w:r>
              <w:rPr/>
              <w:t> </w:t>
            </w:r>
          </w:p>
        </w:tc>
        <w:tc>
          <w:tcPr>
            <w:tcW w:w="3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861</w:t>
            </w:r>
          </w:p>
        </w:tc>
        <w:tc>
          <w:tcPr>
            <w:tcW w:w="162"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861</w:t>
            </w:r>
          </w:p>
        </w:tc>
        <w:tc>
          <w:tcPr>
            <w:tcW w:w="391" w:type="dxa"/>
            <w:tcBorders/>
            <w:vAlign w:val="center"/>
          </w:tcPr>
          <w:p>
            <w:pPr>
              <w:pStyle w:val="TableContents"/>
              <w:bidi w:val="0"/>
              <w:spacing w:before="0" w:after="0"/>
              <w:ind w:left="0" w:right="0" w:hanging="0"/>
              <w:jc w:val="left"/>
              <w:rPr/>
            </w:pPr>
            <w:r>
              <w:rPr/>
              <w:t> </w:t>
            </w:r>
          </w:p>
        </w:tc>
      </w:tr>
      <w:tr>
        <w:trPr/>
        <w:tc>
          <w:tcPr>
            <w:tcW w:w="2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issuance costs</w:t>
            </w:r>
          </w:p>
        </w:tc>
        <w:tc>
          <w:tcPr>
            <w:tcW w:w="146" w:type="dxa"/>
            <w:tcBorders/>
            <w:vAlign w:val="center"/>
          </w:tcPr>
          <w:p>
            <w:pPr>
              <w:pStyle w:val="TableContents"/>
              <w:bidi w:val="0"/>
              <w:spacing w:before="0" w:after="0"/>
              <w:ind w:left="0" w:right="0" w:hanging="0"/>
              <w:jc w:val="left"/>
              <w:rPr/>
            </w:pPr>
            <w:r>
              <w:rPr/>
              <w:t> </w:t>
            </w:r>
          </w:p>
        </w:tc>
        <w:tc>
          <w:tcPr>
            <w:tcW w:w="3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496</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right"/>
              <w:rPr/>
            </w:pPr>
            <w:r>
              <w:rPr/>
              <w:t> </w:t>
            </w:r>
          </w:p>
        </w:tc>
        <w:tc>
          <w:tcPr>
            <w:tcW w:w="3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980</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5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interest expense</w:t>
            </w:r>
          </w:p>
        </w:tc>
        <w:tc>
          <w:tcPr>
            <w:tcW w:w="146" w:type="dxa"/>
            <w:tcBorders/>
            <w:vAlign w:val="center"/>
          </w:tcPr>
          <w:p>
            <w:pPr>
              <w:pStyle w:val="TableContents"/>
              <w:bidi w:val="0"/>
              <w:spacing w:before="0" w:after="0"/>
              <w:ind w:left="0" w:right="0" w:hanging="0"/>
              <w:jc w:val="left"/>
              <w:rPr/>
            </w:pPr>
            <w:r>
              <w:rPr/>
              <w:t> </w:t>
            </w:r>
          </w:p>
        </w:tc>
        <w:tc>
          <w:tcPr>
            <w:tcW w:w="3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926</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right"/>
              <w:rPr/>
            </w:pPr>
            <w:r>
              <w:rPr/>
              <w:t> </w:t>
            </w:r>
          </w:p>
        </w:tc>
        <w:tc>
          <w:tcPr>
            <w:tcW w:w="3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1,841</w:t>
            </w:r>
          </w:p>
        </w:tc>
        <w:tc>
          <w:tcPr>
            <w:tcW w:w="1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1,834</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left"/>
        <w:rPr>
          <w:rFonts w:ascii="Times New Roman" w:hAnsi="Times New Roman"/>
          <w:sz w:val="20"/>
        </w:rPr>
      </w:pPr>
      <w:r>
        <w:rPr>
          <w:rFonts w:ascii="Times New Roman;serif" w:hAnsi="Times New Roman;serif"/>
          <w:b w:val="false"/>
          <w:sz w:val="20"/>
        </w:rPr>
        <w:t>In connection with the offering of the 2025 Notes, the Company purchased capped call options (“Capped Call Options”) with respect to its common stock for $50.6</w:t>
      </w:r>
      <w:r>
        <w:rPr>
          <w:rFonts w:ascii="Times New Roman" w:hAnsi="Times New Roman"/>
          <w:sz w:val="20"/>
        </w:rPr>
        <w:t xml:space="preserve"> </w:t>
      </w:r>
      <w:r>
        <w:rPr>
          <w:rFonts w:ascii="Times New Roman;serif" w:hAnsi="Times New Roman;serif"/>
          <w:b w:val="false"/>
          <w:sz w:val="20"/>
        </w:rPr>
        <w:t>million. The Capped Call Options are purchased call options that give the Company the option to purchase up to approximately 1.6</w:t>
      </w:r>
      <w:r>
        <w:rPr>
          <w:rFonts w:ascii="Times New Roman" w:hAnsi="Times New Roman"/>
          <w:sz w:val="20"/>
        </w:rPr>
        <w:t xml:space="preserve"> </w:t>
      </w:r>
      <w:r>
        <w:rPr>
          <w:rFonts w:ascii="Times New Roman;serif" w:hAnsi="Times New Roman;serif"/>
          <w:b w:val="false"/>
          <w:sz w:val="20"/>
        </w:rPr>
        <w:t>million shares of its common stock for $282.52</w:t>
      </w:r>
      <w:r>
        <w:rPr>
          <w:rFonts w:ascii="Times New Roman" w:hAnsi="Times New Roman"/>
          <w:sz w:val="20"/>
        </w:rPr>
        <w:t xml:space="preserve"> </w:t>
      </w:r>
      <w:r>
        <w:rPr>
          <w:rFonts w:ascii="Times New Roman;serif" w:hAnsi="Times New Roman;serif"/>
          <w:b w:val="false"/>
          <w:sz w:val="20"/>
        </w:rPr>
        <w:t>per share, which corresponds to the approximate initial conversion price of the 2025 Notes. The Capped Call Options were purchased in order to offset potential dilution to the Company’s common stock upon any conversion of the 2025 Notes, subject to a cap of $426.44</w:t>
      </w:r>
      <w:r>
        <w:rPr>
          <w:rFonts w:ascii="Times New Roman" w:hAnsi="Times New Roman"/>
          <w:sz w:val="20"/>
        </w:rPr>
        <w:t xml:space="preserve"> </w:t>
      </w:r>
      <w:r>
        <w:rPr>
          <w:rFonts w:ascii="Times New Roman;serif" w:hAnsi="Times New Roman;serif"/>
          <w:b w:val="false"/>
          <w:sz w:val="20"/>
        </w:rPr>
        <w:t>per share, and expire concurrently with the 2025 Notes. The $50.6</w:t>
      </w:r>
      <w:r>
        <w:rPr>
          <w:rFonts w:ascii="Times New Roman" w:hAnsi="Times New Roman"/>
          <w:sz w:val="20"/>
        </w:rPr>
        <w:t xml:space="preserve"> </w:t>
      </w:r>
      <w:r>
        <w:rPr>
          <w:rFonts w:ascii="Times New Roman;serif" w:hAnsi="Times New Roman;serif"/>
          <w:b w:val="false"/>
          <w:sz w:val="20"/>
        </w:rPr>
        <w:t>million paid for the Capped Call Options is recorded in stockholders’ equity as a reduction in additional paid-in capital and are not accounted for as separate derivative financial instruments.</w:t>
      </w:r>
    </w:p>
    <w:p>
      <w:pPr>
        <w:pStyle w:val="TextBody"/>
        <w:bidi w:val="0"/>
        <w:spacing w:before="200" w:after="0"/>
        <w:jc w:val="left"/>
        <w:rPr>
          <w:rFonts w:ascii="Times New Roman;serif" w:hAnsi="Times New Roman;serif"/>
          <w:b/>
          <w:i/>
          <w:sz w:val="20"/>
        </w:rPr>
      </w:pPr>
      <w:r>
        <w:rPr>
          <w:rFonts w:ascii="Times New Roman;serif" w:hAnsi="Times New Roman;serif"/>
          <w:b/>
          <w:i/>
          <w:sz w:val="20"/>
        </w:rPr>
        <w:t>2022 Convertible Senior Notes, Convertible Note Hedge and Warrant</w:t>
      </w:r>
    </w:p>
    <w:p>
      <w:pPr>
        <w:pStyle w:val="TextBody"/>
        <w:bidi w:val="0"/>
        <w:spacing w:before="200" w:after="0"/>
        <w:jc w:val="left"/>
        <w:rPr>
          <w:rFonts w:ascii="Times New Roman" w:hAnsi="Times New Roman"/>
          <w:sz w:val="20"/>
        </w:rPr>
      </w:pPr>
      <w:r>
        <w:rPr>
          <w:rFonts w:ascii="Times New Roman;serif" w:hAnsi="Times New Roman;serif"/>
          <w:b w:val="false"/>
          <w:sz w:val="20"/>
        </w:rPr>
        <w:t>In May 2017, the Company issued $350.0</w:t>
      </w:r>
      <w:r>
        <w:rPr>
          <w:rFonts w:ascii="Times New Roman" w:hAnsi="Times New Roman"/>
          <w:sz w:val="20"/>
        </w:rPr>
        <w:t xml:space="preserve"> </w:t>
      </w:r>
      <w:r>
        <w:rPr>
          <w:rFonts w:ascii="Times New Roman;serif" w:hAnsi="Times New Roman;serif"/>
          <w:b w:val="false"/>
          <w:sz w:val="20"/>
        </w:rPr>
        <w:t>million aggregate principal amount of 0.25% convertible senior notes due June 1, 2022</w:t>
      </w:r>
      <w:r>
        <w:rPr>
          <w:rFonts w:ascii="Times New Roman" w:hAnsi="Times New Roman"/>
          <w:sz w:val="20"/>
        </w:rPr>
        <w:t xml:space="preserve"> </w:t>
      </w:r>
      <w:r>
        <w:rPr>
          <w:rFonts w:ascii="Times New Roman;serif" w:hAnsi="Times New Roman;serif"/>
          <w:b w:val="false"/>
          <w:sz w:val="20"/>
        </w:rPr>
        <w:t>(the “2022 Notes”) in a private offering and an additional $50</w:t>
      </w:r>
      <w:r>
        <w:rPr>
          <w:rFonts w:ascii="Times New Roman" w:hAnsi="Times New Roman"/>
          <w:sz w:val="20"/>
        </w:rPr>
        <w:t xml:space="preserve"> </w:t>
      </w:r>
      <w:r>
        <w:rPr>
          <w:rFonts w:ascii="Times New Roman;serif" w:hAnsi="Times New Roman;serif"/>
          <w:b w:val="false"/>
          <w:sz w:val="20"/>
        </w:rPr>
        <w:t>million aggregate principal amount of the 2022 Notes pursuant to the exercise in full of the over-allotment options of the initial purchasers. of the 2022 Notes. The interest rate is fixed at 0.25% per annum and is payable semi-annually in arrears on June 1 and December 1 of each year.</w:t>
      </w:r>
      <w:r>
        <w:rPr>
          <w:rFonts w:ascii="Times New Roman" w:hAnsi="Times New Roman"/>
          <w:sz w:val="20"/>
        </w:rPr>
        <w:t xml:space="preserve"> </w:t>
      </w:r>
      <w:r>
        <w:rPr>
          <w:rFonts w:ascii="Times New Roman;serif" w:hAnsi="Times New Roman;serif"/>
          <w:b w:val="false"/>
          <w:sz w:val="20"/>
        </w:rPr>
        <w:t>The total net proceeds from the debt offering, after deducting initial purchase discounts and debt issuance costs, were approximately $389.2</w:t>
      </w:r>
      <w:r>
        <w:rPr>
          <w:rFonts w:ascii="Times New Roman" w:hAnsi="Times New Roman"/>
          <w:sz w:val="20"/>
        </w:rPr>
        <w:t xml:space="preserve"> </w:t>
      </w:r>
      <w:r>
        <w:rPr>
          <w:rFonts w:ascii="Times New Roman;serif" w:hAnsi="Times New Roman;serif"/>
          <w:b w:val="false"/>
          <w:sz w:val="20"/>
        </w:rPr>
        <w:t>million. In connection with the offering of the 2022 Notes, the Company entered into convertible note hedge transactions (the “Convertible Note Hedges”) with certain counterparties in which the Company has the option to purchase (subject to adjustment for certain specified events) up to approximately 4.2</w:t>
      </w:r>
      <w:r>
        <w:rPr>
          <w:rFonts w:ascii="Times New Roman" w:hAnsi="Times New Roman"/>
          <w:sz w:val="20"/>
        </w:rPr>
        <w:t xml:space="preserve"> </w:t>
      </w:r>
      <w:r>
        <w:rPr>
          <w:rFonts w:ascii="Times New Roman;serif" w:hAnsi="Times New Roman;serif"/>
          <w:b w:val="false"/>
          <w:sz w:val="20"/>
        </w:rPr>
        <w:t>million shares of the Company’s common stock at a price of approximately $94.77</w:t>
      </w:r>
      <w:r>
        <w:rPr>
          <w:rFonts w:ascii="Times New Roman" w:hAnsi="Times New Roman"/>
          <w:sz w:val="20"/>
        </w:rPr>
        <w:t xml:space="preserve"> </w:t>
      </w:r>
      <w:r>
        <w:rPr>
          <w:rFonts w:ascii="Times New Roman;serif" w:hAnsi="Times New Roman;serif"/>
          <w:b w:val="false"/>
          <w:sz w:val="20"/>
        </w:rPr>
        <w:t>per share. In addition, the Company sold warrants (the “Warrants”) to certain bank counterparties whereby the holders of the Warrants have the option to initially purchase (subject to adjustment for certain specified events) a total of approximately 4.2</w:t>
      </w:r>
      <w:r>
        <w:rPr>
          <w:rFonts w:ascii="Times New Roman" w:hAnsi="Times New Roman"/>
          <w:sz w:val="20"/>
        </w:rPr>
        <w:t xml:space="preserve"> </w:t>
      </w:r>
      <w:r>
        <w:rPr>
          <w:rFonts w:ascii="Times New Roman;serif" w:hAnsi="Times New Roman;serif"/>
          <w:b w:val="false"/>
          <w:sz w:val="20"/>
        </w:rPr>
        <w:t>million shares of the Company’s common stock at a price of $115.8</w:t>
      </w:r>
      <w:r>
        <w:rPr>
          <w:rFonts w:ascii="Times New Roman" w:hAnsi="Times New Roman"/>
          <w:sz w:val="20"/>
        </w:rPr>
        <w:t xml:space="preserve"> </w:t>
      </w:r>
      <w:r>
        <w:rPr>
          <w:rFonts w:ascii="Times New Roman;serif" w:hAnsi="Times New Roman;serif"/>
          <w:b w:val="false"/>
          <w:sz w:val="20"/>
        </w:rPr>
        <w:t>per share.</w:t>
      </w:r>
    </w:p>
    <w:p>
      <w:pPr>
        <w:pStyle w:val="TextBody"/>
        <w:bidi w:val="0"/>
        <w:spacing w:before="200" w:after="0"/>
        <w:jc w:val="left"/>
        <w:rPr>
          <w:rFonts w:ascii="Times New Roman" w:hAnsi="Times New Roman"/>
          <w:sz w:val="20"/>
        </w:rPr>
      </w:pPr>
      <w:r>
        <w:rPr>
          <w:rFonts w:ascii="Times New Roman;serif" w:hAnsi="Times New Roman;serif"/>
          <w:b w:val="false"/>
          <w:sz w:val="20"/>
        </w:rPr>
        <w:t>On June 1, 2022, upon the maturity of the 2022 Notes, the Company paid $19.4</w:t>
      </w:r>
      <w:r>
        <w:rPr>
          <w:rFonts w:ascii="Times New Roman" w:hAnsi="Times New Roman"/>
          <w:sz w:val="20"/>
        </w:rPr>
        <w:t xml:space="preserve"> </w:t>
      </w:r>
      <w:r>
        <w:rPr>
          <w:rFonts w:ascii="Times New Roman;serif" w:hAnsi="Times New Roman;serif"/>
          <w:b w:val="false"/>
          <w:sz w:val="20"/>
        </w:rPr>
        <w:t>million to satisfy the aggregate principal amount due and $60.4</w:t>
      </w:r>
      <w:r>
        <w:rPr>
          <w:rFonts w:ascii="Times New Roman" w:hAnsi="Times New Roman"/>
          <w:sz w:val="20"/>
        </w:rPr>
        <w:t xml:space="preserve"> </w:t>
      </w:r>
      <w:r>
        <w:rPr>
          <w:rFonts w:ascii="Times New Roman;serif" w:hAnsi="Times New Roman;serif"/>
          <w:b w:val="false"/>
          <w:sz w:val="20"/>
        </w:rPr>
        <w:t>million for the conversion premium in excess of the principal amount. The remaining Convertible Note Hedges were settled in cash and the Company received approximately $60.5</w:t>
      </w:r>
      <w:r>
        <w:rPr>
          <w:rFonts w:ascii="Times New Roman" w:hAnsi="Times New Roman"/>
          <w:sz w:val="20"/>
        </w:rPr>
        <w:t xml:space="preserve"> </w:t>
      </w:r>
      <w:r>
        <w:rPr>
          <w:rFonts w:ascii="Times New Roman;serif" w:hAnsi="Times New Roman;serif"/>
          <w:b w:val="false"/>
          <w:sz w:val="20"/>
        </w:rPr>
        <w:t>million in cash upon settlement. In addition, the remaining 1.4</w:t>
      </w:r>
      <w:r>
        <w:rPr>
          <w:rFonts w:ascii="Times New Roman" w:hAnsi="Times New Roman"/>
          <w:sz w:val="20"/>
        </w:rPr>
        <w:t xml:space="preserve"> </w:t>
      </w:r>
      <w:r>
        <w:rPr>
          <w:rFonts w:ascii="Times New Roman;serif" w:hAnsi="Times New Roman;serif"/>
          <w:b w:val="false"/>
          <w:sz w:val="20"/>
        </w:rPr>
        <w:t>million shares of Warrants were exercised in the fourth quarter of 2022, which the Company net share settled and issued 0.8</w:t>
      </w:r>
      <w:r>
        <w:rPr>
          <w:rFonts w:ascii="Times New Roman" w:hAnsi="Times New Roman"/>
          <w:sz w:val="20"/>
        </w:rPr>
        <w:t xml:space="preserve"> </w:t>
      </w:r>
      <w:r>
        <w:rPr>
          <w:rFonts w:ascii="Times New Roman;serif" w:hAnsi="Times New Roman;serif"/>
          <w:b w:val="false"/>
          <w:sz w:val="20"/>
        </w:rPr>
        <w:t>million shares of its common stock.</w:t>
      </w:r>
      <w:r>
        <w:rPr>
          <w:rFonts w:ascii="Times New Roman" w:hAnsi="Times New Roman"/>
          <w:sz w:val="20"/>
        </w:rPr>
        <w:t xml:space="preserve"> </w:t>
      </w:r>
    </w:p>
    <w:p>
      <w:pPr>
        <w:pStyle w:val="TextBody"/>
        <w:bidi w:val="0"/>
        <w:spacing w:before="200" w:after="0"/>
        <w:jc w:val="left"/>
        <w:rPr>
          <w:rFonts w:ascii="Times New Roman;serif" w:hAnsi="Times New Roman;serif"/>
          <w:b/>
          <w:sz w:val="20"/>
        </w:rPr>
      </w:pPr>
      <w:r>
        <w:rPr>
          <w:rFonts w:ascii="Times New Roman;serif" w:hAnsi="Times New Roman;serif"/>
          <w:b/>
          <w:sz w:val="20"/>
        </w:rPr>
        <w:t>9. Leases</w:t>
      </w:r>
    </w:p>
    <w:p>
      <w:pPr>
        <w:pStyle w:val="TextBody"/>
        <w:bidi w:val="0"/>
        <w:spacing w:before="200" w:after="0"/>
        <w:jc w:val="left"/>
        <w:rPr>
          <w:rFonts w:ascii="Times New Roman" w:hAnsi="Times New Roman"/>
          <w:sz w:val="20"/>
        </w:rPr>
      </w:pPr>
      <w:r>
        <w:rPr>
          <w:rFonts w:ascii="Times New Roman;serif" w:hAnsi="Times New Roman;serif"/>
          <w:b w:val="false"/>
          <w:sz w:val="20"/>
        </w:rPr>
        <w:t>The Company leases office facilities under non-cancelable operating leases that expire at various dates through February 2035.</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During the six months ended June 30, 2023, the lease term began, was amended, or extended for various leases of office spaces globally. The Company recorded an increase of $1.3</w:t>
      </w:r>
      <w:r>
        <w:rPr>
          <w:rFonts w:ascii="Times New Roman" w:hAnsi="Times New Roman"/>
          <w:sz w:val="20"/>
        </w:rPr>
        <w:t xml:space="preserve"> </w:t>
      </w:r>
      <w:r>
        <w:rPr>
          <w:rFonts w:ascii="Times New Roman;serif" w:hAnsi="Times New Roman;serif"/>
          <w:b w:val="false"/>
          <w:sz w:val="20"/>
        </w:rPr>
        <w:t>million of right-of-use assets and $6.7</w:t>
      </w:r>
      <w:r>
        <w:rPr>
          <w:rFonts w:ascii="Times New Roman" w:hAnsi="Times New Roman"/>
          <w:sz w:val="20"/>
        </w:rPr>
        <w:t xml:space="preserve"> </w:t>
      </w:r>
      <w:r>
        <w:rPr>
          <w:rFonts w:ascii="Times New Roman;serif" w:hAnsi="Times New Roman;serif"/>
          <w:b w:val="false"/>
          <w:sz w:val="20"/>
        </w:rPr>
        <w:t>million of lease liabilities for these leases during the period upon the lease commencement, amendment, or extension. Refer to Note 15 regarding the lease terminations and abandonments in connection with the Restructuring Plan.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 w:hAnsi="Times New Roman"/>
          <w:sz w:val="20"/>
        </w:rPr>
      </w:pPr>
      <w:r>
        <w:rPr>
          <w:rFonts w:ascii="Times New Roman;serif" w:hAnsi="Times New Roman;serif"/>
          <w:b w:val="false"/>
          <w:sz w:val="20"/>
        </w:rPr>
        <w:t>The Company uses its estimated incremental borrowing rate, which is derived from information available at the lease commencement date, in determining the present value of operating lease payments. To determine the estimated incremental borrowing rate, the Company uses publicly available credit ratings for peer companies. The Company estimates the incremental borrowing rate using yields for maturities that are in line with the duration of the lease payments. The weighted average discount rate for operating leases as of June 30, 2023</w:t>
      </w:r>
      <w:r>
        <w:rPr>
          <w:rFonts w:ascii="Times New Roman" w:hAnsi="Times New Roman"/>
          <w:sz w:val="20"/>
        </w:rPr>
        <w:t xml:space="preserve"> </w:t>
      </w:r>
      <w:r>
        <w:rPr>
          <w:rFonts w:ascii="Times New Roman;serif" w:hAnsi="Times New Roman;serif"/>
          <w:b w:val="false"/>
          <w:sz w:val="20"/>
        </w:rPr>
        <w:t>was 4.9%.</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Operating lease expense and cash payments related to operating lease liabilities for the three and six months ended June 30, 2023 and 2022 are as follows:</w:t>
      </w:r>
      <w:r>
        <w:rPr>
          <w:rFonts w:ascii="Times New Roman" w:hAnsi="Times New Roman"/>
          <w:sz w:val="20"/>
        </w:rPr>
        <w:t xml:space="preserve"> </w:t>
      </w:r>
    </w:p>
    <w:tbl>
      <w:tblPr>
        <w:tblW w:w="7047" w:type="dxa"/>
        <w:jc w:val="left"/>
        <w:tblInd w:w="0" w:type="dxa"/>
        <w:tblLayout w:type="fixed"/>
        <w:tblCellMar>
          <w:top w:w="28" w:type="dxa"/>
          <w:left w:w="28" w:type="dxa"/>
          <w:bottom w:w="28" w:type="dxa"/>
          <w:right w:w="28" w:type="dxa"/>
        </w:tblCellMar>
      </w:tblPr>
      <w:tblGrid>
        <w:gridCol w:w="2086"/>
        <w:gridCol w:w="146"/>
        <w:gridCol w:w="231"/>
        <w:gridCol w:w="741"/>
        <w:gridCol w:w="160"/>
        <w:gridCol w:w="160"/>
        <w:gridCol w:w="231"/>
        <w:gridCol w:w="741"/>
        <w:gridCol w:w="146"/>
        <w:gridCol w:w="146"/>
        <w:gridCol w:w="211"/>
        <w:gridCol w:w="677"/>
        <w:gridCol w:w="146"/>
        <w:gridCol w:w="146"/>
        <w:gridCol w:w="211"/>
        <w:gridCol w:w="677"/>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8"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expense</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9,989</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righ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21,697</w:t>
            </w:r>
          </w:p>
        </w:tc>
        <w:tc>
          <w:tcPr>
            <w:tcW w:w="191" w:type="dxa"/>
            <w:tcBorders/>
            <w:vAlign w:val="center"/>
          </w:tcPr>
          <w:p>
            <w:pPr>
              <w:pStyle w:val="TableContents"/>
              <w:bidi w:val="0"/>
              <w:spacing w:before="0" w:after="0"/>
              <w:ind w:left="0" w:right="0" w:hanging="0"/>
              <w:jc w:val="left"/>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payments</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16,705</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righ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20,939</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00" w:after="0"/>
        <w:jc w:val="left"/>
        <w:rPr>
          <w:rFonts w:ascii="Times New Roman" w:hAnsi="Times New Roman"/>
          <w:sz w:val="20"/>
        </w:rPr>
      </w:pPr>
      <w:r>
        <w:rPr>
          <w:rFonts w:ascii="Times New Roman;serif" w:hAnsi="Times New Roman;serif"/>
          <w:b w:val="false"/>
          <w:sz w:val="20"/>
        </w:rPr>
        <w:t xml:space="preserve">The Company subleases some of its unused spaces to third parties. Operating sublease income generated under all operating lease agreements for the three and six months ended June 30, 2023 and 2022 are as follows: </w:t>
        <w:br/>
      </w:r>
      <w:r>
        <w:rPr>
          <w:rFonts w:ascii="Times New Roman" w:hAnsi="Times New Roman"/>
          <w:sz w:val="20"/>
        </w:rPr>
        <w:t> </w:t>
      </w:r>
    </w:p>
    <w:tbl>
      <w:tblPr>
        <w:tblW w:w="7272" w:type="dxa"/>
        <w:jc w:val="left"/>
        <w:tblInd w:w="0" w:type="dxa"/>
        <w:tblLayout w:type="fixed"/>
        <w:tblCellMar>
          <w:top w:w="28" w:type="dxa"/>
          <w:left w:w="28" w:type="dxa"/>
          <w:bottom w:w="28" w:type="dxa"/>
          <w:right w:w="28" w:type="dxa"/>
        </w:tblCellMar>
      </w:tblPr>
      <w:tblGrid>
        <w:gridCol w:w="2311"/>
        <w:gridCol w:w="146"/>
        <w:gridCol w:w="257"/>
        <w:gridCol w:w="697"/>
        <w:gridCol w:w="178"/>
        <w:gridCol w:w="178"/>
        <w:gridCol w:w="257"/>
        <w:gridCol w:w="697"/>
        <w:gridCol w:w="146"/>
        <w:gridCol w:w="146"/>
        <w:gridCol w:w="235"/>
        <w:gridCol w:w="637"/>
        <w:gridCol w:w="162"/>
        <w:gridCol w:w="162"/>
        <w:gridCol w:w="235"/>
        <w:gridCol w:w="637"/>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8"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sublease income</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2,015</w:t>
            </w:r>
          </w:p>
        </w:tc>
        <w:tc>
          <w:tcPr>
            <w:tcW w:w="178"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righ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4,042</w:t>
            </w:r>
          </w:p>
        </w:tc>
        <w:tc>
          <w:tcPr>
            <w:tcW w:w="162"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2,288</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00" w:after="0"/>
        <w:jc w:val="left"/>
        <w:rPr/>
      </w:pPr>
      <w:r>
        <w:rPr/>
        <w:t> </w:t>
      </w:r>
    </w:p>
    <w:p>
      <w:pPr>
        <w:pStyle w:val="TextBody"/>
        <w:bidi w:val="0"/>
        <w:spacing w:before="200" w:after="0"/>
        <w:jc w:val="left"/>
        <w:rPr>
          <w:rFonts w:ascii="Times New Roman;serif" w:hAnsi="Times New Roman;serif"/>
          <w:b/>
          <w:sz w:val="20"/>
        </w:rPr>
      </w:pPr>
      <w:r>
        <w:rPr>
          <w:rFonts w:ascii="Times New Roman;serif" w:hAnsi="Times New Roman;serif"/>
          <w:b/>
          <w:sz w:val="20"/>
        </w:rPr>
        <w:t>10. Commitments and Contingencies</w:t>
      </w:r>
    </w:p>
    <w:p>
      <w:pPr>
        <w:pStyle w:val="TextBody"/>
        <w:bidi w:val="0"/>
        <w:spacing w:before="200" w:after="0"/>
        <w:jc w:val="left"/>
        <w:rPr>
          <w:rFonts w:ascii="Times New Roman;serif" w:hAnsi="Times New Roman;serif"/>
          <w:b/>
          <w:i/>
          <w:sz w:val="20"/>
        </w:rPr>
      </w:pPr>
      <w:r>
        <w:rPr>
          <w:rFonts w:ascii="Times New Roman;serif" w:hAnsi="Times New Roman;serif"/>
          <w:b/>
          <w:i/>
          <w:sz w:val="20"/>
        </w:rPr>
        <w:t>Contractual Obligations</w:t>
      </w:r>
    </w:p>
    <w:p>
      <w:pPr>
        <w:pStyle w:val="TextBody"/>
        <w:bidi w:val="0"/>
        <w:spacing w:before="200" w:after="0"/>
        <w:jc w:val="left"/>
        <w:rPr>
          <w:rFonts w:ascii="Times New Roman" w:hAnsi="Times New Roman"/>
          <w:sz w:val="20"/>
        </w:rPr>
      </w:pPr>
      <w:r>
        <w:rPr>
          <w:rFonts w:ascii="Times New Roman;serif" w:hAnsi="Times New Roman;serif"/>
          <w:b w:val="false"/>
          <w:sz w:val="20"/>
        </w:rPr>
        <w:t>The Company leases its office facilities under non-cancelable operating leases that expire at various dates through February 2035. Certain leases contain optional termination dates. The table below only includes payments up to the optional termination date. If the Company were to extend leases beyond the optional termination date, the future commitments would increase by approximately $78.5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Future minimum payments under all operating lease agreements as of June 30, 2023 are as follows (in thousands):</w:t>
        <w:br/>
      </w:r>
      <w:r>
        <w:rPr>
          <w:rFonts w:ascii="Times New Roman" w:hAnsi="Times New Roman"/>
          <w:sz w:val="20"/>
        </w:rPr>
        <w:t> </w:t>
      </w:r>
    </w:p>
    <w:tbl>
      <w:tblPr>
        <w:tblW w:w="3210" w:type="dxa"/>
        <w:jc w:val="left"/>
        <w:tblInd w:w="0" w:type="dxa"/>
        <w:tblLayout w:type="fixed"/>
        <w:tblCellMar>
          <w:top w:w="28" w:type="dxa"/>
          <w:left w:w="28" w:type="dxa"/>
          <w:bottom w:w="28" w:type="dxa"/>
          <w:right w:w="28" w:type="dxa"/>
        </w:tblCellMar>
      </w:tblPr>
      <w:tblGrid>
        <w:gridCol w:w="1681"/>
        <w:gridCol w:w="146"/>
        <w:gridCol w:w="211"/>
        <w:gridCol w:w="781"/>
        <w:gridCol w:w="3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Remainder of 2023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26,898</w:t>
            </w:r>
          </w:p>
        </w:tc>
        <w:tc>
          <w:tcPr>
            <w:tcW w:w="3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51,501</w:t>
            </w:r>
          </w:p>
        </w:tc>
        <w:tc>
          <w:tcPr>
            <w:tcW w:w="3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51,096</w:t>
            </w:r>
          </w:p>
        </w:tc>
        <w:tc>
          <w:tcPr>
            <w:tcW w:w="3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50,771</w:t>
            </w:r>
          </w:p>
        </w:tc>
        <w:tc>
          <w:tcPr>
            <w:tcW w:w="3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46,732</w:t>
            </w:r>
          </w:p>
        </w:tc>
        <w:tc>
          <w:tcPr>
            <w:tcW w:w="3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197,072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6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424,070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left"/>
        <w:rPr>
          <w:rFonts w:ascii="Times New Roman" w:hAnsi="Times New Roman"/>
          <w:sz w:val="20"/>
        </w:rPr>
      </w:pPr>
      <w:r>
        <w:rPr>
          <w:rFonts w:ascii="Times New Roman;serif" w:hAnsi="Times New Roman;serif"/>
          <w:b w:val="false"/>
          <w:sz w:val="20"/>
        </w:rPr>
        <w:t>Future minimum payments under all</w:t>
      </w:r>
      <w:r>
        <w:rPr>
          <w:rFonts w:ascii="Times New Roman" w:hAnsi="Times New Roman"/>
          <w:sz w:val="20"/>
        </w:rPr>
        <w:t xml:space="preserve"> </w:t>
      </w:r>
      <w:r>
        <w:rPr>
          <w:rFonts w:ascii="Times New Roman;serif" w:hAnsi="Times New Roman;serif"/>
          <w:b w:val="false"/>
          <w:sz w:val="20"/>
        </w:rPr>
        <w:t>non-cancelable vendor commitments as of June 30, 2023 and agreements entered into since then are as follows (in thousands):</w:t>
        <w:br/>
      </w:r>
      <w:r>
        <w:rPr>
          <w:rFonts w:ascii="Times New Roman" w:hAnsi="Times New Roman"/>
          <w:sz w:val="20"/>
        </w:rPr>
        <w:t> </w:t>
      </w:r>
    </w:p>
    <w:tbl>
      <w:tblPr>
        <w:tblW w:w="3210" w:type="dxa"/>
        <w:jc w:val="left"/>
        <w:tblInd w:w="0" w:type="dxa"/>
        <w:tblLayout w:type="fixed"/>
        <w:tblCellMar>
          <w:top w:w="28" w:type="dxa"/>
          <w:left w:w="28" w:type="dxa"/>
          <w:bottom w:w="28" w:type="dxa"/>
          <w:right w:w="28" w:type="dxa"/>
        </w:tblCellMar>
      </w:tblPr>
      <w:tblGrid>
        <w:gridCol w:w="1681"/>
        <w:gridCol w:w="146"/>
        <w:gridCol w:w="211"/>
        <w:gridCol w:w="781"/>
        <w:gridCol w:w="3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Remainder of 2023</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85,854</w:t>
            </w:r>
          </w:p>
        </w:tc>
        <w:tc>
          <w:tcPr>
            <w:tcW w:w="3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2024</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204,060</w:t>
            </w:r>
          </w:p>
        </w:tc>
        <w:tc>
          <w:tcPr>
            <w:tcW w:w="3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2025</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214,307</w:t>
            </w:r>
          </w:p>
        </w:tc>
        <w:tc>
          <w:tcPr>
            <w:tcW w:w="3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2026</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220,209</w:t>
            </w:r>
          </w:p>
        </w:tc>
        <w:tc>
          <w:tcPr>
            <w:tcW w:w="3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2027</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187,684</w:t>
            </w:r>
          </w:p>
        </w:tc>
        <w:tc>
          <w:tcPr>
            <w:tcW w:w="3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9"/>
              </w:rPr>
              <w:t>Thereafter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184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681"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19"/>
              </w:rPr>
              <w:t>Total</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912,298</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left"/>
        <w:rPr>
          <w:rFonts w:ascii="Times New Roman;serif" w:hAnsi="Times New Roman;serif"/>
          <w:b/>
          <w:i/>
          <w:sz w:val="20"/>
        </w:rPr>
      </w:pPr>
      <w:r>
        <w:rPr>
          <w:rFonts w:ascii="Times New Roman;serif" w:hAnsi="Times New Roman;serif"/>
          <w:b/>
          <w:i/>
          <w:sz w:val="20"/>
        </w:rPr>
        <w:t>Legal Contingencies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From time to time, the Company may become a party to litigation and subject to claims incident to the ordinary course of business, including intellectual property claims, labor and employment claims, and threatened claims, breach of contract claims, tax, and other matters. The Company currently has no material pending litigation.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pPr>
      <w:r>
        <w:rPr/>
        <w:t> </w:t>
      </w:r>
    </w:p>
    <w:p>
      <w:pPr>
        <w:pStyle w:val="TextBody"/>
        <w:bidi w:val="0"/>
        <w:spacing w:before="200" w:after="0"/>
        <w:jc w:val="left"/>
        <w:rPr>
          <w:rFonts w:ascii="Times New Roman;serif" w:hAnsi="Times New Roman;serif"/>
          <w:b/>
          <w:sz w:val="20"/>
        </w:rPr>
      </w:pPr>
      <w:r>
        <w:rPr>
          <w:rFonts w:ascii="Times New Roman;serif" w:hAnsi="Times New Roman;serif"/>
          <w:b/>
          <w:sz w:val="20"/>
        </w:rPr>
        <w:t>11. Changes in Accumulated Other Comprehensive Loss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following table summarizes the changes in accumulated other comprehensive loss, which is reported as a component of stockholders’ equity, for the six months ended June 30, 2023.</w:t>
      </w:r>
    </w:p>
    <w:tbl>
      <w:tblPr>
        <w:tblW w:w="9895" w:type="dxa"/>
        <w:jc w:val="left"/>
        <w:tblInd w:w="0" w:type="dxa"/>
        <w:tblLayout w:type="fixed"/>
        <w:tblCellMar>
          <w:top w:w="28" w:type="dxa"/>
          <w:left w:w="28" w:type="dxa"/>
          <w:bottom w:w="28" w:type="dxa"/>
          <w:right w:w="28" w:type="dxa"/>
        </w:tblCellMar>
      </w:tblPr>
      <w:tblGrid>
        <w:gridCol w:w="4156"/>
        <w:gridCol w:w="146"/>
        <w:gridCol w:w="508"/>
        <w:gridCol w:w="2207"/>
        <w:gridCol w:w="166"/>
        <w:gridCol w:w="146"/>
        <w:gridCol w:w="180"/>
        <w:gridCol w:w="781"/>
        <w:gridCol w:w="166"/>
        <w:gridCol w:w="146"/>
        <w:gridCol w:w="146"/>
        <w:gridCol w:w="736"/>
        <w:gridCol w:w="4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Cumulative Translation Adjustment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Unrealized </w:t>
              <w:br/>
              <w:t>Loss on</w:t>
              <w:br/>
              <w:t>Investments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82"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 at January 1, 2023</w:t>
            </w:r>
          </w:p>
        </w:tc>
        <w:tc>
          <w:tcPr>
            <w:tcW w:w="146" w:type="dxa"/>
            <w:tcBorders/>
            <w:vAlign w:val="center"/>
          </w:tcPr>
          <w:p>
            <w:pPr>
              <w:pStyle w:val="TableContents"/>
              <w:bidi w:val="0"/>
              <w:spacing w:before="0" w:after="0"/>
              <w:ind w:left="0" w:right="0" w:hanging="0"/>
              <w:jc w:val="left"/>
              <w:rPr/>
            </w:pPr>
            <w:r>
              <w:rPr/>
              <w:t> </w:t>
            </w:r>
          </w:p>
        </w:tc>
        <w:tc>
          <w:tcPr>
            <w:tcW w:w="508" w:type="dxa"/>
            <w:tcBorders/>
            <w:vAlign w:val="center"/>
          </w:tcPr>
          <w:p>
            <w:pPr>
              <w:pStyle w:val="TableContents"/>
              <w:bidi w:val="0"/>
              <w:spacing w:before="0" w:after="0"/>
              <w:ind w:left="0" w:right="0" w:hanging="0"/>
              <w:jc w:val="left"/>
              <w:rPr/>
            </w:pPr>
            <w:r>
              <w:rPr/>
              <w:t> </w:t>
            </w:r>
          </w:p>
        </w:tc>
        <w:tc>
          <w:tcPr>
            <w:tcW w:w="22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(3,070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80"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(12,890</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1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comprehensive gain before reclassifications</w:t>
            </w:r>
          </w:p>
        </w:tc>
        <w:tc>
          <w:tcPr>
            <w:tcW w:w="146" w:type="dxa"/>
            <w:tcBorders/>
            <w:vAlign w:val="center"/>
          </w:tcPr>
          <w:p>
            <w:pPr>
              <w:pStyle w:val="TableContents"/>
              <w:bidi w:val="0"/>
              <w:spacing w:before="0" w:after="0"/>
              <w:ind w:left="0" w:right="0" w:hanging="0"/>
              <w:jc w:val="left"/>
              <w:rPr/>
            </w:pPr>
            <w:r>
              <w:rPr/>
              <w:t> </w:t>
            </w:r>
          </w:p>
        </w:tc>
        <w:tc>
          <w:tcPr>
            <w:tcW w:w="508" w:type="dxa"/>
            <w:tcBorders/>
            <w:vAlign w:val="center"/>
          </w:tcPr>
          <w:p>
            <w:pPr>
              <w:pStyle w:val="TableContents"/>
              <w:bidi w:val="0"/>
              <w:spacing w:before="0" w:after="0"/>
              <w:ind w:left="0" w:right="0" w:hanging="0"/>
              <w:jc w:val="left"/>
              <w:rPr/>
            </w:pPr>
            <w:r>
              <w:rPr/>
              <w:t> </w:t>
            </w:r>
          </w:p>
        </w:tc>
        <w:tc>
          <w:tcPr>
            <w:tcW w:w="22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0"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4,505</w:t>
            </w:r>
          </w:p>
        </w:tc>
        <w:tc>
          <w:tcPr>
            <w:tcW w:w="411" w:type="dxa"/>
            <w:tcBorders/>
            <w:vAlign w:val="center"/>
          </w:tcPr>
          <w:p>
            <w:pPr>
              <w:pStyle w:val="TableContents"/>
              <w:bidi w:val="0"/>
              <w:spacing w:before="0" w:after="0"/>
              <w:ind w:left="0" w:right="0" w:firstLine="200"/>
              <w:jc w:val="left"/>
              <w:rPr/>
            </w:pPr>
            <w:r>
              <w:rPr/>
              <w:t> </w:t>
            </w:r>
          </w:p>
        </w:tc>
      </w:tr>
      <w:tr>
        <w:trPr/>
        <w:tc>
          <w:tcPr>
            <w:tcW w:w="41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 xml:space="preserve">Amounts reclassified from accumulated other </w:t>
              <w:br/>
              <w:t>  comprehensive income</w:t>
            </w:r>
          </w:p>
        </w:tc>
        <w:tc>
          <w:tcPr>
            <w:tcW w:w="146" w:type="dxa"/>
            <w:tcBorders/>
            <w:vAlign w:val="center"/>
          </w:tcPr>
          <w:p>
            <w:pPr>
              <w:pStyle w:val="TableContents"/>
              <w:bidi w:val="0"/>
              <w:spacing w:before="0" w:after="0"/>
              <w:ind w:left="0" w:right="0" w:hanging="0"/>
              <w:jc w:val="left"/>
              <w:rPr/>
            </w:pPr>
            <w:r>
              <w:rPr/>
              <w:t> </w:t>
            </w:r>
          </w:p>
        </w:tc>
        <w:tc>
          <w:tcPr>
            <w:tcW w:w="5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 at June 30, 2023</w:t>
            </w:r>
          </w:p>
        </w:tc>
        <w:tc>
          <w:tcPr>
            <w:tcW w:w="146" w:type="dxa"/>
            <w:tcBorders/>
            <w:vAlign w:val="center"/>
          </w:tcPr>
          <w:p>
            <w:pPr>
              <w:pStyle w:val="TableContents"/>
              <w:bidi w:val="0"/>
              <w:spacing w:before="0" w:after="0"/>
              <w:ind w:left="0" w:right="0" w:hanging="0"/>
              <w:jc w:val="left"/>
              <w:rPr/>
            </w:pPr>
            <w:r>
              <w:rPr/>
              <w:t> </w:t>
            </w:r>
          </w:p>
        </w:tc>
        <w:tc>
          <w:tcPr>
            <w:tcW w:w="5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(6,341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(8,385</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00" w:after="0"/>
        <w:jc w:val="left"/>
        <w:rPr/>
      </w:pPr>
      <w:r>
        <w:rPr/>
        <w:t> </w:t>
      </w:r>
    </w:p>
    <w:p>
      <w:pPr>
        <w:pStyle w:val="TextBody"/>
        <w:bidi w:val="0"/>
        <w:spacing w:before="200" w:after="0"/>
        <w:jc w:val="left"/>
        <w:rPr>
          <w:rFonts w:ascii="Times New Roman;serif" w:hAnsi="Times New Roman;serif"/>
          <w:b/>
          <w:sz w:val="20"/>
        </w:rPr>
      </w:pPr>
      <w:r>
        <w:rPr>
          <w:rFonts w:ascii="Times New Roman;serif" w:hAnsi="Times New Roman;serif"/>
          <w:b/>
          <w:sz w:val="20"/>
        </w:rPr>
        <w:t>12. Stock-Based Compensation Expense</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following two tables show stock-based compensation expense by award type and where the stock-based compensation expense is recorded in the Company’s consolidated statements of operations:</w:t>
      </w:r>
    </w:p>
    <w:tbl>
      <w:tblPr>
        <w:tblW w:w="8820" w:type="dxa"/>
        <w:jc w:val="left"/>
        <w:tblInd w:w="0" w:type="dxa"/>
        <w:tblLayout w:type="fixed"/>
        <w:tblCellMar>
          <w:top w:w="28" w:type="dxa"/>
          <w:left w:w="28" w:type="dxa"/>
          <w:bottom w:w="28" w:type="dxa"/>
          <w:right w:w="28" w:type="dxa"/>
        </w:tblCellMar>
      </w:tblPr>
      <w:tblGrid>
        <w:gridCol w:w="3451"/>
        <w:gridCol w:w="146"/>
        <w:gridCol w:w="220"/>
        <w:gridCol w:w="815"/>
        <w:gridCol w:w="152"/>
        <w:gridCol w:w="152"/>
        <w:gridCol w:w="220"/>
        <w:gridCol w:w="705"/>
        <w:gridCol w:w="146"/>
        <w:gridCol w:w="146"/>
        <w:gridCol w:w="211"/>
        <w:gridCol w:w="781"/>
        <w:gridCol w:w="146"/>
        <w:gridCol w:w="146"/>
        <w:gridCol w:w="211"/>
        <w:gridCol w:w="781"/>
        <w:gridCol w:w="3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2" w:type="dxa"/>
            <w:tcBorders/>
            <w:vAlign w:val="center"/>
          </w:tcPr>
          <w:p>
            <w:pPr>
              <w:pStyle w:val="TableContents"/>
              <w:bidi w:val="0"/>
              <w:spacing w:before="0" w:after="0"/>
              <w:ind w:left="0" w:right="0" w:hanging="0"/>
              <w:jc w:val="center"/>
              <w:rPr/>
            </w:pPr>
            <w:r>
              <w:rPr/>
              <w:t> </w:t>
            </w:r>
          </w:p>
        </w:tc>
        <w:tc>
          <w:tcPr>
            <w:tcW w:w="9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7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3,133</w:t>
            </w:r>
          </w:p>
        </w:tc>
        <w:tc>
          <w:tcPr>
            <w:tcW w:w="152"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5,141</w:t>
            </w:r>
          </w:p>
        </w:tc>
        <w:tc>
          <w:tcPr>
            <w:tcW w:w="3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RSUs</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117,891</w:t>
            </w:r>
          </w:p>
        </w:tc>
        <w:tc>
          <w:tcPr>
            <w:tcW w:w="152"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75,435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190,937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116,253</w:t>
            </w:r>
          </w:p>
        </w:tc>
        <w:tc>
          <w:tcPr>
            <w:tcW w:w="3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PSUs</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2,783</w:t>
            </w:r>
          </w:p>
        </w:tc>
        <w:tc>
          <w:tcPr>
            <w:tcW w:w="152"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Employee stock purchase plan</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4,196</w:t>
            </w:r>
          </w:p>
        </w:tc>
        <w:tc>
          <w:tcPr>
            <w:tcW w:w="1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8,245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5,474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4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stock-based compensation expense</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128,003</w:t>
            </w:r>
          </w:p>
        </w:tc>
        <w:tc>
          <w:tcPr>
            <w:tcW w:w="1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81,165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211,038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126,868</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left"/>
        <w:rPr>
          <w:rFonts w:ascii="Times New Roman" w:hAnsi="Times New Roman"/>
          <w:sz w:val="20"/>
        </w:rPr>
      </w:pPr>
      <w:r>
        <w:rPr>
          <w:rFonts w:ascii="Times New Roman;serif" w:hAnsi="Times New Roman;serif"/>
          <w:b w:val="false"/>
          <w:sz w:val="20"/>
        </w:rPr>
        <w:t>In the first quarter of 2023, the Compensation Committee of the Board of Directors approved the grant of performance-based restricted stock units (“PSUs”) that are eligible to be earned upon the achievement of a pre-determined revenue growth metric. To the extent earned, 33% of the PSUs will vest in the first quarter of 2024 and the remaining 67% will vest in eight equal quarterly installments thereafter. No PSUs will be earned if the pre-determined revenue growth metric is not achieved, and the overall number of shares that may be earned shall not exceed 150% of the target award. Stock-based compensation costs for PSUs are recognized using the graded vesting attribution method over the requisite service period.</w:t>
        <w:br/>
      </w:r>
      <w:r>
        <w:rPr>
          <w:rFonts w:ascii="Times New Roman" w:hAnsi="Times New Roman"/>
          <w:sz w:val="20"/>
        </w:rPr>
        <w:t> </w:t>
      </w:r>
    </w:p>
    <w:p>
      <w:pPr>
        <w:pStyle w:val="TextBody"/>
        <w:bidi w:val="0"/>
        <w:spacing w:before="200" w:after="0"/>
        <w:jc w:val="left"/>
        <w:rPr>
          <w:rFonts w:ascii="Times New Roman" w:hAnsi="Times New Roman"/>
          <w:sz w:val="20"/>
        </w:rPr>
      </w:pPr>
      <w:r>
        <w:rPr>
          <w:rFonts w:ascii="Times New Roman;serif" w:hAnsi="Times New Roman;serif"/>
          <w:b w:val="false"/>
          <w:sz w:val="20"/>
        </w:rPr>
        <w:t xml:space="preserve">Effect of stock-based compensation expense on income by line item: </w:t>
        <w:br/>
      </w:r>
      <w:r>
        <w:rPr>
          <w:rFonts w:ascii="Times New Roman" w:hAnsi="Times New Roman"/>
          <w:sz w:val="20"/>
        </w:rPr>
        <w:t> </w:t>
      </w:r>
    </w:p>
    <w:tbl>
      <w:tblPr>
        <w:tblW w:w="9345" w:type="dxa"/>
        <w:jc w:val="left"/>
        <w:tblInd w:w="0" w:type="dxa"/>
        <w:tblLayout w:type="fixed"/>
        <w:tblCellMar>
          <w:top w:w="28" w:type="dxa"/>
          <w:left w:w="28" w:type="dxa"/>
          <w:bottom w:w="28" w:type="dxa"/>
          <w:right w:w="28" w:type="dxa"/>
        </w:tblCellMar>
      </w:tblPr>
      <w:tblGrid>
        <w:gridCol w:w="3976"/>
        <w:gridCol w:w="146"/>
        <w:gridCol w:w="220"/>
        <w:gridCol w:w="815"/>
        <w:gridCol w:w="152"/>
        <w:gridCol w:w="152"/>
        <w:gridCol w:w="220"/>
        <w:gridCol w:w="705"/>
        <w:gridCol w:w="146"/>
        <w:gridCol w:w="146"/>
        <w:gridCol w:w="211"/>
        <w:gridCol w:w="781"/>
        <w:gridCol w:w="146"/>
        <w:gridCol w:w="146"/>
        <w:gridCol w:w="211"/>
        <w:gridCol w:w="781"/>
        <w:gridCol w:w="39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2" w:type="dxa"/>
            <w:tcBorders/>
            <w:vAlign w:val="center"/>
          </w:tcPr>
          <w:p>
            <w:pPr>
              <w:pStyle w:val="TableContents"/>
              <w:bidi w:val="0"/>
              <w:spacing w:before="0" w:after="0"/>
              <w:ind w:left="0" w:right="0" w:hanging="0"/>
              <w:jc w:val="left"/>
              <w:rPr/>
            </w:pPr>
            <w:r>
              <w:rPr/>
              <w:t> </w:t>
            </w:r>
          </w:p>
        </w:tc>
        <w:tc>
          <w:tcPr>
            <w:tcW w:w="9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7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vAlign w:val="center"/>
          </w:tcPr>
          <w:p>
            <w:pPr>
              <w:pStyle w:val="TableContents"/>
              <w:bidi w:val="0"/>
              <w:spacing w:before="0" w:after="0"/>
              <w:ind w:left="0" w:right="0" w:hanging="0"/>
              <w:jc w:val="center"/>
              <w:rPr/>
            </w:pPr>
            <w:r>
              <w:rPr/>
              <w:t> </w:t>
            </w:r>
          </w:p>
        </w:tc>
      </w:tr>
      <w:tr>
        <w:trPr/>
        <w:tc>
          <w:tcPr>
            <w:tcW w:w="3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 subscription</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3,516</w:t>
            </w:r>
          </w:p>
        </w:tc>
        <w:tc>
          <w:tcPr>
            <w:tcW w:w="152"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4,206</w:t>
            </w:r>
          </w:p>
        </w:tc>
        <w:tc>
          <w:tcPr>
            <w:tcW w:w="391" w:type="dxa"/>
            <w:tcBorders/>
            <w:vAlign w:val="center"/>
          </w:tcPr>
          <w:p>
            <w:pPr>
              <w:pStyle w:val="TableContents"/>
              <w:bidi w:val="0"/>
              <w:spacing w:before="0" w:after="0"/>
              <w:ind w:left="0" w:right="0" w:hanging="0"/>
              <w:jc w:val="left"/>
              <w:rPr/>
            </w:pPr>
            <w:r>
              <w:rPr/>
              <w:t> </w:t>
            </w:r>
          </w:p>
        </w:tc>
      </w:tr>
      <w:tr>
        <w:trPr/>
        <w:tc>
          <w:tcPr>
            <w:tcW w:w="3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 professional services and other</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1,459</w:t>
            </w:r>
          </w:p>
        </w:tc>
        <w:tc>
          <w:tcPr>
            <w:tcW w:w="152"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2,083</w:t>
            </w:r>
          </w:p>
        </w:tc>
        <w:tc>
          <w:tcPr>
            <w:tcW w:w="391" w:type="dxa"/>
            <w:tcBorders/>
            <w:vAlign w:val="center"/>
          </w:tcPr>
          <w:p>
            <w:pPr>
              <w:pStyle w:val="TableContents"/>
              <w:bidi w:val="0"/>
              <w:spacing w:before="0" w:after="0"/>
              <w:ind w:left="0" w:right="0" w:hanging="0"/>
              <w:jc w:val="left"/>
              <w:rPr/>
            </w:pPr>
            <w:r>
              <w:rPr/>
              <w:t> </w:t>
            </w:r>
          </w:p>
        </w:tc>
      </w:tr>
      <w:tr>
        <w:trPr/>
        <w:tc>
          <w:tcPr>
            <w:tcW w:w="3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64,060</w:t>
            </w:r>
          </w:p>
        </w:tc>
        <w:tc>
          <w:tcPr>
            <w:tcW w:w="152"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97,384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48,684</w:t>
            </w:r>
          </w:p>
        </w:tc>
        <w:tc>
          <w:tcPr>
            <w:tcW w:w="391" w:type="dxa"/>
            <w:tcBorders/>
            <w:vAlign w:val="center"/>
          </w:tcPr>
          <w:p>
            <w:pPr>
              <w:pStyle w:val="TableContents"/>
              <w:bidi w:val="0"/>
              <w:spacing w:before="0" w:after="0"/>
              <w:ind w:left="0" w:right="0" w:hanging="0"/>
              <w:jc w:val="left"/>
              <w:rPr/>
            </w:pPr>
            <w:r>
              <w:rPr/>
              <w:t> </w:t>
            </w:r>
          </w:p>
        </w:tc>
      </w:tr>
      <w:tr>
        <w:trPr/>
        <w:tc>
          <w:tcPr>
            <w:tcW w:w="3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38,625</w:t>
            </w:r>
          </w:p>
        </w:tc>
        <w:tc>
          <w:tcPr>
            <w:tcW w:w="152"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68,794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49,052</w:t>
            </w:r>
          </w:p>
        </w:tc>
        <w:tc>
          <w:tcPr>
            <w:tcW w:w="391" w:type="dxa"/>
            <w:tcBorders/>
            <w:vAlign w:val="center"/>
          </w:tcPr>
          <w:p>
            <w:pPr>
              <w:pStyle w:val="TableContents"/>
              <w:bidi w:val="0"/>
              <w:spacing w:before="0" w:after="0"/>
              <w:ind w:left="0" w:right="0" w:hanging="0"/>
              <w:jc w:val="left"/>
              <w:rPr/>
            </w:pPr>
            <w:r>
              <w:rPr/>
              <w:t> </w:t>
            </w:r>
          </w:p>
        </w:tc>
      </w:tr>
      <w:tr>
        <w:trPr/>
        <w:tc>
          <w:tcPr>
            <w:tcW w:w="3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20,343</w:t>
            </w:r>
          </w:p>
        </w:tc>
        <w:tc>
          <w:tcPr>
            <w:tcW w:w="1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13,653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36,055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22,843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9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stock-based compensation expense</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128,003</w:t>
            </w:r>
          </w:p>
        </w:tc>
        <w:tc>
          <w:tcPr>
            <w:tcW w:w="1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81,165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211,038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126,868</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left"/>
        <w:rPr>
          <w:rFonts w:ascii="Times New Roman" w:hAnsi="Times New Roman"/>
          <w:sz w:val="20"/>
        </w:rPr>
      </w:pPr>
      <w:r>
        <w:rPr>
          <w:rFonts w:ascii="Times New Roman;serif" w:hAnsi="Times New Roman;serif"/>
          <w:b w:val="false"/>
          <w:sz w:val="20"/>
        </w:rPr>
        <w:t>Capitalized software development costs excluded from stock-based compensation expense is $9.4</w:t>
      </w:r>
      <w:r>
        <w:rPr>
          <w:rFonts w:ascii="Times New Roman" w:hAnsi="Times New Roman"/>
          <w:sz w:val="20"/>
        </w:rPr>
        <w:t xml:space="preserve"> </w:t>
      </w:r>
      <w:r>
        <w:rPr>
          <w:rFonts w:ascii="Times New Roman;serif" w:hAnsi="Times New Roman;serif"/>
          <w:b w:val="false"/>
          <w:sz w:val="20"/>
        </w:rPr>
        <w:t>million for the three months ended June 30, 2023, $14.0</w:t>
      </w:r>
      <w:r>
        <w:rPr>
          <w:rFonts w:ascii="Times New Roman" w:hAnsi="Times New Roman"/>
          <w:sz w:val="20"/>
        </w:rPr>
        <w:t xml:space="preserve"> </w:t>
      </w:r>
      <w:r>
        <w:rPr>
          <w:rFonts w:ascii="Times New Roman;serif" w:hAnsi="Times New Roman;serif"/>
          <w:b w:val="false"/>
          <w:sz w:val="20"/>
        </w:rPr>
        <w:t>million for the six months ended June 30, 2023, $3.9</w:t>
      </w:r>
      <w:r>
        <w:rPr>
          <w:rFonts w:ascii="Times New Roman" w:hAnsi="Times New Roman"/>
          <w:sz w:val="20"/>
        </w:rPr>
        <w:t xml:space="preserve"> </w:t>
      </w:r>
      <w:r>
        <w:rPr>
          <w:rFonts w:ascii="Times New Roman;serif" w:hAnsi="Times New Roman;serif"/>
          <w:b w:val="false"/>
          <w:sz w:val="20"/>
        </w:rPr>
        <w:t>million for the three months ended June 30, 2022, and $5.6</w:t>
      </w:r>
      <w:r>
        <w:rPr>
          <w:rFonts w:ascii="Times New Roman" w:hAnsi="Times New Roman"/>
          <w:sz w:val="20"/>
        </w:rPr>
        <w:t xml:space="preserve"> </w:t>
      </w:r>
      <w:r>
        <w:rPr>
          <w:rFonts w:ascii="Times New Roman;serif" w:hAnsi="Times New Roman;serif"/>
          <w:b w:val="false"/>
          <w:sz w:val="20"/>
        </w:rPr>
        <w:t>million for the six months ended June 30, 2022. Also excluded in the six months ended June 30, 2023</w:t>
      </w:r>
      <w:r>
        <w:rPr>
          <w:rFonts w:ascii="Times New Roman" w:hAnsi="Times New Roman"/>
          <w:sz w:val="20"/>
        </w:rPr>
        <w:t xml:space="preserve"> </w:t>
      </w:r>
      <w:r>
        <w:rPr>
          <w:rFonts w:ascii="Times New Roman;serif" w:hAnsi="Times New Roman;serif"/>
          <w:b w:val="false"/>
          <w:sz w:val="20"/>
        </w:rPr>
        <w:t>is $1.0</w:t>
      </w:r>
      <w:r>
        <w:rPr>
          <w:rFonts w:ascii="Times New Roman" w:hAnsi="Times New Roman"/>
          <w:sz w:val="20"/>
        </w:rPr>
        <w:t xml:space="preserve"> </w:t>
      </w:r>
      <w:r>
        <w:rPr>
          <w:rFonts w:ascii="Times New Roman;serif" w:hAnsi="Times New Roman;serif"/>
          <w:b w:val="false"/>
          <w:sz w:val="20"/>
        </w:rPr>
        <w:t>million of stock-based compensation expense incurred in connection with the Restructuring Plan. See Note 15 for more details.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serif" w:hAnsi="Times New Roman;serif"/>
          <w:b/>
          <w:sz w:val="20"/>
        </w:rPr>
      </w:pPr>
      <w:r>
        <w:rPr>
          <w:rFonts w:ascii="Times New Roman;serif" w:hAnsi="Times New Roman;serif"/>
          <w:b/>
          <w:sz w:val="20"/>
        </w:rPr>
        <w:t>13. Segment Information and Geographic Data</w:t>
      </w:r>
    </w:p>
    <w:p>
      <w:pPr>
        <w:pStyle w:val="TextBody"/>
        <w:bidi w:val="0"/>
        <w:spacing w:before="200" w:after="0"/>
        <w:jc w:val="left"/>
        <w:rPr>
          <w:rFonts w:ascii="Times New Roman" w:hAnsi="Times New Roman"/>
          <w:sz w:val="20"/>
        </w:rPr>
      </w:pPr>
      <w:r>
        <w:rPr>
          <w:rFonts w:ascii="Times New Roman;serif" w:hAnsi="Times New Roman;serif"/>
          <w:b w:val="false"/>
          <w:sz w:val="20"/>
        </w:rPr>
        <w:t>The Company operates as one</w:t>
      </w:r>
      <w:r>
        <w:rPr>
          <w:rFonts w:ascii="Times New Roman" w:hAnsi="Times New Roman"/>
          <w:sz w:val="20"/>
        </w:rPr>
        <w:t xml:space="preserve"> </w:t>
      </w:r>
      <w:r>
        <w:rPr>
          <w:rFonts w:ascii="Times New Roman;serif" w:hAnsi="Times New Roman;serif"/>
          <w:b w:val="false"/>
          <w:sz w:val="20"/>
        </w:rPr>
        <w:t>operating segment. Operating segments are defined as components of an enterprise for which separate financial information is regularly evaluated by the chief operating decision maker (“CODM”), which is the Company’s chief executive officer, in deciding how to allocate resources and assess performance. The Company’s CODM evaluates the Company’s financial information and resources and assesses the performance of these resources on a consolidated basis. Since the Company operates in one operating segment, all required financial segment information can be found in the consolidated financial statements. Revenue and long-lived assets by geographic region, based on the physical location of the operations recording the sale or the asset, are as follows:</w:t>
      </w:r>
      <w:r>
        <w:rPr>
          <w:rFonts w:ascii="Times New Roman" w:hAnsi="Times New Roman"/>
          <w:sz w:val="20"/>
        </w:rPr>
        <w:t xml:space="preserve">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Revenues by geographical region:</w:t>
      </w:r>
    </w:p>
    <w:tbl>
      <w:tblPr>
        <w:tblW w:w="9627" w:type="dxa"/>
        <w:jc w:val="left"/>
        <w:tblInd w:w="0" w:type="dxa"/>
        <w:tblLayout w:type="fixed"/>
        <w:tblCellMar>
          <w:top w:w="28" w:type="dxa"/>
          <w:left w:w="28" w:type="dxa"/>
          <w:bottom w:w="28" w:type="dxa"/>
          <w:right w:w="28" w:type="dxa"/>
        </w:tblCellMar>
      </w:tblPr>
      <w:tblGrid>
        <w:gridCol w:w="3721"/>
        <w:gridCol w:w="146"/>
        <w:gridCol w:w="211"/>
        <w:gridCol w:w="781"/>
        <w:gridCol w:w="271"/>
        <w:gridCol w:w="146"/>
        <w:gridCol w:w="211"/>
        <w:gridCol w:w="781"/>
        <w:gridCol w:w="271"/>
        <w:gridCol w:w="146"/>
        <w:gridCol w:w="211"/>
        <w:gridCol w:w="931"/>
        <w:gridCol w:w="271"/>
        <w:gridCol w:w="146"/>
        <w:gridCol w:w="211"/>
        <w:gridCol w:w="781"/>
        <w:gridCol w:w="39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1"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3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Americas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321,827</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259,319</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629,650</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501,346</w:t>
            </w:r>
          </w:p>
        </w:tc>
        <w:tc>
          <w:tcPr>
            <w:tcW w:w="391" w:type="dxa"/>
            <w:tcBorders/>
            <w:vAlign w:val="center"/>
          </w:tcPr>
          <w:p>
            <w:pPr>
              <w:pStyle w:val="TableContents"/>
              <w:bidi w:val="0"/>
              <w:spacing w:before="0" w:after="0"/>
              <w:ind w:left="0" w:right="0" w:hanging="0"/>
              <w:jc w:val="left"/>
              <w:rPr/>
            </w:pPr>
            <w:r>
              <w:rPr/>
              <w:t> </w:t>
            </w:r>
          </w:p>
        </w:tc>
      </w:tr>
      <w:tr>
        <w:trPr/>
        <w:tc>
          <w:tcPr>
            <w:tcW w:w="3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Europe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162,741</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125,141</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313,580</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244,330</w:t>
            </w:r>
          </w:p>
        </w:tc>
        <w:tc>
          <w:tcPr>
            <w:tcW w:w="391" w:type="dxa"/>
            <w:tcBorders/>
            <w:vAlign w:val="center"/>
          </w:tcPr>
          <w:p>
            <w:pPr>
              <w:pStyle w:val="TableContents"/>
              <w:bidi w:val="0"/>
              <w:spacing w:before="0" w:after="0"/>
              <w:ind w:left="0" w:right="0" w:hanging="0"/>
              <w:jc w:val="left"/>
              <w:rPr/>
            </w:pPr>
            <w:r>
              <w:rPr/>
              <w:t> </w:t>
            </w:r>
          </w:p>
        </w:tc>
      </w:tr>
      <w:tr>
        <w:trPr/>
        <w:tc>
          <w:tcPr>
            <w:tcW w:w="3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Asia Pacific</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44,570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37,295</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87,528</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71,678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7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529,138</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421,755</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1,030,758</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817,354</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Percentage of revenues generated outside of </w:t>
              <w:br/>
              <w:t>  the Americas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00" w:after="0"/>
        <w:jc w:val="left"/>
        <w:rPr>
          <w:rFonts w:ascii="Times New Roman" w:hAnsi="Times New Roman"/>
          <w:sz w:val="20"/>
        </w:rPr>
      </w:pPr>
      <w:r>
        <w:rPr>
          <w:rFonts w:ascii="Times New Roman;serif" w:hAnsi="Times New Roman;serif"/>
          <w:b w:val="false"/>
          <w:sz w:val="20"/>
        </w:rPr>
        <w:t>Revenue derived from customers outside the United States (international) was approximately 46%</w:t>
      </w:r>
      <w:r>
        <w:rPr>
          <w:rFonts w:ascii="Times New Roman" w:hAnsi="Times New Roman"/>
          <w:sz w:val="20"/>
        </w:rPr>
        <w:t xml:space="preserve"> </w:t>
      </w:r>
      <w:r>
        <w:rPr>
          <w:rFonts w:ascii="Times New Roman;serif" w:hAnsi="Times New Roman;serif"/>
          <w:b w:val="false"/>
          <w:sz w:val="20"/>
        </w:rPr>
        <w:t>of total revenue in the six months ended June 30, 2023 and 2022.</w:t>
      </w:r>
    </w:p>
    <w:p>
      <w:pPr>
        <w:pStyle w:val="TextBody"/>
        <w:bidi w:val="0"/>
        <w:spacing w:before="200" w:after="0"/>
        <w:jc w:val="left"/>
        <w:rPr>
          <w:rFonts w:ascii="Times New Roman" w:hAnsi="Times New Roman"/>
          <w:sz w:val="20"/>
        </w:rPr>
      </w:pPr>
      <w:r>
        <w:rPr>
          <w:rFonts w:ascii="Times New Roman;serif" w:hAnsi="Times New Roman;serif"/>
          <w:b w:val="false"/>
          <w:sz w:val="20"/>
        </w:rPr>
        <w:t>Total long-lived assets by geographical region:</w:t>
        <w:br/>
      </w:r>
      <w:r>
        <w:rPr>
          <w:rFonts w:ascii="Times New Roman" w:hAnsi="Times New Roman"/>
          <w:sz w:val="20"/>
        </w:rPr>
        <w:t> </w:t>
      </w:r>
    </w:p>
    <w:tbl>
      <w:tblPr>
        <w:tblW w:w="9400" w:type="dxa"/>
        <w:jc w:val="left"/>
        <w:tblInd w:w="0" w:type="dxa"/>
        <w:tblLayout w:type="fixed"/>
        <w:tblCellMar>
          <w:top w:w="28" w:type="dxa"/>
          <w:left w:w="28" w:type="dxa"/>
          <w:bottom w:w="28" w:type="dxa"/>
          <w:right w:w="28" w:type="dxa"/>
        </w:tblCellMar>
      </w:tblPr>
      <w:tblGrid>
        <w:gridCol w:w="4981"/>
        <w:gridCol w:w="146"/>
        <w:gridCol w:w="328"/>
        <w:gridCol w:w="1217"/>
        <w:gridCol w:w="271"/>
        <w:gridCol w:w="146"/>
        <w:gridCol w:w="408"/>
        <w:gridCol w:w="1512"/>
        <w:gridCol w:w="391"/>
      </w:tblGrid>
      <w:tr>
        <w:trPr/>
        <w:tc>
          <w:tcPr>
            <w:tcW w:w="4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June 30, 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9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82"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vAlign w:val="center"/>
          </w:tcPr>
          <w:p>
            <w:pPr>
              <w:pStyle w:val="TableContents"/>
              <w:bidi w:val="0"/>
              <w:spacing w:before="0" w:after="0"/>
              <w:ind w:left="0" w:right="0" w:hanging="0"/>
              <w:jc w:val="center"/>
              <w:rPr/>
            </w:pPr>
            <w:r>
              <w:rPr/>
              <w:t> </w:t>
            </w:r>
          </w:p>
        </w:tc>
      </w:tr>
      <w:tr>
        <w:trPr/>
        <w:tc>
          <w:tcPr>
            <w:tcW w:w="49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Americas</w:t>
            </w:r>
          </w:p>
        </w:tc>
        <w:tc>
          <w:tcPr>
            <w:tcW w:w="146" w:type="dxa"/>
            <w:tcBorders/>
            <w:vAlign w:val="center"/>
          </w:tcPr>
          <w:p>
            <w:pPr>
              <w:pStyle w:val="TableContents"/>
              <w:bidi w:val="0"/>
              <w:spacing w:before="0" w:after="0"/>
              <w:ind w:left="0" w:right="0" w:hanging="0"/>
              <w:jc w:val="left"/>
              <w:rPr/>
            </w:pPr>
            <w:r>
              <w:rPr/>
              <w:t> </w:t>
            </w:r>
          </w:p>
        </w:tc>
        <w:tc>
          <w:tcPr>
            <w:tcW w:w="3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238,264</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290,977</w:t>
            </w:r>
          </w:p>
        </w:tc>
        <w:tc>
          <w:tcPr>
            <w:tcW w:w="391" w:type="dxa"/>
            <w:tcBorders/>
            <w:vAlign w:val="center"/>
          </w:tcPr>
          <w:p>
            <w:pPr>
              <w:pStyle w:val="TableContents"/>
              <w:bidi w:val="0"/>
              <w:spacing w:before="0" w:after="0"/>
              <w:ind w:left="0" w:right="0" w:hanging="0"/>
              <w:jc w:val="left"/>
              <w:rPr/>
            </w:pPr>
            <w:r>
              <w:rPr/>
              <w:t> </w:t>
            </w:r>
          </w:p>
        </w:tc>
      </w:tr>
      <w:tr>
        <w:trPr/>
        <w:tc>
          <w:tcPr>
            <w:tcW w:w="49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Europe</w:t>
            </w:r>
          </w:p>
        </w:tc>
        <w:tc>
          <w:tcPr>
            <w:tcW w:w="146" w:type="dxa"/>
            <w:tcBorders/>
            <w:vAlign w:val="center"/>
          </w:tcPr>
          <w:p>
            <w:pPr>
              <w:pStyle w:val="TableContents"/>
              <w:bidi w:val="0"/>
              <w:spacing w:before="0" w:after="0"/>
              <w:ind w:left="0" w:right="0" w:hanging="0"/>
              <w:jc w:val="left"/>
              <w:rPr/>
            </w:pPr>
            <w:r>
              <w:rPr/>
              <w:t> </w:t>
            </w:r>
          </w:p>
        </w:tc>
        <w:tc>
          <w:tcPr>
            <w:tcW w:w="328" w:type="dxa"/>
            <w:tcBorders/>
            <w:vAlign w:val="center"/>
          </w:tcPr>
          <w:p>
            <w:pPr>
              <w:pStyle w:val="TableContents"/>
              <w:bidi w:val="0"/>
              <w:spacing w:before="0" w:after="0"/>
              <w:ind w:left="0" w:right="0" w:hanging="0"/>
              <w:jc w:val="left"/>
              <w:rPr/>
            </w:pPr>
            <w:r>
              <w:rPr/>
              <w:t> </w:t>
            </w:r>
          </w:p>
        </w:tc>
        <w:tc>
          <w:tcPr>
            <w:tcW w:w="12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118,615</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8" w:type="dxa"/>
            <w:tcBorders/>
            <w:vAlign w:val="center"/>
          </w:tcPr>
          <w:p>
            <w:pPr>
              <w:pStyle w:val="TableContents"/>
              <w:bidi w:val="0"/>
              <w:spacing w:before="0" w:after="0"/>
              <w:ind w:left="0" w:right="0" w:hanging="0"/>
              <w:jc w:val="left"/>
              <w:rPr/>
            </w:pPr>
            <w:r>
              <w:rPr/>
              <w:t> </w:t>
            </w:r>
          </w:p>
        </w:tc>
        <w:tc>
          <w:tcPr>
            <w:tcW w:w="1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123,311</w:t>
            </w:r>
          </w:p>
        </w:tc>
        <w:tc>
          <w:tcPr>
            <w:tcW w:w="391" w:type="dxa"/>
            <w:tcBorders/>
            <w:vAlign w:val="center"/>
          </w:tcPr>
          <w:p>
            <w:pPr>
              <w:pStyle w:val="TableContents"/>
              <w:bidi w:val="0"/>
              <w:spacing w:before="0" w:after="0"/>
              <w:ind w:left="0" w:right="0" w:hanging="0"/>
              <w:jc w:val="left"/>
              <w:rPr/>
            </w:pPr>
            <w:r>
              <w:rPr/>
              <w:t> </w:t>
            </w:r>
          </w:p>
        </w:tc>
      </w:tr>
      <w:tr>
        <w:trPr/>
        <w:tc>
          <w:tcPr>
            <w:tcW w:w="49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Asia Pacific</w:t>
            </w:r>
          </w:p>
        </w:tc>
        <w:tc>
          <w:tcPr>
            <w:tcW w:w="146" w:type="dxa"/>
            <w:tcBorders/>
            <w:vAlign w:val="center"/>
          </w:tcPr>
          <w:p>
            <w:pPr>
              <w:pStyle w:val="TableContents"/>
              <w:bidi w:val="0"/>
              <w:spacing w:before="0" w:after="0"/>
              <w:ind w:left="0" w:right="0" w:hanging="0"/>
              <w:jc w:val="left"/>
              <w:rPr/>
            </w:pPr>
            <w:r>
              <w:rPr/>
              <w:t> </w:t>
            </w:r>
          </w:p>
        </w:tc>
        <w:tc>
          <w:tcPr>
            <w:tcW w:w="3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10,107</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10,243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9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long-lived assets</w:t>
            </w:r>
          </w:p>
        </w:tc>
        <w:tc>
          <w:tcPr>
            <w:tcW w:w="146" w:type="dxa"/>
            <w:tcBorders/>
            <w:vAlign w:val="center"/>
          </w:tcPr>
          <w:p>
            <w:pPr>
              <w:pStyle w:val="TableContents"/>
              <w:bidi w:val="0"/>
              <w:spacing w:before="0" w:after="0"/>
              <w:ind w:left="0" w:right="0" w:hanging="0"/>
              <w:jc w:val="left"/>
              <w:rPr/>
            </w:pPr>
            <w:r>
              <w:rPr/>
              <w:t> </w:t>
            </w:r>
          </w:p>
        </w:tc>
        <w:tc>
          <w:tcPr>
            <w:tcW w:w="3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366,986</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424,531</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9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Percentage of long-lived assets held outside of the Americas</w:t>
            </w:r>
          </w:p>
        </w:tc>
        <w:tc>
          <w:tcPr>
            <w:tcW w:w="146" w:type="dxa"/>
            <w:tcBorders/>
            <w:vAlign w:val="center"/>
          </w:tcPr>
          <w:p>
            <w:pPr>
              <w:pStyle w:val="TableContents"/>
              <w:bidi w:val="0"/>
              <w:spacing w:before="0" w:after="0"/>
              <w:ind w:left="0" w:right="0" w:hanging="0"/>
              <w:jc w:val="left"/>
              <w:rPr/>
            </w:pPr>
            <w:r>
              <w:rPr/>
              <w:t> </w:t>
            </w:r>
          </w:p>
        </w:tc>
        <w:tc>
          <w:tcPr>
            <w:tcW w:w="3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00" w:after="0"/>
        <w:jc w:val="left"/>
        <w:rPr/>
      </w:pPr>
      <w:r>
        <w:rPr/>
        <w:t> </w:t>
      </w:r>
    </w:p>
    <w:p>
      <w:pPr>
        <w:pStyle w:val="TextBody"/>
        <w:bidi w:val="0"/>
        <w:spacing w:before="200" w:after="0"/>
        <w:jc w:val="left"/>
        <w:rPr>
          <w:rFonts w:ascii="Times New Roman" w:hAnsi="Times New Roman"/>
          <w:sz w:val="20"/>
        </w:rPr>
      </w:pPr>
      <w:r>
        <w:rPr>
          <w:rFonts w:ascii="Times New Roman;serif" w:hAnsi="Times New Roman;serif"/>
          <w:b/>
          <w:sz w:val="20"/>
        </w:rPr>
        <w:t>14. Intangible assets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In the three months ended June 30, 2022, the Company purchased the rights to the domain name "connect.com" for $10.0</w:t>
      </w:r>
      <w:r>
        <w:rPr>
          <w:rFonts w:ascii="Times New Roman" w:hAnsi="Times New Roman"/>
          <w:sz w:val="20"/>
        </w:rPr>
        <w:t xml:space="preserve"> </w:t>
      </w:r>
      <w:r>
        <w:rPr>
          <w:rFonts w:ascii="Times New Roman;serif" w:hAnsi="Times New Roman;serif"/>
          <w:b w:val="false"/>
          <w:sz w:val="20"/>
        </w:rPr>
        <w:t>million. The domain is being used to host a networked community for customers, Solutions Partners, and prospects. The cost is amortized on a straight-line basis over its estimated useful life of seven years. Amortization expense was $0.4</w:t>
      </w:r>
      <w:r>
        <w:rPr>
          <w:rFonts w:ascii="Times New Roman" w:hAnsi="Times New Roman"/>
          <w:sz w:val="20"/>
        </w:rPr>
        <w:t xml:space="preserve"> </w:t>
      </w:r>
      <w:r>
        <w:rPr>
          <w:rFonts w:ascii="Times New Roman;serif" w:hAnsi="Times New Roman;serif"/>
          <w:b w:val="false"/>
          <w:sz w:val="20"/>
        </w:rPr>
        <w:t>million for the three months ended June 30, 2023, $0.7</w:t>
      </w:r>
      <w:r>
        <w:rPr>
          <w:rFonts w:ascii="Times New Roman" w:hAnsi="Times New Roman"/>
          <w:sz w:val="20"/>
        </w:rPr>
        <w:t xml:space="preserve"> </w:t>
      </w:r>
      <w:r>
        <w:rPr>
          <w:rFonts w:ascii="Times New Roman;serif" w:hAnsi="Times New Roman;serif"/>
          <w:b w:val="false"/>
          <w:sz w:val="20"/>
        </w:rPr>
        <w:t>million for the six months ended June 30, 2023, and $0.4</w:t>
      </w:r>
      <w:r>
        <w:rPr>
          <w:rFonts w:ascii="Times New Roman" w:hAnsi="Times New Roman"/>
          <w:sz w:val="20"/>
        </w:rPr>
        <w:t xml:space="preserve"> </w:t>
      </w:r>
      <w:r>
        <w:rPr>
          <w:rFonts w:ascii="Times New Roman;serif" w:hAnsi="Times New Roman;serif"/>
          <w:b w:val="false"/>
          <w:sz w:val="20"/>
        </w:rPr>
        <w:t>million for the three months ended June 30, 2022. The expense is included in sales and marketing expense in the consolidated statements of operations.</w:t>
      </w:r>
      <w:r>
        <w:rPr>
          <w:rFonts w:ascii="Times New Roman" w:hAnsi="Times New Roman"/>
          <w:sz w:val="20"/>
        </w:rPr>
        <w:t xml:space="preserve"> </w:t>
      </w:r>
    </w:p>
    <w:p>
      <w:pPr>
        <w:pStyle w:val="TextBody"/>
        <w:bidi w:val="0"/>
        <w:spacing w:before="200" w:after="0"/>
        <w:jc w:val="left"/>
        <w:rPr>
          <w:rFonts w:ascii="Times New Roman;serif" w:hAnsi="Times New Roman;serif"/>
          <w:b/>
          <w:sz w:val="20"/>
        </w:rPr>
      </w:pPr>
      <w:r>
        <w:rPr>
          <w:rFonts w:ascii="Times New Roman;serif" w:hAnsi="Times New Roman;serif"/>
          <w:b/>
          <w:sz w:val="20"/>
        </w:rPr>
        <w:t>15. Restructuring Plan</w:t>
      </w:r>
    </w:p>
    <w:p>
      <w:pPr>
        <w:pStyle w:val="TextBody"/>
        <w:bidi w:val="0"/>
        <w:spacing w:before="200" w:after="0"/>
        <w:jc w:val="left"/>
        <w:rPr>
          <w:rFonts w:ascii="Times New Roman" w:hAnsi="Times New Roman"/>
          <w:sz w:val="20"/>
        </w:rPr>
      </w:pPr>
      <w:r>
        <w:rPr>
          <w:rFonts w:ascii="Times New Roman;serif" w:hAnsi="Times New Roman;serif"/>
          <w:b w:val="false"/>
          <w:sz w:val="20"/>
        </w:rPr>
        <w:t>On January 25, 2023, the Company's board of directors authorized a restructuring plan (the “Restructuring Plan”) that is designed to reduce operating costs and enable investment in key opportunities for long-term growth while driving continued profitability. The Restructuring Plan includes a reduction of the Company’s workforce by approximately 7% and a global lease consolidation to create higher density across our workspaces.</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During the six months ended June 30, 2023, the Company terminated and abandoned various leases of office spaces globally. The Company recorded a reduction in right-of-use assets of $44.6</w:t>
      </w:r>
      <w:r>
        <w:rPr>
          <w:rFonts w:ascii="Times New Roman" w:hAnsi="Times New Roman"/>
          <w:sz w:val="20"/>
        </w:rPr>
        <w:t xml:space="preserve"> </w:t>
      </w:r>
      <w:r>
        <w:rPr>
          <w:rFonts w:ascii="Times New Roman;serif" w:hAnsi="Times New Roman;serif"/>
          <w:b w:val="false"/>
          <w:sz w:val="20"/>
        </w:rPr>
        <w:t>million and an increase in lease liabilities of $6.3</w:t>
      </w:r>
      <w:r>
        <w:rPr>
          <w:rFonts w:ascii="Times New Roman" w:hAnsi="Times New Roman"/>
          <w:sz w:val="20"/>
        </w:rPr>
        <w:t xml:space="preserve"> </w:t>
      </w:r>
      <w:r>
        <w:rPr>
          <w:rFonts w:ascii="Times New Roman;serif" w:hAnsi="Times New Roman;serif"/>
          <w:b w:val="false"/>
          <w:sz w:val="20"/>
        </w:rPr>
        <w:t>million for these leases during the period upon the lease terminations or abandonments. In the three months ended June 30, 2023, the Company incurred $63.8</w:t>
      </w:r>
      <w:r>
        <w:rPr>
          <w:rFonts w:ascii="Times New Roman" w:hAnsi="Times New Roman"/>
          <w:sz w:val="20"/>
        </w:rPr>
        <w:t xml:space="preserve"> </w:t>
      </w:r>
      <w:r>
        <w:rPr>
          <w:rFonts w:ascii="Times New Roman;serif" w:hAnsi="Times New Roman;serif"/>
          <w:b w:val="false"/>
          <w:sz w:val="20"/>
        </w:rPr>
        <w:t>million of restructuring charges in connection with these leases. In the six months ended June 30, 2023, the Company incurred $92.5</w:t>
      </w:r>
      <w:r>
        <w:rPr>
          <w:rFonts w:ascii="Times New Roman" w:hAnsi="Times New Roman"/>
          <w:sz w:val="20"/>
        </w:rPr>
        <w:t xml:space="preserve"> </w:t>
      </w:r>
      <w:r>
        <w:rPr>
          <w:rFonts w:ascii="Times New Roman;serif" w:hAnsi="Times New Roman;serif"/>
          <w:b w:val="false"/>
          <w:sz w:val="20"/>
        </w:rPr>
        <w:t>million of restructuring charges, composed of $65.6</w:t>
      </w:r>
      <w:r>
        <w:rPr>
          <w:rFonts w:ascii="Times New Roman" w:hAnsi="Times New Roman"/>
          <w:sz w:val="20"/>
        </w:rPr>
        <w:t xml:space="preserve"> </w:t>
      </w:r>
      <w:r>
        <w:rPr>
          <w:rFonts w:ascii="Times New Roman;serif" w:hAnsi="Times New Roman;serif"/>
          <w:b w:val="false"/>
          <w:sz w:val="20"/>
        </w:rPr>
        <w:t>million related to facilities and $26.9</w:t>
      </w:r>
      <w:r>
        <w:rPr>
          <w:rFonts w:ascii="Times New Roman" w:hAnsi="Times New Roman"/>
          <w:sz w:val="20"/>
        </w:rPr>
        <w:t xml:space="preserve"> </w:t>
      </w:r>
      <w:r>
        <w:rPr>
          <w:rFonts w:ascii="Times New Roman;serif" w:hAnsi="Times New Roman;serif"/>
          <w:b w:val="false"/>
          <w:sz w:val="20"/>
        </w:rPr>
        <w:t>million for severance, employee related benefits, and other costs, including $1.0</w:t>
      </w:r>
      <w:r>
        <w:rPr>
          <w:rFonts w:ascii="Times New Roman" w:hAnsi="Times New Roman"/>
          <w:sz w:val="20"/>
        </w:rPr>
        <w:t xml:space="preserve"> </w:t>
      </w:r>
      <w:r>
        <w:rPr>
          <w:rFonts w:ascii="Times New Roman;serif" w:hAnsi="Times New Roman;serif"/>
          <w:b w:val="false"/>
          <w:sz w:val="20"/>
        </w:rPr>
        <w:t>million of stock-based compensation expense. The charges are recorded to the restructuring line item within the consolidated statements of operations.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 w:hAnsi="Times New Roman"/>
          <w:sz w:val="20"/>
        </w:rPr>
      </w:pPr>
      <w:r>
        <w:rPr>
          <w:rFonts w:ascii="Times New Roman;serif" w:hAnsi="Times New Roman;serif"/>
          <w:b w:val="false"/>
          <w:sz w:val="20"/>
        </w:rPr>
        <w:t>The following table summarizes the Company's restructuring liabilities as of June 30, 2023:</w:t>
        <w:br/>
      </w:r>
      <w:r>
        <w:rPr>
          <w:rFonts w:ascii="Times New Roman" w:hAnsi="Times New Roman"/>
          <w:sz w:val="20"/>
        </w:rPr>
        <w:t> </w:t>
      </w:r>
    </w:p>
    <w:tbl>
      <w:tblPr>
        <w:tblW w:w="7215" w:type="dxa"/>
        <w:jc w:val="left"/>
        <w:tblInd w:w="0" w:type="dxa"/>
        <w:tblLayout w:type="fixed"/>
        <w:tblCellMar>
          <w:top w:w="28" w:type="dxa"/>
          <w:left w:w="28" w:type="dxa"/>
          <w:bottom w:w="28" w:type="dxa"/>
          <w:right w:w="28" w:type="dxa"/>
        </w:tblCellMar>
      </w:tblPr>
      <w:tblGrid>
        <w:gridCol w:w="3196"/>
        <w:gridCol w:w="146"/>
        <w:gridCol w:w="364"/>
        <w:gridCol w:w="1271"/>
        <w:gridCol w:w="166"/>
        <w:gridCol w:w="146"/>
        <w:gridCol w:w="337"/>
        <w:gridCol w:w="1178"/>
        <w:gridCol w:w="4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1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Workforce reduction</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Lease consolidation</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62"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411" w:type="dxa"/>
            <w:tcBorders/>
            <w:vAlign w:val="center"/>
          </w:tcPr>
          <w:p>
            <w:pPr>
              <w:pStyle w:val="TableContents"/>
              <w:bidi w:val="0"/>
              <w:spacing w:before="0" w:after="0"/>
              <w:ind w:left="0" w:right="0" w:hanging="0"/>
              <w:jc w:val="center"/>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 at January 1, 2023</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7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8"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firstLine="200"/>
              <w:jc w:val="left"/>
              <w:rPr/>
            </w:pPr>
            <w:r>
              <w:rPr/>
              <w:t> </w:t>
            </w:r>
          </w:p>
        </w:tc>
      </w:tr>
      <w:tr>
        <w:trPr/>
        <w:tc>
          <w:tcPr>
            <w:tcW w:w="31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Charges</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pPr>
            <w:r>
              <w:rPr/>
              <w:t> </w:t>
            </w:r>
          </w:p>
        </w:tc>
        <w:tc>
          <w:tcPr>
            <w:tcW w:w="12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11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1,824</w:t>
            </w:r>
          </w:p>
        </w:tc>
        <w:tc>
          <w:tcPr>
            <w:tcW w:w="411" w:type="dxa"/>
            <w:tcBorders/>
            <w:vAlign w:val="center"/>
          </w:tcPr>
          <w:p>
            <w:pPr>
              <w:pStyle w:val="TableContents"/>
              <w:bidi w:val="0"/>
              <w:spacing w:before="0" w:after="0"/>
              <w:ind w:left="0" w:right="0" w:firstLine="200"/>
              <w:jc w:val="left"/>
              <w:rPr/>
            </w:pPr>
            <w:r>
              <w:rPr/>
              <w:t> </w:t>
            </w:r>
          </w:p>
        </w:tc>
      </w:tr>
      <w:tr>
        <w:trPr/>
        <w:tc>
          <w:tcPr>
            <w:tcW w:w="31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Non-cash items</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pPr>
            <w:r>
              <w:rPr/>
              <w:t> </w:t>
            </w:r>
          </w:p>
        </w:tc>
        <w:tc>
          <w:tcPr>
            <w:tcW w:w="12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11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(1,214</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Payments</w:t>
            </w:r>
          </w:p>
        </w:tc>
        <w:tc>
          <w:tcPr>
            <w:tcW w:w="146" w:type="dxa"/>
            <w:tcBorders/>
            <w:vAlign w:val="center"/>
          </w:tcPr>
          <w:p>
            <w:pPr>
              <w:pStyle w:val="TableContents"/>
              <w:bidi w:val="0"/>
              <w:spacing w:before="0" w:after="0"/>
              <w:ind w:left="0" w:right="0" w:hanging="0"/>
              <w:jc w:val="left"/>
              <w:rPr/>
            </w:pPr>
            <w:r>
              <w:rPr/>
              <w:t> </w:t>
            </w:r>
          </w:p>
        </w:tc>
        <w:tc>
          <w:tcPr>
            <w:tcW w:w="3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 at March 31, 2023</w:t>
            </w:r>
          </w:p>
        </w:tc>
        <w:tc>
          <w:tcPr>
            <w:tcW w:w="146" w:type="dxa"/>
            <w:tcBorders/>
            <w:vAlign w:val="center"/>
          </w:tcPr>
          <w:p>
            <w:pPr>
              <w:pStyle w:val="TableContents"/>
              <w:bidi w:val="0"/>
              <w:spacing w:before="0" w:after="0"/>
              <w:ind w:left="0" w:right="0" w:hanging="0"/>
              <w:jc w:val="left"/>
              <w:rPr/>
            </w:pPr>
            <w:r>
              <w:rPr/>
              <w:t> </w:t>
            </w:r>
          </w:p>
        </w:tc>
        <w:tc>
          <w:tcPr>
            <w:tcW w:w="3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3,890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1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Charges</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pPr>
            <w:r>
              <w:rPr/>
              <w:t> </w:t>
            </w:r>
          </w:p>
        </w:tc>
        <w:tc>
          <w:tcPr>
            <w:tcW w:w="12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11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63,788</w:t>
            </w:r>
          </w:p>
        </w:tc>
        <w:tc>
          <w:tcPr>
            <w:tcW w:w="411" w:type="dxa"/>
            <w:tcBorders/>
            <w:vAlign w:val="center"/>
          </w:tcPr>
          <w:p>
            <w:pPr>
              <w:pStyle w:val="TableContents"/>
              <w:bidi w:val="0"/>
              <w:spacing w:before="0" w:after="0"/>
              <w:ind w:left="0" w:right="0" w:firstLine="200"/>
              <w:jc w:val="left"/>
              <w:rPr/>
            </w:pPr>
            <w:r>
              <w:rPr/>
              <w:t> </w:t>
            </w:r>
          </w:p>
        </w:tc>
      </w:tr>
      <w:tr>
        <w:trPr/>
        <w:tc>
          <w:tcPr>
            <w:tcW w:w="31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Non-cash items</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pPr>
            <w:r>
              <w:rPr/>
              <w:t> </w:t>
            </w:r>
          </w:p>
        </w:tc>
        <w:tc>
          <w:tcPr>
            <w:tcW w:w="127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11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(62,156</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Payments</w:t>
            </w:r>
          </w:p>
        </w:tc>
        <w:tc>
          <w:tcPr>
            <w:tcW w:w="146" w:type="dxa"/>
            <w:tcBorders/>
            <w:vAlign w:val="center"/>
          </w:tcPr>
          <w:p>
            <w:pPr>
              <w:pStyle w:val="TableContents"/>
              <w:bidi w:val="0"/>
              <w:spacing w:before="0" w:after="0"/>
              <w:ind w:left="0" w:right="0" w:hanging="0"/>
              <w:jc w:val="left"/>
              <w:rPr/>
            </w:pPr>
            <w:r>
              <w:rPr/>
              <w:t> </w:t>
            </w:r>
          </w:p>
        </w:tc>
        <w:tc>
          <w:tcPr>
            <w:tcW w:w="3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(3,982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 at June 30, 2023</w:t>
            </w:r>
          </w:p>
        </w:tc>
        <w:tc>
          <w:tcPr>
            <w:tcW w:w="146" w:type="dxa"/>
            <w:tcBorders/>
            <w:vAlign w:val="center"/>
          </w:tcPr>
          <w:p>
            <w:pPr>
              <w:pStyle w:val="TableContents"/>
              <w:bidi w:val="0"/>
              <w:spacing w:before="0" w:after="0"/>
              <w:ind w:left="0" w:right="0" w:hanging="0"/>
              <w:jc w:val="left"/>
              <w:rPr/>
            </w:pPr>
            <w:r>
              <w:rPr/>
              <w:t> </w:t>
            </w:r>
          </w:p>
        </w:tc>
        <w:tc>
          <w:tcPr>
            <w:tcW w:w="3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left"/>
        <w:rPr>
          <w:rFonts w:ascii="Times New Roman" w:hAnsi="Times New Roman"/>
          <w:sz w:val="20"/>
        </w:rPr>
      </w:pPr>
      <w:r>
        <w:rPr>
          <w:rFonts w:ascii="Times New Roman;serif" w:hAnsi="Times New Roman;serif"/>
          <w:b w:val="false"/>
          <w:sz w:val="20"/>
        </w:rPr>
        <w:t>The actions associated with the global lease consolidation under the Restructuring Plan are expected to be completed in 2023. The Company estimates that it will incur additional charges of approximately $2</w:t>
      </w:r>
      <w:r>
        <w:rPr>
          <w:rFonts w:ascii="Times New Roman" w:hAnsi="Times New Roman"/>
          <w:sz w:val="20"/>
        </w:rPr>
        <w:t xml:space="preserve"> </w:t>
      </w:r>
      <w:r>
        <w:rPr>
          <w:rFonts w:ascii="Times New Roman;serif" w:hAnsi="Times New Roman;serif"/>
          <w:b w:val="false"/>
          <w:sz w:val="20"/>
        </w:rPr>
        <w:t>million to $6</w:t>
      </w:r>
      <w:r>
        <w:rPr>
          <w:rFonts w:ascii="Times New Roman" w:hAnsi="Times New Roman"/>
          <w:sz w:val="20"/>
        </w:rPr>
        <w:t xml:space="preserve"> </w:t>
      </w:r>
      <w:r>
        <w:rPr>
          <w:rFonts w:ascii="Times New Roman;serif" w:hAnsi="Times New Roman;serif"/>
          <w:b w:val="false"/>
          <w:sz w:val="20"/>
        </w:rPr>
        <w:t>million related to the lease consolidation.</w:t>
        <w:br/>
        <w:br/>
      </w:r>
      <w:r>
        <w:rPr>
          <w:rFonts w:ascii="Times New Roman" w:hAnsi="Times New Roman"/>
          <w:sz w:val="20"/>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 w:hAnsi="Times New Roman"/>
          <w:sz w:val="20"/>
        </w:rPr>
      </w:pPr>
      <w:bookmarkStart w:id="9" w:name="item_2_managements_discussion_analysis_f"/>
      <w:bookmarkEnd w:id="9"/>
      <w:r>
        <w:rPr>
          <w:rFonts w:ascii="Times New Roman;serif" w:hAnsi="Times New Roman;serif"/>
          <w:b/>
          <w:sz w:val="20"/>
        </w:rPr>
        <w:t>Item 2. Management’s Discussion and Analysis of</w:t>
      </w:r>
      <w:r>
        <w:rPr>
          <w:rFonts w:ascii="Times New Roman" w:hAnsi="Times New Roman"/>
          <w:sz w:val="20"/>
        </w:rPr>
        <w:t xml:space="preserve"> </w:t>
      </w:r>
      <w:r>
        <w:rPr>
          <w:rFonts w:ascii="Times New Roman;serif" w:hAnsi="Times New Roman;serif"/>
          <w:b/>
          <w:sz w:val="20"/>
        </w:rPr>
        <w:t>Financial Condition and Results of Operations</w:t>
      </w:r>
    </w:p>
    <w:p>
      <w:pPr>
        <w:pStyle w:val="TextBody"/>
        <w:bidi w:val="0"/>
        <w:spacing w:before="200" w:after="0"/>
        <w:jc w:val="left"/>
        <w:rPr>
          <w:rFonts w:ascii="Times New Roman;serif" w:hAnsi="Times New Roman;serif"/>
          <w:b w:val="false"/>
          <w:i/>
          <w:sz w:val="20"/>
        </w:rPr>
      </w:pPr>
      <w:r>
        <w:rPr>
          <w:rFonts w:ascii="Times New Roman;serif" w:hAnsi="Times New Roman;serif"/>
          <w:b w:val="false"/>
          <w:i/>
          <w:sz w:val="20"/>
        </w:rPr>
        <w:t>The following discussion and analysis of our financial condition and results of operations should be read in conjunction with our consolidated financial statements and related notes appearing elsewhere in this Quarterly Report on Form 10-Q and our Annual Report on Form 10-K for the year ended December 31, 2022 filed with the SEC on February 16, 2023.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w:t>
      </w:r>
    </w:p>
    <w:p>
      <w:pPr>
        <w:pStyle w:val="TextBody"/>
        <w:bidi w:val="0"/>
        <w:spacing w:before="200" w:after="0"/>
        <w:jc w:val="left"/>
        <w:rPr>
          <w:rFonts w:ascii="Times New Roman;serif" w:hAnsi="Times New Roman;serif"/>
          <w:b/>
          <w:sz w:val="20"/>
        </w:rPr>
      </w:pPr>
      <w:r>
        <w:rPr>
          <w:rFonts w:ascii="Times New Roman;serif" w:hAnsi="Times New Roman;serif"/>
          <w:b/>
          <w:sz w:val="20"/>
        </w:rPr>
        <w:t>Company Overview</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We provide a cloud-based customer relationship management (“CRM”) Platform. Our CRM Platform is comprised of Marketing Hub, Sales Hub, Service Hub, content management system ("CMS") Hub, and Operations Hub as well as other tools, integrations, and a native payment solution that enable companies to attract, engage, and delight customers throughout the customer experience.</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At the core of our CRM Platform is our CRM that our customers use which creates a single view of all interactions a prospective or existing customer has with their marketing, sales and customer service teams. The CRM shares data across every application in the CRM Platform, automatically informing more personalized emails, website content, ads, and conversations, and enables more accurate timing cues for our customer’s internal teams. Our CRM Platform was built to easily and seamlessly integrate third-party applications to further customize to an individual company’s industry or needs. In addition, an end-to-end payment solution, Payments, is built within our CRM Platform which enables customers to streamline their payment process. We designed and built our CRM Platform to serve a broad range of customers globally. Our CRM Platform starts completely free and grows with our customers to meet their needs at different stages in their life-cycles. It supports multiple languages and currencies and offers an array of sophisticated features, including content partitioning at the enterprise level for companies operating in or serving multiple countries.</w:t>
      </w:r>
    </w:p>
    <w:p>
      <w:pPr>
        <w:pStyle w:val="TextBody"/>
        <w:bidi w:val="0"/>
        <w:spacing w:before="200" w:after="0"/>
        <w:jc w:val="left"/>
        <w:rPr>
          <w:rFonts w:ascii="Times New Roman" w:hAnsi="Times New Roman"/>
          <w:sz w:val="20"/>
        </w:rPr>
      </w:pPr>
      <w:r>
        <w:rPr>
          <w:rFonts w:ascii="Times New Roman;serif" w:hAnsi="Times New Roman;serif"/>
          <w:b w:val="false"/>
          <w:sz w:val="20"/>
        </w:rPr>
        <w:t>We focus on selling to mid-market business-to-business, or B2B, companies, which we define as companies that have between two and 2,000 employees. While our CRM Platform was built to grow with any company, we focus on selling to mid-market businesses because we believe we have significant competitive advantages attracting and serving this market segment. These mid-market businesses seek an integrated, easy-to-implement and easy-to-use solution to reach customers and compete with organizations that have larger marketing, sales, and customer service budgets. We efficiently reach these businesses at scale through our proven inbound methodology, our Solutions Partners, and our “freemium” model. A Solutions Partner is a service provider that helps businesses with strategy, execution, and implementation of go-to-market activities and technology solutions. Our freemium model attracts customers who begin using our CRM Platform through our free products and then upgrade to our paid products. As of June 30, 2023, we had 7,136 full-time employees and 184,924 Customers of varying sizes in more than 120 countries, representing many industries.</w:t>
      </w:r>
      <w:r>
        <w:rPr>
          <w:rFonts w:ascii="Times New Roman" w:hAnsi="Times New Roman"/>
          <w:sz w:val="20"/>
        </w:rPr>
        <w:t xml:space="preserve">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We derive most of our revenue from subscriptions to our cloud-based CRM Platform and related professional services, which consist of customer on-boarding, training and consulting services. Subscription revenue accounted for 98% of our total revenue for the three and six months ended June 30, 2023 and 2022. We sell multiple product plans at different base prices on a subscription basis, each of which includes our CRM and integrated applications to meet the needs of the various customers we serve. Customers pay additional fees if the number of contacts stored and tracked in the customer’s database exceeds specified thresholds. We also generate additional revenue based on the purchase of additional subscriptions and products, and the number of account users and subdomains. Most of our customers’ subscriptions are one year or less in duration.</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Subscriptions are billed in advance on various schedules. Because the mix of billing terms for orders can vary from period to period, the annualized value of the orders we enter into with our customers will not be completely reflected in deferred revenue at any single point in time. Accordingly, we do not believe that change in deferred revenue is an accurate indicator of future revenue.</w:t>
      </w:r>
    </w:p>
    <w:p>
      <w:pPr>
        <w:pStyle w:val="TextBody"/>
        <w:bidi w:val="0"/>
        <w:spacing w:before="200" w:after="0"/>
        <w:jc w:val="left"/>
        <w:rPr>
          <w:rFonts w:ascii="Times New Roman" w:hAnsi="Times New Roman"/>
          <w:sz w:val="20"/>
        </w:rPr>
      </w:pPr>
      <w:r>
        <w:rPr>
          <w:rFonts w:ascii="Times New Roman;serif" w:hAnsi="Times New Roman;serif"/>
          <w:b w:val="false"/>
          <w:sz w:val="20"/>
        </w:rPr>
        <w:t>Many of our customers purchase on-boarding, training, and consulting services, and utilize other tools and Payments, which are designed to help customers enhance their ability to attract, engage and delight their customers using our CRM Platform. We also generate revenue from a number of revenue-share agreements with other companies based on mutually agreed upon terms. Professional services and other revenue accounted for 2% of total revenue for the three and six months ended June 30, 2023 and 2022.</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We have focused on rapidly growing our business and plan to continue to make investments to help us address some of the challenges facing us to support this growth, such as demand for our CRM Platform by existing and new customers, significant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 w:hAnsi="Times New Roman"/>
          <w:sz w:val="20"/>
        </w:rPr>
      </w:pPr>
      <w:r>
        <w:rPr>
          <w:rFonts w:ascii="Times New Roman;serif" w:hAnsi="Times New Roman;serif"/>
          <w:b w:val="false"/>
          <w:sz w:val="20"/>
        </w:rPr>
        <w:t>competition from other providers of marketing, sales, customer service, operations, and content management software and related applications and rapid technological change in our industry.</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 xml:space="preserve">We believe that the growth of our business is dependent on many factors, including our ability to expand our customer base, increase adoption of our CRM Platform within existing customers, develop new products and applications to extend the functionality of our CRM Platform and provide a high level of customer service. We have invested and intend to continue investing for long-term growth. We intend to continue to invest in sales and marketing to support our growth. We plan to continue to invest in research and development as we continue to introduce new products and applications to extend the functionality of our CRM Platform. We intend to maintain a high level of customer service and support which we consider critical for our continued success. We also plan to continue investing in our data center infrastructure and services capabilities in order to support continued future customer growth. We also expect to continue to incur additional general and administrative expenses as a result of both our growth and the infrastructure required to be a public company. We expect to use our cash flow from operations and the proceeds from our convertible debt to fund these growth strategies and support our business and do not expect to be profitable in the near term. </w:t>
        <w:br/>
        <w:br/>
        <w:br/>
        <w:br/>
        <w:br/>
      </w:r>
      <w:r>
        <w:rPr>
          <w:rFonts w:ascii="Times New Roman;serif" w:hAnsi="Times New Roman;serif"/>
          <w:b/>
          <w:sz w:val="20"/>
        </w:rPr>
        <w:t>Global Economic Conditions</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Our results of operations can be significantly influenced by general macroeconomic conditions, including, but not limited to, the impact of the COVID-19 pandemic, foreign currency fluctuations, interest rates, inflation, recession risks, existing and new domestic and foreign laws and regulations, all of which are beyond our control. Fluctuations in foreign exchange rates and rising inflation has had, and may continue to have an adverse impact on our financial condition and operating results in future periods. As we continue to monitor the direct and indirect impacts of these circumstances, the broader implications of these macroeconomic events on our business, results of operations and overall financial position, particularly in the long term, remain uncertain. See the section titled “Risk Factors'' included under Part II, Item 1A below for further discussion of the possible impact of these factors and other risks on our business.</w:t>
        <w:br/>
        <w:br/>
        <w:br/>
        <w:br/>
      </w:r>
      <w:r>
        <w:rPr>
          <w:rFonts w:ascii="Times New Roman" w:hAnsi="Times New Roman"/>
          <w:sz w:val="20"/>
        </w:rPr>
        <w:t> </w:t>
      </w:r>
    </w:p>
    <w:p>
      <w:pPr>
        <w:pStyle w:val="TextBody"/>
        <w:bidi w:val="0"/>
        <w:spacing w:before="0" w:after="0"/>
        <w:jc w:val="left"/>
        <w:rPr/>
      </w:pPr>
      <w:r>
        <w:rPr/>
        <w:t> </w:t>
      </w:r>
    </w:p>
    <w:p>
      <w:pPr>
        <w:pStyle w:val="TextBody"/>
        <w:bidi w:val="0"/>
        <w:spacing w:before="200" w:after="0"/>
        <w:jc w:val="left"/>
        <w:rPr/>
      </w:pPr>
      <w:r>
        <w:rPr/>
        <w:t> </w:t>
      </w:r>
    </w:p>
    <w:p>
      <w:pPr>
        <w:pStyle w:val="TextBody"/>
        <w:bidi w:val="0"/>
        <w:spacing w:before="200" w:after="0"/>
        <w:jc w:val="left"/>
        <w:rPr/>
      </w:pPr>
      <w:r>
        <w:rPr/>
        <w:t> </w:t>
      </w:r>
    </w:p>
    <w:p>
      <w:pPr>
        <w:pStyle w:val="TextBody"/>
        <w:bidi w:val="0"/>
        <w:spacing w:before="20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serif" w:hAnsi="Times New Roman;serif"/>
          <w:b/>
          <w:sz w:val="20"/>
        </w:rPr>
      </w:pPr>
      <w:r>
        <w:rPr>
          <w:rFonts w:ascii="Times New Roman;serif" w:hAnsi="Times New Roman;serif"/>
          <w:b/>
          <w:sz w:val="20"/>
        </w:rPr>
        <w:t>Results of Operations for the Three and Six Months ended June 30, 2023 and 2022</w:t>
      </w:r>
    </w:p>
    <w:p>
      <w:pPr>
        <w:pStyle w:val="TextBody"/>
        <w:bidi w:val="0"/>
        <w:spacing w:before="200" w:after="0"/>
        <w:jc w:val="left"/>
        <w:rPr>
          <w:rFonts w:ascii="Times New Roman" w:hAnsi="Times New Roman"/>
          <w:sz w:val="20"/>
        </w:rPr>
      </w:pPr>
      <w:r>
        <w:rPr>
          <w:rFonts w:ascii="Times New Roman;serif" w:hAnsi="Times New Roman;serif"/>
          <w:b w:val="false"/>
          <w:sz w:val="20"/>
        </w:rPr>
        <w:t>The following tables set forth our results of operations for the periods presented and as a percentage of our total revenue for those periods. The data has been derived from the unaudited consolidated financial statements contained in this Quarterly Report on Form 10-Q which include, in our opinion, all adjustments, consisting only of normal recurring adjustments, that we consider necessary for a fair statement of the financial position and results of operations for the interim periods presented. The period-to-period comparison of financial results is not necessarily indicative of financial results to be achieved in future periods.</w:t>
      </w:r>
      <w:r>
        <w:rPr>
          <w:rFonts w:ascii="Times New Roman" w:hAnsi="Times New Roman"/>
          <w:sz w:val="20"/>
        </w:rPr>
        <w:t xml:space="preserve"> </w:t>
      </w:r>
    </w:p>
    <w:tbl>
      <w:tblPr>
        <w:tblW w:w="8752" w:type="dxa"/>
        <w:jc w:val="left"/>
        <w:tblInd w:w="0" w:type="dxa"/>
        <w:tblLayout w:type="fixed"/>
        <w:tblCellMar>
          <w:top w:w="28" w:type="dxa"/>
          <w:left w:w="28" w:type="dxa"/>
          <w:bottom w:w="28" w:type="dxa"/>
          <w:right w:w="28" w:type="dxa"/>
        </w:tblCellMar>
      </w:tblPr>
      <w:tblGrid>
        <w:gridCol w:w="2701"/>
        <w:gridCol w:w="146"/>
        <w:gridCol w:w="211"/>
        <w:gridCol w:w="841"/>
        <w:gridCol w:w="166"/>
        <w:gridCol w:w="146"/>
        <w:gridCol w:w="211"/>
        <w:gridCol w:w="781"/>
        <w:gridCol w:w="166"/>
        <w:gridCol w:w="146"/>
        <w:gridCol w:w="211"/>
        <w:gridCol w:w="931"/>
        <w:gridCol w:w="166"/>
        <w:gridCol w:w="146"/>
        <w:gridCol w:w="211"/>
        <w:gridCol w:w="781"/>
        <w:gridCol w:w="7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w:t>
              <w:br/>
              <w:t>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br/>
              <w:t> Ended June 30,</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(dollars 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200"/>
              <w:jc w:val="righ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Subscription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517,678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412,401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1,007,421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797,356</w:t>
            </w:r>
          </w:p>
        </w:tc>
        <w:tc>
          <w:tcPr>
            <w:tcW w:w="791" w:type="dxa"/>
            <w:tcBorders/>
            <w:vAlign w:val="center"/>
          </w:tcPr>
          <w:p>
            <w:pPr>
              <w:pStyle w:val="TableContents"/>
              <w:bidi w:val="0"/>
              <w:spacing w:before="0" w:after="0"/>
              <w:ind w:left="0" w:right="0" w:firstLine="200"/>
              <w:jc w:val="lef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Professional services and 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19,998</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2701"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529,138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421,755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1,030,758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817,354</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200"/>
              <w:jc w:val="righ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Subscription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73,824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64,431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142,163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123,816</w:t>
            </w:r>
          </w:p>
        </w:tc>
        <w:tc>
          <w:tcPr>
            <w:tcW w:w="791" w:type="dxa"/>
            <w:tcBorders/>
            <w:vAlign w:val="center"/>
          </w:tcPr>
          <w:p>
            <w:pPr>
              <w:pStyle w:val="TableContents"/>
              <w:bidi w:val="0"/>
              <w:spacing w:before="0" w:after="0"/>
              <w:ind w:left="0" w:right="0" w:firstLine="200"/>
              <w:jc w:val="lef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Professional services and 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27,169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28,053</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2701"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cost of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87,286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78,931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169,332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151,869</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441,852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342,824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861,426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665,485</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200"/>
              <w:jc w:val="righ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169,955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118,914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297,639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211,650</w:t>
            </w:r>
          </w:p>
        </w:tc>
        <w:tc>
          <w:tcPr>
            <w:tcW w:w="791" w:type="dxa"/>
            <w:tcBorders/>
            <w:vAlign w:val="center"/>
          </w:tcPr>
          <w:p>
            <w:pPr>
              <w:pStyle w:val="TableContents"/>
              <w:bidi w:val="0"/>
              <w:spacing w:before="0" w:after="0"/>
              <w:ind w:left="0" w:right="0" w:firstLine="200"/>
              <w:jc w:val="lef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265,294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224,262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515,971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421,396</w:t>
            </w:r>
          </w:p>
        </w:tc>
        <w:tc>
          <w:tcPr>
            <w:tcW w:w="791" w:type="dxa"/>
            <w:tcBorders/>
            <w:vAlign w:val="center"/>
          </w:tcPr>
          <w:p>
            <w:pPr>
              <w:pStyle w:val="TableContents"/>
              <w:bidi w:val="0"/>
              <w:spacing w:before="0" w:after="0"/>
              <w:ind w:left="0" w:right="0" w:firstLine="200"/>
              <w:jc w:val="lef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61,222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51,898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118,630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95,844</w:t>
            </w:r>
          </w:p>
        </w:tc>
        <w:tc>
          <w:tcPr>
            <w:tcW w:w="791" w:type="dxa"/>
            <w:tcBorders/>
            <w:vAlign w:val="center"/>
          </w:tcPr>
          <w:p>
            <w:pPr>
              <w:pStyle w:val="TableContents"/>
              <w:bidi w:val="0"/>
              <w:spacing w:before="0" w:after="0"/>
              <w:ind w:left="0" w:right="0" w:firstLine="200"/>
              <w:jc w:val="lef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Restructuring</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63,880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92,450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70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560,351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395,074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1,024,690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728,890</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(118,499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(52,250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(163,264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(63,405</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200"/>
              <w:jc w:val="righ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2,564</w:t>
            </w:r>
          </w:p>
        </w:tc>
        <w:tc>
          <w:tcPr>
            <w:tcW w:w="791" w:type="dxa"/>
            <w:tcBorders/>
            <w:vAlign w:val="center"/>
          </w:tcPr>
          <w:p>
            <w:pPr>
              <w:pStyle w:val="TableContents"/>
              <w:bidi w:val="0"/>
              <w:spacing w:before="0" w:after="0"/>
              <w:ind w:left="0" w:right="0" w:firstLine="200"/>
              <w:jc w:val="lef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(1,898</w:t>
            </w:r>
          </w:p>
        </w:tc>
        <w:tc>
          <w:tcPr>
            <w:tcW w:w="7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(expense)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602</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70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income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1,268</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(105,564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(141,583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(62,137</w:t>
            </w:r>
          </w:p>
        </w:tc>
        <w:tc>
          <w:tcPr>
            <w:tcW w:w="79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70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(13,382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(3,565</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(118,946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(56,361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(157,228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(65,702</w:t>
            </w:r>
          </w:p>
        </w:tc>
        <w:tc>
          <w:tcPr>
            <w:tcW w:w="7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tbl>
      <w:tblPr>
        <w:tblW w:w="7157" w:type="dxa"/>
        <w:jc w:val="left"/>
        <w:tblInd w:w="0" w:type="dxa"/>
        <w:tblLayout w:type="fixed"/>
        <w:tblCellMar>
          <w:top w:w="28" w:type="dxa"/>
          <w:left w:w="28" w:type="dxa"/>
          <w:bottom w:w="28" w:type="dxa"/>
          <w:right w:w="28" w:type="dxa"/>
        </w:tblCellMar>
      </w:tblPr>
      <w:tblGrid>
        <w:gridCol w:w="2701"/>
        <w:gridCol w:w="146"/>
        <w:gridCol w:w="146"/>
        <w:gridCol w:w="421"/>
        <w:gridCol w:w="331"/>
        <w:gridCol w:w="146"/>
        <w:gridCol w:w="146"/>
        <w:gridCol w:w="421"/>
        <w:gridCol w:w="331"/>
        <w:gridCol w:w="146"/>
        <w:gridCol w:w="146"/>
        <w:gridCol w:w="421"/>
        <w:gridCol w:w="331"/>
        <w:gridCol w:w="146"/>
        <w:gridCol w:w="146"/>
        <w:gridCol w:w="421"/>
        <w:gridCol w:w="61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w:t>
              <w:br/>
              <w:t> Ended June 30,</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br/>
              <w:t> Ended 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Subscription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Professional services and other</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70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Subscription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611" w:type="dxa"/>
            <w:tcBorders/>
            <w:vAlign w:val="center"/>
          </w:tcPr>
          <w:p>
            <w:pPr>
              <w:pStyle w:val="TableContents"/>
              <w:bidi w:val="0"/>
              <w:spacing w:before="0" w:after="0"/>
              <w:ind w:left="0" w:right="0" w:firstLine="200"/>
              <w:jc w:val="lef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Professional services and other</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70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cost of revenue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611" w:type="dxa"/>
            <w:tcBorders/>
            <w:vAlign w:val="center"/>
          </w:tcPr>
          <w:p>
            <w:pPr>
              <w:pStyle w:val="TableContents"/>
              <w:bidi w:val="0"/>
              <w:spacing w:before="0" w:after="0"/>
              <w:ind w:left="0" w:right="0" w:firstLine="200"/>
              <w:jc w:val="lef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611" w:type="dxa"/>
            <w:tcBorders/>
            <w:vAlign w:val="center"/>
          </w:tcPr>
          <w:p>
            <w:pPr>
              <w:pStyle w:val="TableContents"/>
              <w:bidi w:val="0"/>
              <w:spacing w:before="0" w:after="0"/>
              <w:ind w:left="0" w:right="0" w:firstLine="200"/>
              <w:jc w:val="lef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611" w:type="dxa"/>
            <w:tcBorders/>
            <w:vAlign w:val="center"/>
          </w:tcPr>
          <w:p>
            <w:pPr>
              <w:pStyle w:val="TableContents"/>
              <w:bidi w:val="0"/>
              <w:spacing w:before="0" w:after="0"/>
              <w:ind w:left="0" w:right="0" w:firstLine="200"/>
              <w:jc w:val="left"/>
              <w:rPr/>
            </w:pPr>
            <w:r>
              <w:rPr/>
              <w:t> </w:t>
            </w:r>
          </w:p>
        </w:tc>
      </w:tr>
      <w:tr>
        <w:trPr/>
        <w:tc>
          <w:tcPr>
            <w:tcW w:w="27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Restructuring</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70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70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income (expense)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70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3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3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Percentages are based on actual values. Totals may not sum due to rounding.</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serif" w:hAnsi="Times New Roman;serif"/>
          <w:b/>
          <w:sz w:val="20"/>
        </w:rPr>
      </w:pPr>
      <w:r>
        <w:rPr>
          <w:rFonts w:ascii="Times New Roman;serif" w:hAnsi="Times New Roman;serif"/>
          <w:b/>
          <w:sz w:val="20"/>
        </w:rPr>
        <w:t>Three and Six Months ended June 30, 2023 Compared to the Three and Six Months Ended June 30, 2022</w:t>
      </w:r>
    </w:p>
    <w:p>
      <w:pPr>
        <w:pStyle w:val="TextBody"/>
        <w:bidi w:val="0"/>
        <w:spacing w:before="200" w:after="0"/>
        <w:jc w:val="left"/>
        <w:rPr>
          <w:rFonts w:ascii="Times New Roman" w:hAnsi="Times New Roman"/>
          <w:sz w:val="20"/>
        </w:rPr>
      </w:pPr>
      <w:r>
        <w:rPr>
          <w:rFonts w:ascii="Times New Roman;serif" w:hAnsi="Times New Roman;serif"/>
          <w:b/>
          <w:i/>
          <w:sz w:val="20"/>
        </w:rPr>
        <w:t>Revenue</w:t>
      </w:r>
      <w:r>
        <w:rPr>
          <w:rFonts w:ascii="Times New Roman" w:hAnsi="Times New Roman"/>
          <w:sz w:val="20"/>
        </w:rPr>
        <w:t xml:space="preserve"> </w:t>
      </w:r>
      <w:r>
        <w:rPr>
          <w:rFonts w:ascii="Times New Roman;serif" w:hAnsi="Times New Roman;serif"/>
          <w:b w:val="false"/>
          <w:sz w:val="20"/>
        </w:rPr>
        <w:br/>
      </w:r>
      <w:r>
        <w:rPr>
          <w:rFonts w:ascii="Times New Roman" w:hAnsi="Times New Roman"/>
          <w:sz w:val="20"/>
        </w:rPr>
        <w:t> </w:t>
      </w:r>
    </w:p>
    <w:tbl>
      <w:tblPr>
        <w:tblW w:w="11161" w:type="dxa"/>
        <w:jc w:val="left"/>
        <w:tblInd w:w="0" w:type="dxa"/>
        <w:tblLayout w:type="fixed"/>
        <w:tblCellMar>
          <w:top w:w="28" w:type="dxa"/>
          <w:left w:w="28" w:type="dxa"/>
          <w:bottom w:w="28" w:type="dxa"/>
          <w:right w:w="28" w:type="dxa"/>
        </w:tblCellMar>
      </w:tblPr>
      <w:tblGrid>
        <w:gridCol w:w="991"/>
        <w:gridCol w:w="146"/>
        <w:gridCol w:w="196"/>
        <w:gridCol w:w="691"/>
        <w:gridCol w:w="146"/>
        <w:gridCol w:w="146"/>
        <w:gridCol w:w="196"/>
        <w:gridCol w:w="691"/>
        <w:gridCol w:w="146"/>
        <w:gridCol w:w="146"/>
        <w:gridCol w:w="196"/>
        <w:gridCol w:w="691"/>
        <w:gridCol w:w="146"/>
        <w:gridCol w:w="146"/>
        <w:gridCol w:w="294"/>
        <w:gridCol w:w="577"/>
        <w:gridCol w:w="241"/>
        <w:gridCol w:w="146"/>
        <w:gridCol w:w="196"/>
        <w:gridCol w:w="826"/>
        <w:gridCol w:w="146"/>
        <w:gridCol w:w="146"/>
        <w:gridCol w:w="196"/>
        <w:gridCol w:w="691"/>
        <w:gridCol w:w="146"/>
        <w:gridCol w:w="146"/>
        <w:gridCol w:w="196"/>
        <w:gridCol w:w="691"/>
        <w:gridCol w:w="146"/>
        <w:gridCol w:w="146"/>
        <w:gridCol w:w="294"/>
        <w:gridCol w:w="577"/>
        <w:gridCol w:w="686"/>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9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w:t>
              <w:br/>
              <w:t>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br/>
              <w:t>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center"/>
              <w:rPr/>
            </w:pPr>
            <w:r>
              <w:rPr/>
              <w:t> </w:t>
            </w:r>
          </w:p>
        </w:tc>
        <w:tc>
          <w:tcPr>
            <w:tcW w:w="686" w:type="dxa"/>
            <w:tcBorders/>
            <w:vAlign w:val="center"/>
          </w:tcPr>
          <w:p>
            <w:pPr>
              <w:pStyle w:val="TableContents"/>
              <w:bidi w:val="0"/>
              <w:spacing w:before="0" w:after="0"/>
              <w:ind w:left="0" w:right="0" w:hanging="0"/>
              <w:jc w:val="center"/>
              <w:rPr/>
            </w:pPr>
            <w:r>
              <w:rPr/>
              <w:t> </w:t>
            </w:r>
          </w:p>
        </w:tc>
      </w:tr>
      <w:tr>
        <w:trPr/>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(dollars 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6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99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Revenues: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firstLine="200"/>
              <w:jc w:val="left"/>
              <w:rPr/>
            </w:pPr>
            <w:r>
              <w:rPr/>
              <w:t> </w:t>
            </w:r>
          </w:p>
        </w:tc>
      </w:tr>
      <w:tr>
        <w:trPr/>
        <w:tc>
          <w:tcPr>
            <w:tcW w:w="99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Subscription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517,678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412,401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105,277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57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26</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1,007,421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797,356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210,065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57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26</w:t>
            </w:r>
          </w:p>
        </w:tc>
        <w:tc>
          <w:tcPr>
            <w:tcW w:w="686" w:type="dxa"/>
            <w:tcBorders/>
            <w:vAlign w:val="center"/>
          </w:tcPr>
          <w:p>
            <w:pPr>
              <w:pStyle w:val="TableContents"/>
              <w:bidi w:val="0"/>
              <w:spacing w:before="0" w:after="0"/>
              <w:ind w:left="0" w:right="0" w:firstLine="200"/>
              <w:jc w:val="left"/>
              <w:rPr>
                <w:rFonts w:ascii="Times New Roman;serif" w:hAnsi="Times New Roman;serif"/>
                <w:b w:val="false"/>
                <w:sz w:val="17"/>
              </w:rPr>
            </w:pPr>
            <w:r>
              <w:rPr>
                <w:rFonts w:ascii="Times New Roman;serif" w:hAnsi="Times New Roman;serif"/>
                <w:b w:val="false"/>
                <w:sz w:val="17"/>
              </w:rPr>
              <w:t>%</w:t>
            </w:r>
          </w:p>
        </w:tc>
      </w:tr>
      <w:tr>
        <w:trPr/>
        <w:tc>
          <w:tcPr>
            <w:tcW w:w="99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 xml:space="preserve">Professional services </w:t>
              <w:br/>
              <w:t>and other</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11,460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9,354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2,106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57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23</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23,337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19,998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3,339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57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17</w:t>
            </w:r>
          </w:p>
        </w:tc>
        <w:tc>
          <w:tcPr>
            <w:tcW w:w="686" w:type="dxa"/>
            <w:tcBorders/>
            <w:vAlign w:val="center"/>
          </w:tcPr>
          <w:p>
            <w:pPr>
              <w:pStyle w:val="TableContents"/>
              <w:bidi w:val="0"/>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r>
      <w:tr>
        <w:trPr/>
        <w:tc>
          <w:tcPr>
            <w:tcW w:w="991" w:type="dxa"/>
            <w:tcBorders/>
            <w:vAlign w:val="center"/>
          </w:tcPr>
          <w:p>
            <w:pPr>
              <w:pStyle w:val="TableContents"/>
              <w:bidi w:val="0"/>
              <w:spacing w:before="0" w:after="0"/>
              <w:ind w:left="400" w:right="0" w:hanging="0"/>
              <w:jc w:val="left"/>
              <w:rPr>
                <w:rFonts w:ascii="Times New Roman;serif" w:hAnsi="Times New Roman;serif"/>
                <w:b w:val="false"/>
                <w:sz w:val="17"/>
              </w:rPr>
            </w:pPr>
            <w:r>
              <w:rPr>
                <w:rFonts w:ascii="Times New Roman;serif" w:hAnsi="Times New Roman;serif"/>
                <w:b w:val="false"/>
                <w:sz w:val="17"/>
              </w:rPr>
              <w:t>Total revenue</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529,138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421,755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107,383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57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25</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1,030,758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817,354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213,404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57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26</w:t>
            </w:r>
          </w:p>
        </w:tc>
        <w:tc>
          <w:tcPr>
            <w:tcW w:w="68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bl>
    <w:p>
      <w:pPr>
        <w:pStyle w:val="TextBody"/>
        <w:bidi w:val="0"/>
        <w:spacing w:before="200" w:after="0"/>
        <w:jc w:val="left"/>
        <w:rPr>
          <w:rFonts w:ascii="Times New Roman;serif" w:hAnsi="Times New Roman;serif"/>
          <w:b w:val="false"/>
          <w:i/>
          <w:sz w:val="20"/>
          <w:u w:val="single"/>
        </w:rPr>
      </w:pPr>
      <w:r>
        <w:rPr>
          <w:rFonts w:ascii="Times New Roman;serif" w:hAnsi="Times New Roman;serif"/>
          <w:b w:val="false"/>
          <w:i/>
          <w:sz w:val="20"/>
          <w:u w:val="single"/>
        </w:rPr>
        <w:t>Three month change</w:t>
      </w:r>
    </w:p>
    <w:p>
      <w:pPr>
        <w:pStyle w:val="TextBody"/>
        <w:bidi w:val="0"/>
        <w:spacing w:before="200" w:after="0"/>
        <w:jc w:val="left"/>
        <w:rPr>
          <w:rFonts w:ascii="Times New Roman" w:hAnsi="Times New Roman"/>
          <w:sz w:val="20"/>
        </w:rPr>
      </w:pPr>
      <w:r>
        <w:rPr>
          <w:rFonts w:ascii="Times New Roman;serif" w:hAnsi="Times New Roman;serif"/>
          <w:b w:val="false"/>
          <w:sz w:val="20"/>
        </w:rPr>
        <w:t>Subscription revenue increased during the three months ended June 30, 2023 compared to the same period in 2022 primarily due to the increase in Customers, which grew from 150,865 as of June 30, 2022 to 184,924 as of June 30, 2023. Average Subscription Revenue per Customer increased from $11,198 for the three months ended June 30, 2022 to $11,432 for the three months ended June 30, 2023. The growth in Customers was primarily driven by increased demand for our lower-priced Starter products. The increase in Average Subscription Revenue per Customer was primarily driven by a continued demand for our Professional and Enterprise products and adoption of multiple Hubs, offset by continued purchases of our lower-priced Starter products and the impact of foreign currency translation primarily attributable to the decline in the value of the Euro and British Pound Sterling relative to the U.S. Dollar.</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Professional services and other revenue increased during the three months ended June 30, 2023 compared to the same period in 2022 primarily due to increase in overall services revenue from onboarding and fees earned from other revenue streams.</w:t>
      </w:r>
      <w:r>
        <w:rPr>
          <w:rFonts w:ascii="Times New Roman" w:hAnsi="Times New Roman"/>
          <w:sz w:val="20"/>
        </w:rPr>
        <w:t xml:space="preserve"> </w:t>
      </w:r>
    </w:p>
    <w:p>
      <w:pPr>
        <w:pStyle w:val="TextBody"/>
        <w:bidi w:val="0"/>
        <w:spacing w:before="200" w:after="0"/>
        <w:jc w:val="left"/>
        <w:rPr>
          <w:rFonts w:ascii="Times New Roman;serif" w:hAnsi="Times New Roman;serif"/>
          <w:b w:val="false"/>
          <w:i/>
          <w:sz w:val="20"/>
          <w:u w:val="single"/>
        </w:rPr>
      </w:pPr>
      <w:r>
        <w:rPr>
          <w:rFonts w:ascii="Times New Roman;serif" w:hAnsi="Times New Roman;serif"/>
          <w:b w:val="false"/>
          <w:i/>
          <w:sz w:val="20"/>
          <w:u w:val="single"/>
        </w:rPr>
        <w:t>Six month change</w:t>
      </w:r>
    </w:p>
    <w:p>
      <w:pPr>
        <w:pStyle w:val="TextBody"/>
        <w:bidi w:val="0"/>
        <w:spacing w:before="200" w:after="0"/>
        <w:jc w:val="left"/>
        <w:rPr>
          <w:rFonts w:ascii="Times New Roman" w:hAnsi="Times New Roman"/>
          <w:sz w:val="20"/>
        </w:rPr>
      </w:pPr>
      <w:r>
        <w:rPr>
          <w:rFonts w:ascii="Times New Roman;serif" w:hAnsi="Times New Roman;serif"/>
          <w:b w:val="false"/>
          <w:sz w:val="20"/>
        </w:rPr>
        <w:t>Subscription revenue increased during the six months ended June 30, 2023 compared to the same period in 2022 primarily due to the increase in Customers, which grew from 150,865 as of June 30, 2022 to 184,924 as of June 30, 2023. Average Subscription Revenue per Customer increased from $11,137 for the six months ended June 30, 2022 to $11,436 for the six months ended June 30, 2023. The growth in Customers was primarily driven by increased demand for our lower-priced Starter products. The increase in Average Subscription Revenue per Customer was primarily driven by a continued demand for our Professional and Enterprise products and adoption of multiple Hubs, offset by continued purchases of our lower-priced Starter products and the impact of foreign currency translation primarily attributable to the decline in the value of the Euro and British Pound Sterling relative to the U.S. Dollar.</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Professional services and other revenue increased during the six months ended June 30, 2023 compared to the same period in 2022 primarily due to increase in overall services revenue from onboarding and fees earned from other revenue streams.</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i/>
          <w:sz w:val="20"/>
        </w:rPr>
        <w:t xml:space="preserve">Cost of Revenue, Gross Profit and Gross Margin Percentage </w:t>
      </w:r>
      <w:r>
        <w:rPr>
          <w:rFonts w:ascii="Times New Roman;serif" w:hAnsi="Times New Roman;serif"/>
          <w:b w:val="false"/>
          <w:sz w:val="20"/>
        </w:rPr>
        <w:br/>
      </w:r>
      <w:r>
        <w:rPr>
          <w:rFonts w:ascii="Times New Roman" w:hAnsi="Times New Roman"/>
          <w:sz w:val="20"/>
        </w:rPr>
        <w:t> </w:t>
      </w:r>
    </w:p>
    <w:tbl>
      <w:tblPr>
        <w:tblW w:w="10796" w:type="dxa"/>
        <w:jc w:val="left"/>
        <w:tblInd w:w="0" w:type="dxa"/>
        <w:tblLayout w:type="fixed"/>
        <w:tblCellMar>
          <w:top w:w="28" w:type="dxa"/>
          <w:left w:w="28" w:type="dxa"/>
          <w:bottom w:w="28" w:type="dxa"/>
          <w:right w:w="28" w:type="dxa"/>
        </w:tblCellMar>
      </w:tblPr>
      <w:tblGrid>
        <w:gridCol w:w="871"/>
        <w:gridCol w:w="146"/>
        <w:gridCol w:w="196"/>
        <w:gridCol w:w="691"/>
        <w:gridCol w:w="241"/>
        <w:gridCol w:w="146"/>
        <w:gridCol w:w="196"/>
        <w:gridCol w:w="691"/>
        <w:gridCol w:w="241"/>
        <w:gridCol w:w="146"/>
        <w:gridCol w:w="196"/>
        <w:gridCol w:w="601"/>
        <w:gridCol w:w="146"/>
        <w:gridCol w:w="146"/>
        <w:gridCol w:w="294"/>
        <w:gridCol w:w="577"/>
        <w:gridCol w:w="241"/>
        <w:gridCol w:w="146"/>
        <w:gridCol w:w="196"/>
        <w:gridCol w:w="691"/>
        <w:gridCol w:w="241"/>
        <w:gridCol w:w="146"/>
        <w:gridCol w:w="196"/>
        <w:gridCol w:w="691"/>
        <w:gridCol w:w="241"/>
        <w:gridCol w:w="146"/>
        <w:gridCol w:w="196"/>
        <w:gridCol w:w="691"/>
        <w:gridCol w:w="146"/>
        <w:gridCol w:w="146"/>
        <w:gridCol w:w="294"/>
        <w:gridCol w:w="577"/>
        <w:gridCol w:w="286"/>
      </w:tblGrid>
      <w:tr>
        <w:trPr/>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8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6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w:t>
              <w:br/>
              <w:t> Ended 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6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br/>
              <w:t> Ended 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center"/>
              <w:rPr/>
            </w:pPr>
            <w:r>
              <w:rPr/>
              <w:t> </w:t>
            </w:r>
          </w:p>
        </w:tc>
        <w:tc>
          <w:tcPr>
            <w:tcW w:w="286" w:type="dxa"/>
            <w:tcBorders/>
            <w:vAlign w:val="center"/>
          </w:tcPr>
          <w:p>
            <w:pPr>
              <w:pStyle w:val="TableContents"/>
              <w:bidi w:val="0"/>
              <w:spacing w:before="0" w:after="0"/>
              <w:ind w:left="0" w:right="0" w:hanging="0"/>
              <w:jc w:val="center"/>
              <w:rPr/>
            </w:pPr>
            <w:r>
              <w:rPr/>
              <w:t> </w:t>
            </w:r>
          </w:p>
        </w:tc>
      </w:tr>
      <w:tr>
        <w:trPr/>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(dollars 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8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Total cost of revenue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87,286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78,931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8,355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57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11</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169,332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151,869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17,463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57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11</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8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Gross profit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441,852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342,824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99,028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57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29</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861,426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665,485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195,941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57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29</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8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Gross margin percentage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84</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81</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righ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84</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81</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r>
    </w:tbl>
    <w:p>
      <w:pPr>
        <w:pStyle w:val="TextBody"/>
        <w:bidi w:val="0"/>
        <w:spacing w:before="200" w:after="0"/>
        <w:jc w:val="left"/>
        <w:rPr>
          <w:rFonts w:ascii="Times New Roman" w:hAnsi="Times New Roman"/>
          <w:sz w:val="20"/>
        </w:rPr>
      </w:pPr>
      <w:r>
        <w:rPr>
          <w:rFonts w:ascii="Times New Roman;serif" w:hAnsi="Times New Roman;serif"/>
          <w:b w:val="false"/>
          <w:sz w:val="20"/>
        </w:rPr>
        <w:t>Total cost of revenue for the three and six months ended June 30, 2023 increased compared to the same period in 2022 primarily due to an increase in subscription and hosting costs, amortization of capitalized software development costs, amortization of acquired technology, offset by decreases in employee-related costs and allocated overhead expenses. The increase in gross margin was primarily driven by benefits from hosting cost efficiencies from infrastructure optimization efforts.</w:t>
        <w:br/>
      </w:r>
      <w:r>
        <w:rPr>
          <w:rFonts w:ascii="Times New Roman" w:hAnsi="Times New Roman"/>
          <w:sz w:val="20"/>
        </w:rPr>
        <w:t> </w:t>
      </w:r>
    </w:p>
    <w:tbl>
      <w:tblPr>
        <w:tblW w:w="10645" w:type="dxa"/>
        <w:jc w:val="left"/>
        <w:tblInd w:w="0" w:type="dxa"/>
        <w:tblLayout w:type="fixed"/>
        <w:tblCellMar>
          <w:top w:w="28" w:type="dxa"/>
          <w:left w:w="28" w:type="dxa"/>
          <w:bottom w:w="28" w:type="dxa"/>
          <w:right w:w="28" w:type="dxa"/>
        </w:tblCellMar>
      </w:tblPr>
      <w:tblGrid>
        <w:gridCol w:w="991"/>
        <w:gridCol w:w="146"/>
        <w:gridCol w:w="196"/>
        <w:gridCol w:w="601"/>
        <w:gridCol w:w="241"/>
        <w:gridCol w:w="146"/>
        <w:gridCol w:w="196"/>
        <w:gridCol w:w="601"/>
        <w:gridCol w:w="241"/>
        <w:gridCol w:w="146"/>
        <w:gridCol w:w="220"/>
        <w:gridCol w:w="576"/>
        <w:gridCol w:w="146"/>
        <w:gridCol w:w="146"/>
        <w:gridCol w:w="294"/>
        <w:gridCol w:w="577"/>
        <w:gridCol w:w="241"/>
        <w:gridCol w:w="146"/>
        <w:gridCol w:w="196"/>
        <w:gridCol w:w="691"/>
        <w:gridCol w:w="241"/>
        <w:gridCol w:w="146"/>
        <w:gridCol w:w="196"/>
        <w:gridCol w:w="691"/>
        <w:gridCol w:w="241"/>
        <w:gridCol w:w="146"/>
        <w:gridCol w:w="196"/>
        <w:gridCol w:w="601"/>
        <w:gridCol w:w="146"/>
        <w:gridCol w:w="146"/>
        <w:gridCol w:w="294"/>
        <w:gridCol w:w="577"/>
        <w:gridCol w:w="286"/>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9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w:t>
              <w:br/>
              <w:t> Ended 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6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br/>
              <w:t> Ended 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center"/>
              <w:rPr/>
            </w:pPr>
            <w:r>
              <w:rPr/>
              <w:t> </w:t>
            </w:r>
          </w:p>
        </w:tc>
        <w:tc>
          <w:tcPr>
            <w:tcW w:w="286" w:type="dxa"/>
            <w:tcBorders/>
            <w:vAlign w:val="center"/>
          </w:tcPr>
          <w:p>
            <w:pPr>
              <w:pStyle w:val="TableContents"/>
              <w:bidi w:val="0"/>
              <w:spacing w:before="0" w:after="0"/>
              <w:ind w:left="0" w:right="0" w:hanging="0"/>
              <w:jc w:val="center"/>
              <w:rPr/>
            </w:pPr>
            <w:r>
              <w:rPr/>
              <w:t> </w:t>
            </w:r>
          </w:p>
        </w:tc>
      </w:tr>
      <w:tr>
        <w:trPr/>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(dollars 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99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Subscription cost of revenue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73,824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64,431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5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9,393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57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15</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142,163</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123,816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18,347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57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15</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99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 xml:space="preserve">Percentage of subscription </w:t>
              <w:br/>
              <w:t>revenue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14</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14</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 w:hAnsi="Times New Roman"/>
          <w:sz w:val="20"/>
        </w:rPr>
      </w:pPr>
      <w:r>
        <w:rPr>
          <w:rFonts w:ascii="Times New Roman;serif" w:hAnsi="Times New Roman;serif"/>
          <w:b w:val="false"/>
          <w:sz w:val="20"/>
        </w:rPr>
        <w:t>The increase in subscription cost of revenue for the three and six months ended June 30, 2023 compared to the same period in 2022 was primarily due to the following:</w:t>
        <w:br/>
      </w:r>
      <w:r>
        <w:rPr>
          <w:rFonts w:ascii="Times New Roman" w:hAnsi="Times New Roman"/>
          <w:sz w:val="20"/>
        </w:rPr>
        <w:t> </w:t>
      </w:r>
    </w:p>
    <w:tbl>
      <w:tblPr>
        <w:tblW w:w="7330" w:type="dxa"/>
        <w:jc w:val="left"/>
        <w:tblInd w:w="0" w:type="dxa"/>
        <w:tblLayout w:type="fixed"/>
        <w:tblCellMar>
          <w:top w:w="28" w:type="dxa"/>
          <w:left w:w="28" w:type="dxa"/>
          <w:bottom w:w="28" w:type="dxa"/>
          <w:right w:w="28" w:type="dxa"/>
        </w:tblCellMar>
      </w:tblPr>
      <w:tblGrid>
        <w:gridCol w:w="4636"/>
        <w:gridCol w:w="146"/>
        <w:gridCol w:w="299"/>
        <w:gridCol w:w="811"/>
        <w:gridCol w:w="166"/>
        <w:gridCol w:w="146"/>
        <w:gridCol w:w="217"/>
        <w:gridCol w:w="698"/>
        <w:gridCol w:w="21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337"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211" w:type="dxa"/>
            <w:tcBorders/>
            <w:vAlign w:val="center"/>
          </w:tcPr>
          <w:p>
            <w:pPr>
              <w:pStyle w:val="TableContents"/>
              <w:bidi w:val="0"/>
              <w:spacing w:before="0" w:after="0"/>
              <w:ind w:left="0" w:right="0" w:hanging="0"/>
              <w:jc w:val="center"/>
              <w:rPr/>
            </w:pPr>
            <w:r>
              <w:rPr/>
              <w:t> </w:t>
            </w:r>
          </w:p>
        </w:tc>
      </w:tr>
      <w:tr>
        <w:trPr/>
        <w:tc>
          <w:tcPr>
            <w:tcW w:w="46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337"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11" w:type="dxa"/>
            <w:tcBorders/>
            <w:vAlign w:val="center"/>
          </w:tcPr>
          <w:p>
            <w:pPr>
              <w:pStyle w:val="TableContents"/>
              <w:bidi w:val="0"/>
              <w:spacing w:before="0" w:after="0"/>
              <w:ind w:left="0" w:right="0" w:hanging="0"/>
              <w:jc w:val="center"/>
              <w:rPr/>
            </w:pPr>
            <w:r>
              <w:rPr/>
              <w:t> </w:t>
            </w:r>
          </w:p>
        </w:tc>
      </w:tr>
      <w:tr>
        <w:trPr/>
        <w:tc>
          <w:tcPr>
            <w:tcW w:w="46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Subscription and hosting costs</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16,086</w:t>
            </w:r>
          </w:p>
        </w:tc>
        <w:tc>
          <w:tcPr>
            <w:tcW w:w="211" w:type="dxa"/>
            <w:tcBorders/>
            <w:vAlign w:val="center"/>
          </w:tcPr>
          <w:p>
            <w:pPr>
              <w:pStyle w:val="TableContents"/>
              <w:bidi w:val="0"/>
              <w:spacing w:before="0" w:after="0"/>
              <w:ind w:left="0" w:right="0" w:hanging="0"/>
              <w:jc w:val="left"/>
              <w:rPr/>
            </w:pPr>
            <w:r>
              <w:rPr/>
              <w:t> </w:t>
            </w:r>
          </w:p>
        </w:tc>
      </w:tr>
      <w:tr>
        <w:trPr/>
        <w:tc>
          <w:tcPr>
            <w:tcW w:w="46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capitalized software development costs</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4,472</w:t>
            </w:r>
          </w:p>
        </w:tc>
        <w:tc>
          <w:tcPr>
            <w:tcW w:w="211" w:type="dxa"/>
            <w:tcBorders/>
            <w:vAlign w:val="center"/>
          </w:tcPr>
          <w:p>
            <w:pPr>
              <w:pStyle w:val="TableContents"/>
              <w:bidi w:val="0"/>
              <w:spacing w:before="0" w:after="0"/>
              <w:ind w:left="0" w:right="0" w:hanging="0"/>
              <w:jc w:val="left"/>
              <w:rPr/>
            </w:pPr>
            <w:r>
              <w:rPr/>
              <w:t> </w:t>
            </w:r>
          </w:p>
        </w:tc>
      </w:tr>
      <w:tr>
        <w:trPr/>
        <w:tc>
          <w:tcPr>
            <w:tcW w:w="46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acquired technology</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w:t>
            </w:r>
          </w:p>
        </w:tc>
        <w:tc>
          <w:tcPr>
            <w:tcW w:w="211" w:type="dxa"/>
            <w:tcBorders/>
            <w:vAlign w:val="center"/>
          </w:tcPr>
          <w:p>
            <w:pPr>
              <w:pStyle w:val="TableContents"/>
              <w:bidi w:val="0"/>
              <w:spacing w:before="0" w:after="0"/>
              <w:ind w:left="0" w:right="0" w:hanging="0"/>
              <w:jc w:val="left"/>
              <w:rPr/>
            </w:pPr>
            <w:r>
              <w:rPr/>
              <w:t> </w:t>
            </w:r>
          </w:p>
        </w:tc>
      </w:tr>
      <w:tr>
        <w:trPr/>
        <w:tc>
          <w:tcPr>
            <w:tcW w:w="46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Employee-related costs</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Allocated overhead expenses</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9,393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18,347</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left"/>
        <w:rPr>
          <w:rFonts w:ascii="Times New Roman;serif" w:hAnsi="Times New Roman;serif"/>
          <w:b w:val="false"/>
          <w:i/>
          <w:sz w:val="20"/>
          <w:u w:val="single"/>
        </w:rPr>
      </w:pPr>
      <w:r>
        <w:rPr>
          <w:rFonts w:ascii="Times New Roman;serif" w:hAnsi="Times New Roman;serif"/>
          <w:b w:val="false"/>
          <w:i/>
          <w:sz w:val="20"/>
          <w:u w:val="single"/>
        </w:rPr>
        <w:t>Three month change</w:t>
      </w:r>
    </w:p>
    <w:p>
      <w:pPr>
        <w:pStyle w:val="TextBody"/>
        <w:bidi w:val="0"/>
        <w:spacing w:before="200" w:after="0"/>
        <w:jc w:val="left"/>
        <w:rPr>
          <w:rFonts w:ascii="Times New Roman" w:hAnsi="Times New Roman"/>
          <w:sz w:val="20"/>
        </w:rPr>
      </w:pPr>
      <w:r>
        <w:rPr>
          <w:rFonts w:ascii="Times New Roman;serif" w:hAnsi="Times New Roman;serif"/>
          <w:b w:val="false"/>
          <w:sz w:val="20"/>
        </w:rPr>
        <w:t>Subscription and hosting costs increased primarily due to growth in our Customer base from 150,865 as of June 30, 2022 to 184,924 as of June 30, 2023. We also saw higher subscription and hosting costs as we continued to focus on the security, reliability and performance of our CRM Platform. Amortization of capitalized software development costs increased due to the increased number of developers working on our software platform as we continued to develop new products and increased functionality. Amortization of acquired technology increased due to certain acquired technology being amortized using a method reflective of the expected economic benefit consumption over the expected useful life of the asset. Employee-related costs decreased as a result of the workforce reduction under the Restructuring Plan. Allocated overhead expenses decreased primarily due to lower cost allocation.</w:t>
      </w:r>
      <w:r>
        <w:rPr>
          <w:rFonts w:ascii="Times New Roman" w:hAnsi="Times New Roman"/>
          <w:sz w:val="20"/>
        </w:rPr>
        <w:t xml:space="preserve"> </w:t>
      </w:r>
    </w:p>
    <w:p>
      <w:pPr>
        <w:pStyle w:val="TextBody"/>
        <w:bidi w:val="0"/>
        <w:spacing w:before="200" w:after="0"/>
        <w:jc w:val="left"/>
        <w:rPr>
          <w:rFonts w:ascii="Times New Roman;serif" w:hAnsi="Times New Roman;serif"/>
          <w:b w:val="false"/>
          <w:i/>
          <w:sz w:val="20"/>
          <w:u w:val="single"/>
        </w:rPr>
      </w:pPr>
      <w:r>
        <w:rPr>
          <w:rFonts w:ascii="Times New Roman;serif" w:hAnsi="Times New Roman;serif"/>
          <w:b w:val="false"/>
          <w:i/>
          <w:sz w:val="20"/>
          <w:u w:val="single"/>
        </w:rPr>
        <w:t>Six month change</w:t>
      </w:r>
    </w:p>
    <w:p>
      <w:pPr>
        <w:pStyle w:val="TextBody"/>
        <w:bidi w:val="0"/>
        <w:spacing w:before="200" w:after="0"/>
        <w:jc w:val="left"/>
        <w:rPr>
          <w:rFonts w:ascii="Times New Roman" w:hAnsi="Times New Roman"/>
          <w:sz w:val="20"/>
        </w:rPr>
      </w:pPr>
      <w:r>
        <w:rPr>
          <w:rFonts w:ascii="Times New Roman;serif" w:hAnsi="Times New Roman;serif"/>
          <w:b w:val="false"/>
          <w:sz w:val="20"/>
        </w:rPr>
        <w:t>Subscription and hosting costs increased primarily due to growth in our Customer base from 150,865 as of June 30, 2022 to 184,924 as of June 30, 2023. We also saw higher subscription and hosting costs as we continued to focus on the security, reliability and performance of our CRM Platform. Amortization of capitalized software development costs increased due to the increased number of developers working on our software platform as we continued to develop new products and increased functionality. Amortization of acquired technology increased due to certain acquired technology being amortized using a method reflective of the expected economic benefit consumption over the expected useful life of the asset. Employee-related costs decreased as a result of the workforce reduction under the Restructuring Plan. Allocated overhead expenses decreased primarily due to lower cost allocation.</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1089"/>
        <w:gridCol w:w="146"/>
        <w:gridCol w:w="196"/>
        <w:gridCol w:w="601"/>
        <w:gridCol w:w="241"/>
        <w:gridCol w:w="146"/>
        <w:gridCol w:w="196"/>
        <w:gridCol w:w="601"/>
        <w:gridCol w:w="241"/>
        <w:gridCol w:w="146"/>
        <w:gridCol w:w="203"/>
        <w:gridCol w:w="593"/>
        <w:gridCol w:w="166"/>
        <w:gridCol w:w="146"/>
        <w:gridCol w:w="244"/>
        <w:gridCol w:w="428"/>
        <w:gridCol w:w="241"/>
        <w:gridCol w:w="146"/>
        <w:gridCol w:w="196"/>
        <w:gridCol w:w="601"/>
        <w:gridCol w:w="241"/>
        <w:gridCol w:w="146"/>
        <w:gridCol w:w="196"/>
        <w:gridCol w:w="601"/>
        <w:gridCol w:w="241"/>
        <w:gridCol w:w="146"/>
        <w:gridCol w:w="246"/>
        <w:gridCol w:w="550"/>
        <w:gridCol w:w="166"/>
        <w:gridCol w:w="146"/>
        <w:gridCol w:w="244"/>
        <w:gridCol w:w="428"/>
        <w:gridCol w:w="287"/>
      </w:tblGrid>
      <w:tr>
        <w:trPr/>
        <w:tc>
          <w:tcPr>
            <w:tcW w:w="10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w:t>
              <w:br/>
              <w:t> Ended 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2" w:type="dxa"/>
            <w:gridSpan w:val="2"/>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br/>
              <w:t> Ended 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2" w:type="dxa"/>
            <w:gridSpan w:val="2"/>
            <w:tcBorders/>
            <w:vAlign w:val="center"/>
          </w:tcPr>
          <w:p>
            <w:pPr>
              <w:pStyle w:val="TableContents"/>
              <w:bidi w:val="0"/>
              <w:spacing w:before="0" w:after="0"/>
              <w:ind w:left="0" w:right="0" w:hanging="0"/>
              <w:jc w:val="center"/>
              <w:rPr/>
            </w:pPr>
            <w:r>
              <w:rPr/>
              <w:t> </w:t>
            </w:r>
          </w:p>
        </w:tc>
        <w:tc>
          <w:tcPr>
            <w:tcW w:w="287" w:type="dxa"/>
            <w:tcBorders/>
            <w:vAlign w:val="center"/>
          </w:tcPr>
          <w:p>
            <w:pPr>
              <w:pStyle w:val="TableContents"/>
              <w:bidi w:val="0"/>
              <w:spacing w:before="0" w:after="0"/>
              <w:ind w:left="0" w:right="0" w:hanging="0"/>
              <w:jc w:val="center"/>
              <w:rPr/>
            </w:pPr>
            <w:r>
              <w:rPr/>
              <w:t> </w:t>
            </w:r>
          </w:p>
        </w:tc>
      </w:tr>
      <w:tr>
        <w:trPr/>
        <w:tc>
          <w:tcPr>
            <w:tcW w:w="10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(dollars 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w:t>
            </w:r>
            <w:r>
              <w:rPr>
                <w:rFonts w:ascii="Times New Roman" w:hAnsi="Times New Roman"/>
                <w:sz w:val="16"/>
              </w:rPr>
              <w:t xml:space="preserve"> </w:t>
            </w:r>
            <w:r>
              <w:rPr>
                <w:rFonts w:ascii="Times New Roman;serif" w:hAnsi="Times New Roman;serif"/>
                <w:b/>
                <w:sz w:val="16"/>
              </w:rPr>
              <w:t>Change</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w:t>
            </w:r>
            <w:r>
              <w:rPr>
                <w:rFonts w:ascii="Times New Roman" w:hAnsi="Times New Roman"/>
                <w:sz w:val="16"/>
              </w:rPr>
              <w:t xml:space="preserve"> </w:t>
            </w:r>
            <w:r>
              <w:rPr>
                <w:rFonts w:ascii="Times New Roman;serif" w:hAnsi="Times New Roman;serif"/>
                <w:b/>
                <w:sz w:val="16"/>
              </w:rPr>
              <w:t>Change</w:t>
            </w:r>
          </w:p>
        </w:tc>
        <w:tc>
          <w:tcPr>
            <w:tcW w:w="2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89"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Professional services and other cost of revenue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13,462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14,500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593"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(1,038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27,169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28,053</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(884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w:t>
            </w:r>
          </w:p>
        </w:tc>
        <w:tc>
          <w:tcPr>
            <w:tcW w:w="287"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1089"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Percentage of professional</w:t>
              <w:br/>
              <w:t>services and other revenue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117</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155</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116</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140</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2" w:type="dxa"/>
            <w:gridSpan w:val="2"/>
            <w:tcBorders/>
            <w:vAlign w:val="center"/>
          </w:tcPr>
          <w:p>
            <w:pPr>
              <w:pStyle w:val="TableContents"/>
              <w:bidi w:val="0"/>
              <w:spacing w:before="0" w:after="0"/>
              <w:ind w:left="0" w:right="0" w:hanging="0"/>
              <w:jc w:val="right"/>
              <w:rPr/>
            </w:pPr>
            <w:r>
              <w:rPr/>
              <w:t> </w:t>
            </w:r>
          </w:p>
        </w:tc>
        <w:tc>
          <w:tcPr>
            <w:tcW w:w="287" w:type="dxa"/>
            <w:tcBorders/>
            <w:vAlign w:val="center"/>
          </w:tcPr>
          <w:p>
            <w:pPr>
              <w:pStyle w:val="TableContents"/>
              <w:bidi w:val="0"/>
              <w:spacing w:before="0" w:after="0"/>
              <w:ind w:left="0" w:right="0" w:hanging="0"/>
              <w:jc w:val="right"/>
              <w:rPr/>
            </w:pPr>
            <w:r>
              <w:rPr/>
              <w:t> </w:t>
            </w:r>
          </w:p>
        </w:tc>
      </w:tr>
    </w:tbl>
    <w:p>
      <w:pPr>
        <w:pStyle w:val="TextBody"/>
        <w:bidi w:val="0"/>
        <w:spacing w:before="200" w:after="0"/>
        <w:jc w:val="left"/>
        <w:rPr>
          <w:rFonts w:ascii="Times New Roman" w:hAnsi="Times New Roman"/>
          <w:sz w:val="20"/>
        </w:rPr>
      </w:pPr>
      <w:r>
        <w:rPr>
          <w:rFonts w:ascii="Times New Roman;serif" w:hAnsi="Times New Roman;serif"/>
          <w:b w:val="false"/>
          <w:sz w:val="20"/>
        </w:rPr>
        <w:t xml:space="preserve">The increase in professional services and other cost of revenue for three and six months ended June 30, 2023 compared to the same period in 2022 was primarily due to the following: </w:t>
        <w:br/>
      </w:r>
      <w:r>
        <w:rPr>
          <w:rFonts w:ascii="Times New Roman" w:hAnsi="Times New Roman"/>
          <w:sz w:val="20"/>
        </w:rPr>
        <w:t> </w:t>
      </w:r>
    </w:p>
    <w:tbl>
      <w:tblPr>
        <w:tblW w:w="5995" w:type="dxa"/>
        <w:jc w:val="left"/>
        <w:tblInd w:w="0" w:type="dxa"/>
        <w:tblLayout w:type="fixed"/>
        <w:tblCellMar>
          <w:top w:w="28" w:type="dxa"/>
          <w:left w:w="28" w:type="dxa"/>
          <w:bottom w:w="28" w:type="dxa"/>
          <w:right w:w="28" w:type="dxa"/>
        </w:tblCellMar>
      </w:tblPr>
      <w:tblGrid>
        <w:gridCol w:w="3301"/>
        <w:gridCol w:w="146"/>
        <w:gridCol w:w="278"/>
        <w:gridCol w:w="832"/>
        <w:gridCol w:w="166"/>
        <w:gridCol w:w="146"/>
        <w:gridCol w:w="229"/>
        <w:gridCol w:w="686"/>
        <w:gridCol w:w="21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7"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211" w:type="dxa"/>
            <w:tcBorders/>
            <w:vAlign w:val="center"/>
          </w:tcPr>
          <w:p>
            <w:pPr>
              <w:pStyle w:val="TableContents"/>
              <w:bidi w:val="0"/>
              <w:spacing w:before="0" w:after="0"/>
              <w:ind w:left="0" w:right="0" w:hanging="0"/>
              <w:jc w:val="center"/>
              <w:rPr/>
            </w:pPr>
            <w:r>
              <w:rPr/>
              <w:t> </w:t>
            </w:r>
          </w:p>
        </w:tc>
      </w:tr>
      <w:tr>
        <w:trPr/>
        <w:tc>
          <w:tcPr>
            <w:tcW w:w="3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7"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11" w:type="dxa"/>
            <w:tcBorders/>
            <w:vAlign w:val="center"/>
          </w:tcPr>
          <w:p>
            <w:pPr>
              <w:pStyle w:val="TableContents"/>
              <w:bidi w:val="0"/>
              <w:spacing w:before="0" w:after="0"/>
              <w:ind w:left="0" w:right="0" w:hanging="0"/>
              <w:jc w:val="center"/>
              <w:rPr/>
            </w:pPr>
            <w:r>
              <w:rPr/>
              <w:t> </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Allocated overhead and other expenses</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2,724</w:t>
            </w:r>
          </w:p>
        </w:tc>
        <w:tc>
          <w:tcPr>
            <w:tcW w:w="211" w:type="dxa"/>
            <w:tcBorders/>
            <w:vAlign w:val="center"/>
          </w:tcPr>
          <w:p>
            <w:pPr>
              <w:pStyle w:val="TableContents"/>
              <w:bidi w:val="0"/>
              <w:spacing w:before="0" w:after="0"/>
              <w:ind w:left="0" w:right="0" w:hanging="0"/>
              <w:jc w:val="left"/>
              <w:rPr/>
            </w:pPr>
            <w:r>
              <w:rPr/>
              <w:t> </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Employee-related costs</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(884</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00" w:after="0"/>
        <w:jc w:val="left"/>
        <w:rPr>
          <w:rFonts w:ascii="Times New Roman;serif" w:hAnsi="Times New Roman;serif"/>
          <w:b w:val="false"/>
          <w:i/>
          <w:sz w:val="20"/>
          <w:u w:val="single"/>
        </w:rPr>
      </w:pPr>
      <w:r>
        <w:rPr>
          <w:rFonts w:ascii="Times New Roman;serif" w:hAnsi="Times New Roman;serif"/>
          <w:b w:val="false"/>
          <w:i/>
          <w:sz w:val="20"/>
          <w:u w:val="single"/>
        </w:rPr>
        <w:t>Three month change</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Allocated overhead and other expenses increased primarily due to increased costs associated with our other service offerings. Employee-related costs decreased as a result of the workforce reduction under the Restructuring Plan.</w:t>
      </w:r>
    </w:p>
    <w:p>
      <w:pPr>
        <w:pStyle w:val="TextBody"/>
        <w:bidi w:val="0"/>
        <w:spacing w:before="200" w:after="0"/>
        <w:jc w:val="left"/>
        <w:rPr>
          <w:rFonts w:ascii="Times New Roman;serif" w:hAnsi="Times New Roman;serif"/>
          <w:b w:val="false"/>
          <w:i/>
          <w:sz w:val="20"/>
          <w:u w:val="single"/>
        </w:rPr>
      </w:pPr>
      <w:r>
        <w:rPr>
          <w:rFonts w:ascii="Times New Roman;serif" w:hAnsi="Times New Roman;serif"/>
          <w:b w:val="false"/>
          <w:i/>
          <w:sz w:val="20"/>
          <w:u w:val="single"/>
        </w:rPr>
        <w:t>Six month change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Allocated overhead and other expenses increased primarily due to increased costs associated with our other service offerings. Employee-related costs decreased as a result of the workforce reduction under the Restructuring Plan.</w:t>
      </w:r>
    </w:p>
    <w:p>
      <w:pPr>
        <w:pStyle w:val="TextBody"/>
        <w:bidi w:val="0"/>
        <w:spacing w:before="200" w:after="0"/>
        <w:jc w:val="left"/>
        <w:rPr>
          <w:rFonts w:ascii="Times New Roman;serif" w:hAnsi="Times New Roman;serif"/>
          <w:b/>
          <w:i/>
          <w:sz w:val="20"/>
        </w:rPr>
      </w:pPr>
      <w:r>
        <w:rPr>
          <w:rFonts w:ascii="Times New Roman;serif" w:hAnsi="Times New Roman;serif"/>
          <w:b/>
          <w:i/>
          <w:sz w:val="20"/>
        </w:rPr>
        <w:t>Research and Development</w:t>
      </w:r>
    </w:p>
    <w:tbl>
      <w:tblPr>
        <w:tblW w:w="10856" w:type="dxa"/>
        <w:jc w:val="left"/>
        <w:tblInd w:w="0" w:type="dxa"/>
        <w:tblLayout w:type="fixed"/>
        <w:tblCellMar>
          <w:top w:w="28" w:type="dxa"/>
          <w:left w:w="28" w:type="dxa"/>
          <w:bottom w:w="28" w:type="dxa"/>
          <w:right w:w="28" w:type="dxa"/>
        </w:tblCellMar>
      </w:tblPr>
      <w:tblGrid>
        <w:gridCol w:w="1021"/>
        <w:gridCol w:w="146"/>
        <w:gridCol w:w="196"/>
        <w:gridCol w:w="691"/>
        <w:gridCol w:w="241"/>
        <w:gridCol w:w="146"/>
        <w:gridCol w:w="196"/>
        <w:gridCol w:w="691"/>
        <w:gridCol w:w="241"/>
        <w:gridCol w:w="146"/>
        <w:gridCol w:w="196"/>
        <w:gridCol w:w="601"/>
        <w:gridCol w:w="146"/>
        <w:gridCol w:w="146"/>
        <w:gridCol w:w="294"/>
        <w:gridCol w:w="577"/>
        <w:gridCol w:w="241"/>
        <w:gridCol w:w="146"/>
        <w:gridCol w:w="196"/>
        <w:gridCol w:w="691"/>
        <w:gridCol w:w="241"/>
        <w:gridCol w:w="146"/>
        <w:gridCol w:w="196"/>
        <w:gridCol w:w="691"/>
        <w:gridCol w:w="241"/>
        <w:gridCol w:w="146"/>
        <w:gridCol w:w="196"/>
        <w:gridCol w:w="601"/>
        <w:gridCol w:w="146"/>
        <w:gridCol w:w="146"/>
        <w:gridCol w:w="294"/>
        <w:gridCol w:w="577"/>
        <w:gridCol w:w="286"/>
      </w:tblGrid>
      <w:tr>
        <w:trPr/>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6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w:t>
              <w:br/>
              <w:t> Ended 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br/>
              <w:t> Ended 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r>
      <w:tr>
        <w:trPr/>
        <w:tc>
          <w:tcPr>
            <w:tcW w:w="10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(dollars 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2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Research and development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169,955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118,914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51,041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57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43</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297,639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211,650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85,989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57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41</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102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Percentage of total revenue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32</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28</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29</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26</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r>
    </w:tbl>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increase in research and development expense for the three and six months ended June 30, 2023 compared to the same period in 2022 was primarily due to the following:</w:t>
      </w:r>
    </w:p>
    <w:p>
      <w:pPr>
        <w:pStyle w:val="TextBody"/>
        <w:bidi w:val="0"/>
        <w:spacing w:before="0" w:after="0"/>
        <w:jc w:val="left"/>
        <w:rPr/>
      </w:pPr>
      <w:r>
        <w:rPr/>
        <w:t> </w:t>
      </w:r>
    </w:p>
    <w:tbl>
      <w:tblPr>
        <w:tblW w:w="5145" w:type="dxa"/>
        <w:jc w:val="left"/>
        <w:tblInd w:w="0" w:type="dxa"/>
        <w:tblLayout w:type="fixed"/>
        <w:tblCellMar>
          <w:top w:w="28" w:type="dxa"/>
          <w:left w:w="28" w:type="dxa"/>
          <w:bottom w:w="28" w:type="dxa"/>
          <w:right w:w="28" w:type="dxa"/>
        </w:tblCellMar>
      </w:tblPr>
      <w:tblGrid>
        <w:gridCol w:w="2491"/>
        <w:gridCol w:w="146"/>
        <w:gridCol w:w="264"/>
        <w:gridCol w:w="846"/>
        <w:gridCol w:w="146"/>
        <w:gridCol w:w="146"/>
        <w:gridCol w:w="217"/>
        <w:gridCol w:w="698"/>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7"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91" w:type="dxa"/>
            <w:tcBorders/>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7"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Employee-related costs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50,284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83,223</w:t>
            </w:r>
          </w:p>
        </w:tc>
        <w:tc>
          <w:tcPr>
            <w:tcW w:w="191" w:type="dxa"/>
            <w:tcBorders/>
            <w:vAlign w:val="center"/>
          </w:tcPr>
          <w:p>
            <w:pPr>
              <w:pStyle w:val="TableContents"/>
              <w:bidi w:val="0"/>
              <w:spacing w:before="0" w:after="0"/>
              <w:ind w:left="0" w:right="0" w:hanging="0"/>
              <w:jc w:val="left"/>
              <w:rPr/>
            </w:pPr>
            <w:r>
              <w:rPr/>
              <w:t> </w:t>
            </w:r>
          </w:p>
        </w:tc>
      </w:tr>
      <w:tr>
        <w:trPr/>
        <w:tc>
          <w:tcPr>
            <w:tcW w:w="24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Allocated overhead expenses</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51,041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85,989</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left"/>
        <w:rPr>
          <w:rFonts w:ascii="Times New Roman;serif" w:hAnsi="Times New Roman;serif"/>
          <w:b w:val="false"/>
          <w:i/>
          <w:sz w:val="20"/>
          <w:u w:val="single"/>
        </w:rPr>
      </w:pPr>
      <w:r>
        <w:rPr>
          <w:rFonts w:ascii="Times New Roman;serif" w:hAnsi="Times New Roman;serif"/>
          <w:b w:val="false"/>
          <w:i/>
          <w:sz w:val="20"/>
          <w:u w:val="single"/>
        </w:rPr>
        <w:t>Three month change</w:t>
      </w:r>
    </w:p>
    <w:p>
      <w:pPr>
        <w:pStyle w:val="TextBody"/>
        <w:bidi w:val="0"/>
        <w:spacing w:before="200" w:after="0"/>
        <w:jc w:val="left"/>
        <w:rPr>
          <w:rFonts w:ascii="Times New Roman" w:hAnsi="Times New Roman"/>
          <w:sz w:val="20"/>
        </w:rPr>
      </w:pPr>
      <w:r>
        <w:rPr>
          <w:rFonts w:ascii="Times New Roman;serif" w:hAnsi="Times New Roman;serif"/>
          <w:b w:val="false"/>
          <w:sz w:val="20"/>
        </w:rPr>
        <w:t>Employee-related costs increased as a result of increased headcount as we continued to grow our engineering organization to develop new products, increase functionality and to maintain our existing CRM Platform. Allocated overhead expenses increased due to an increase in shared company expenses associated with our systems and infrastructure as we continued to grow our business.</w:t>
      </w:r>
      <w:r>
        <w:rPr>
          <w:rFonts w:ascii="Times New Roman" w:hAnsi="Times New Roman"/>
          <w:sz w:val="20"/>
        </w:rPr>
        <w:t xml:space="preserve"> </w:t>
      </w:r>
    </w:p>
    <w:p>
      <w:pPr>
        <w:pStyle w:val="TextBody"/>
        <w:bidi w:val="0"/>
        <w:spacing w:before="200" w:after="0"/>
        <w:jc w:val="left"/>
        <w:rPr>
          <w:rFonts w:ascii="Times New Roman;serif" w:hAnsi="Times New Roman;serif"/>
          <w:b w:val="false"/>
          <w:i/>
          <w:sz w:val="20"/>
          <w:u w:val="single"/>
        </w:rPr>
      </w:pPr>
      <w:r>
        <w:rPr>
          <w:rFonts w:ascii="Times New Roman;serif" w:hAnsi="Times New Roman;serif"/>
          <w:b w:val="false"/>
          <w:i/>
          <w:sz w:val="20"/>
          <w:u w:val="single"/>
        </w:rPr>
        <w:t>Six month change</w:t>
      </w:r>
    </w:p>
    <w:p>
      <w:pPr>
        <w:pStyle w:val="TextBody"/>
        <w:bidi w:val="0"/>
        <w:spacing w:before="200" w:after="0"/>
        <w:jc w:val="left"/>
        <w:rPr>
          <w:rFonts w:ascii="Times New Roman" w:hAnsi="Times New Roman"/>
          <w:sz w:val="20"/>
        </w:rPr>
      </w:pPr>
      <w:r>
        <w:rPr>
          <w:rFonts w:ascii="Times New Roman;serif" w:hAnsi="Times New Roman;serif"/>
          <w:b w:val="false"/>
          <w:sz w:val="20"/>
        </w:rPr>
        <w:t>Employee-related costs increased as a result of increased headcount as we continued to grow our engineering organization to develop new products, increase functionality and to maintain our existing CRM Platform. Allocated overhead expenses increased due to an increase in shared company expenses associated with our systems and infrastructure as we continued to grow our business.</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i/>
          <w:sz w:val="20"/>
        </w:rPr>
        <w:t>Sales and Marketing</w:t>
        <w:br/>
      </w:r>
      <w:r>
        <w:rPr>
          <w:rFonts w:ascii="Times New Roman" w:hAnsi="Times New Roman"/>
          <w:sz w:val="20"/>
        </w:rPr>
        <w:t> </w:t>
      </w:r>
    </w:p>
    <w:tbl>
      <w:tblPr>
        <w:tblW w:w="10706" w:type="dxa"/>
        <w:jc w:val="left"/>
        <w:tblInd w:w="0" w:type="dxa"/>
        <w:tblLayout w:type="fixed"/>
        <w:tblCellMar>
          <w:top w:w="28" w:type="dxa"/>
          <w:left w:w="28" w:type="dxa"/>
          <w:bottom w:w="28" w:type="dxa"/>
          <w:right w:w="28" w:type="dxa"/>
        </w:tblCellMar>
      </w:tblPr>
      <w:tblGrid>
        <w:gridCol w:w="871"/>
        <w:gridCol w:w="146"/>
        <w:gridCol w:w="196"/>
        <w:gridCol w:w="691"/>
        <w:gridCol w:w="241"/>
        <w:gridCol w:w="146"/>
        <w:gridCol w:w="196"/>
        <w:gridCol w:w="691"/>
        <w:gridCol w:w="241"/>
        <w:gridCol w:w="146"/>
        <w:gridCol w:w="196"/>
        <w:gridCol w:w="601"/>
        <w:gridCol w:w="146"/>
        <w:gridCol w:w="146"/>
        <w:gridCol w:w="294"/>
        <w:gridCol w:w="577"/>
        <w:gridCol w:w="241"/>
        <w:gridCol w:w="146"/>
        <w:gridCol w:w="196"/>
        <w:gridCol w:w="691"/>
        <w:gridCol w:w="241"/>
        <w:gridCol w:w="146"/>
        <w:gridCol w:w="196"/>
        <w:gridCol w:w="691"/>
        <w:gridCol w:w="241"/>
        <w:gridCol w:w="146"/>
        <w:gridCol w:w="196"/>
        <w:gridCol w:w="601"/>
        <w:gridCol w:w="146"/>
        <w:gridCol w:w="146"/>
        <w:gridCol w:w="294"/>
        <w:gridCol w:w="577"/>
        <w:gridCol w:w="286"/>
      </w:tblGrid>
      <w:tr>
        <w:trPr/>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8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6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w:t>
              <w:br/>
              <w:t> Ended 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6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br/>
              <w:t> Ended 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center"/>
              <w:rPr/>
            </w:pPr>
            <w:r>
              <w:rPr/>
              <w:t> </w:t>
            </w:r>
          </w:p>
        </w:tc>
        <w:tc>
          <w:tcPr>
            <w:tcW w:w="286" w:type="dxa"/>
            <w:tcBorders/>
            <w:vAlign w:val="center"/>
          </w:tcPr>
          <w:p>
            <w:pPr>
              <w:pStyle w:val="TableContents"/>
              <w:bidi w:val="0"/>
              <w:spacing w:before="0" w:after="0"/>
              <w:ind w:left="0" w:right="0" w:hanging="0"/>
              <w:jc w:val="center"/>
              <w:rPr/>
            </w:pPr>
            <w:r>
              <w:rPr/>
              <w:t> </w:t>
            </w:r>
          </w:p>
        </w:tc>
      </w:tr>
      <w:tr>
        <w:trPr/>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(dollars 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8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Sales and marketing</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265,294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224,262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41,032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57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18</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515,971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421,396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94,575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57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22</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8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Percentage of total revenue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50</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53</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50</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52</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r>
    </w:tbl>
    <w:p>
      <w:pPr>
        <w:pStyle w:val="TextBody"/>
        <w:bidi w:val="0"/>
        <w:spacing w:before="200" w:after="0"/>
        <w:jc w:val="left"/>
        <w:rPr>
          <w:rFonts w:ascii="Times New Roman" w:hAnsi="Times New Roman"/>
          <w:sz w:val="20"/>
        </w:rPr>
      </w:pPr>
      <w:r>
        <w:rPr>
          <w:rFonts w:ascii="Times New Roman;serif" w:hAnsi="Times New Roman;serif"/>
          <w:b w:val="false"/>
          <w:sz w:val="20"/>
        </w:rPr>
        <w:t>The increase in sales and marketing expense for the three and six months ended June 30, 2023 compared to the same period in 2022 was primarily due to the following:</w:t>
        <w:br/>
      </w:r>
      <w:r>
        <w:rPr>
          <w:rFonts w:ascii="Times New Roman" w:hAnsi="Times New Roman"/>
          <w:sz w:val="20"/>
        </w:rPr>
        <w:t> </w:t>
      </w:r>
    </w:p>
    <w:tbl>
      <w:tblPr>
        <w:tblW w:w="5960" w:type="dxa"/>
        <w:jc w:val="left"/>
        <w:tblInd w:w="0" w:type="dxa"/>
        <w:tblLayout w:type="fixed"/>
        <w:tblCellMar>
          <w:top w:w="28" w:type="dxa"/>
          <w:left w:w="28" w:type="dxa"/>
          <w:bottom w:w="28" w:type="dxa"/>
          <w:right w:w="28" w:type="dxa"/>
        </w:tblCellMar>
      </w:tblPr>
      <w:tblGrid>
        <w:gridCol w:w="3286"/>
        <w:gridCol w:w="146"/>
        <w:gridCol w:w="264"/>
        <w:gridCol w:w="846"/>
        <w:gridCol w:w="166"/>
        <w:gridCol w:w="146"/>
        <w:gridCol w:w="217"/>
        <w:gridCol w:w="698"/>
        <w:gridCol w:w="1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7"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91" w:type="dxa"/>
            <w:tcBorders/>
            <w:vAlign w:val="center"/>
          </w:tcPr>
          <w:p>
            <w:pPr>
              <w:pStyle w:val="TableContents"/>
              <w:bidi w:val="0"/>
              <w:spacing w:before="0" w:after="0"/>
              <w:ind w:left="0" w:right="0" w:hanging="0"/>
              <w:jc w:val="center"/>
              <w:rPr/>
            </w:pPr>
            <w:r>
              <w:rPr/>
              <w:t> </w:t>
            </w:r>
          </w:p>
        </w:tc>
      </w:tr>
      <w:tr>
        <w:trPr/>
        <w:tc>
          <w:tcPr>
            <w:tcW w:w="3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7"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Employee-related costs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67,134</w:t>
            </w:r>
          </w:p>
        </w:tc>
        <w:tc>
          <w:tcPr>
            <w:tcW w:w="191" w:type="dxa"/>
            <w:tcBorders/>
            <w:vAlign w:val="center"/>
          </w:tcPr>
          <w:p>
            <w:pPr>
              <w:pStyle w:val="TableContents"/>
              <w:bidi w:val="0"/>
              <w:spacing w:before="0" w:after="0"/>
              <w:ind w:left="0" w:right="0" w:hanging="0"/>
              <w:jc w:val="left"/>
              <w:rPr/>
            </w:pPr>
            <w:r>
              <w:rPr/>
              <w:t> </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Solutions Partner commissions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10,618</w:t>
            </w:r>
          </w:p>
        </w:tc>
        <w:tc>
          <w:tcPr>
            <w:tcW w:w="191" w:type="dxa"/>
            <w:tcBorders/>
            <w:vAlign w:val="center"/>
          </w:tcPr>
          <w:p>
            <w:pPr>
              <w:pStyle w:val="TableContents"/>
              <w:bidi w:val="0"/>
              <w:spacing w:before="0" w:after="0"/>
              <w:ind w:left="0" w:right="0" w:hanging="0"/>
              <w:jc w:val="left"/>
              <w:rPr/>
            </w:pPr>
            <w:r>
              <w:rPr/>
              <w:t> </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Marketing programs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14,903</w:t>
            </w:r>
          </w:p>
        </w:tc>
        <w:tc>
          <w:tcPr>
            <w:tcW w:w="191" w:type="dxa"/>
            <w:tcBorders/>
            <w:vAlign w:val="center"/>
          </w:tcPr>
          <w:p>
            <w:pPr>
              <w:pStyle w:val="TableContents"/>
              <w:bidi w:val="0"/>
              <w:spacing w:before="0" w:after="0"/>
              <w:ind w:left="0" w:right="0" w:hanging="0"/>
              <w:jc w:val="left"/>
              <w:rPr/>
            </w:pPr>
            <w:r>
              <w:rPr/>
              <w:t> </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Allocated overhead expenses</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1,563</w:t>
            </w:r>
          </w:p>
        </w:tc>
        <w:tc>
          <w:tcPr>
            <w:tcW w:w="191" w:type="dxa"/>
            <w:tcBorders/>
            <w:vAlign w:val="center"/>
          </w:tcPr>
          <w:p>
            <w:pPr>
              <w:pStyle w:val="TableContents"/>
              <w:bidi w:val="0"/>
              <w:spacing w:before="0" w:after="0"/>
              <w:ind w:left="0" w:right="0" w:hanging="0"/>
              <w:jc w:val="left"/>
              <w:rPr/>
            </w:pPr>
            <w:r>
              <w:rPr/>
              <w:t> </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customer relationships</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41,032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94,575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left"/>
        <w:rPr>
          <w:rFonts w:ascii="Times New Roman;serif" w:hAnsi="Times New Roman;serif"/>
          <w:b w:val="false"/>
          <w:i/>
          <w:sz w:val="20"/>
          <w:u w:val="single"/>
        </w:rPr>
      </w:pPr>
      <w:r>
        <w:rPr>
          <w:rFonts w:ascii="Times New Roman;serif" w:hAnsi="Times New Roman;serif"/>
          <w:b w:val="false"/>
          <w:i/>
          <w:sz w:val="20"/>
          <w:u w:val="single"/>
        </w:rPr>
        <w:t>Three month change</w:t>
      </w:r>
    </w:p>
    <w:p>
      <w:pPr>
        <w:pStyle w:val="TextBody"/>
        <w:bidi w:val="0"/>
        <w:spacing w:before="200" w:after="0"/>
        <w:jc w:val="left"/>
        <w:rPr>
          <w:rFonts w:ascii="Times New Roman" w:hAnsi="Times New Roman"/>
          <w:sz w:val="20"/>
        </w:rPr>
      </w:pPr>
      <w:r>
        <w:rPr>
          <w:rFonts w:ascii="Times New Roman;serif" w:hAnsi="Times New Roman;serif"/>
          <w:b w:val="false"/>
          <w:sz w:val="20"/>
        </w:rPr>
        <w:t>Employee-related costs increased as a result of increased headcount as we expanded our selling and marketing organizations to grow our customer base. Solutions Partner commissions increased as a result of increased revenue generated through our Solutions Partners. Marketing programs increased due to the timing and size of certain marketing efforts as we made investments in attracting</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 w:hAnsi="Times New Roman"/>
          <w:sz w:val="20"/>
        </w:rPr>
      </w:pPr>
      <w:r>
        <w:rPr>
          <w:rFonts w:ascii="Times New Roman;serif" w:hAnsi="Times New Roman;serif"/>
          <w:b w:val="false"/>
          <w:sz w:val="20"/>
        </w:rPr>
        <w:t>new customers. Allocated overhead expenses decreased primarily due to lower cost allocation. Amortization of intangible assets remained consistent.</w:t>
      </w:r>
      <w:r>
        <w:rPr>
          <w:rFonts w:ascii="Times New Roman" w:hAnsi="Times New Roman"/>
          <w:sz w:val="20"/>
        </w:rPr>
        <w:t xml:space="preserve"> </w:t>
      </w:r>
    </w:p>
    <w:p>
      <w:pPr>
        <w:pStyle w:val="TextBody"/>
        <w:bidi w:val="0"/>
        <w:spacing w:before="200" w:after="0"/>
        <w:jc w:val="left"/>
        <w:rPr>
          <w:rFonts w:ascii="Times New Roman;serif" w:hAnsi="Times New Roman;serif"/>
          <w:b w:val="false"/>
          <w:i/>
          <w:sz w:val="20"/>
          <w:u w:val="single"/>
        </w:rPr>
      </w:pPr>
      <w:r>
        <w:rPr>
          <w:rFonts w:ascii="Times New Roman;serif" w:hAnsi="Times New Roman;serif"/>
          <w:b w:val="false"/>
          <w:i/>
          <w:sz w:val="20"/>
          <w:u w:val="single"/>
        </w:rPr>
        <w:t>Six month change</w:t>
      </w:r>
    </w:p>
    <w:p>
      <w:pPr>
        <w:pStyle w:val="TextBody"/>
        <w:bidi w:val="0"/>
        <w:spacing w:before="200" w:after="0"/>
        <w:jc w:val="left"/>
        <w:rPr>
          <w:rFonts w:ascii="Times New Roman" w:hAnsi="Times New Roman"/>
          <w:sz w:val="20"/>
        </w:rPr>
      </w:pPr>
      <w:r>
        <w:rPr>
          <w:rFonts w:ascii="Times New Roman;serif" w:hAnsi="Times New Roman;serif"/>
          <w:b w:val="false"/>
          <w:sz w:val="20"/>
        </w:rPr>
        <w:t>Employee-related costs increased as a result of increased headcount as we expanded our selling and marketing organizations to grow our customer base. Solutions Partner commissions increased as a result of increased revenue generated through our Solutions Partners. Marketing programs increased due to the timing and size of certain marketing efforts as we made investments in attracting new customers. Allocated overhead expenses increased due to an increase in shared company expenses associated with our systems and infrastructure. Amortization of intangible assets increased primarily due to the purchase of a domain name in the second quarter of 2022.</w:t>
      </w:r>
      <w:r>
        <w:rPr>
          <w:rFonts w:ascii="Times New Roman" w:hAnsi="Times New Roman"/>
          <w:sz w:val="20"/>
        </w:rPr>
        <w:t xml:space="preserve"> </w:t>
      </w:r>
    </w:p>
    <w:p>
      <w:pPr>
        <w:pStyle w:val="TextBody"/>
        <w:bidi w:val="0"/>
        <w:spacing w:before="200" w:after="0"/>
        <w:jc w:val="left"/>
        <w:rPr>
          <w:rFonts w:ascii="Times New Roman;serif" w:hAnsi="Times New Roman;serif"/>
          <w:b/>
          <w:i/>
          <w:sz w:val="20"/>
        </w:rPr>
      </w:pPr>
      <w:r>
        <w:rPr>
          <w:rFonts w:ascii="Times New Roman;serif" w:hAnsi="Times New Roman;serif"/>
          <w:b/>
          <w:i/>
          <w:sz w:val="20"/>
        </w:rPr>
        <w:t>General and Administrative</w:t>
      </w:r>
    </w:p>
    <w:tbl>
      <w:tblPr>
        <w:tblW w:w="10660" w:type="dxa"/>
        <w:jc w:val="left"/>
        <w:tblInd w:w="0" w:type="dxa"/>
        <w:tblLayout w:type="fixed"/>
        <w:tblCellMar>
          <w:top w:w="28" w:type="dxa"/>
          <w:left w:w="28" w:type="dxa"/>
          <w:bottom w:w="28" w:type="dxa"/>
          <w:right w:w="28" w:type="dxa"/>
        </w:tblCellMar>
      </w:tblPr>
      <w:tblGrid>
        <w:gridCol w:w="1096"/>
        <w:gridCol w:w="146"/>
        <w:gridCol w:w="196"/>
        <w:gridCol w:w="601"/>
        <w:gridCol w:w="241"/>
        <w:gridCol w:w="146"/>
        <w:gridCol w:w="196"/>
        <w:gridCol w:w="601"/>
        <w:gridCol w:w="241"/>
        <w:gridCol w:w="146"/>
        <w:gridCol w:w="220"/>
        <w:gridCol w:w="576"/>
        <w:gridCol w:w="146"/>
        <w:gridCol w:w="146"/>
        <w:gridCol w:w="294"/>
        <w:gridCol w:w="577"/>
        <w:gridCol w:w="241"/>
        <w:gridCol w:w="146"/>
        <w:gridCol w:w="196"/>
        <w:gridCol w:w="691"/>
        <w:gridCol w:w="241"/>
        <w:gridCol w:w="146"/>
        <w:gridCol w:w="196"/>
        <w:gridCol w:w="601"/>
        <w:gridCol w:w="241"/>
        <w:gridCol w:w="146"/>
        <w:gridCol w:w="196"/>
        <w:gridCol w:w="601"/>
        <w:gridCol w:w="146"/>
        <w:gridCol w:w="146"/>
        <w:gridCol w:w="294"/>
        <w:gridCol w:w="577"/>
        <w:gridCol w:w="286"/>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w:t>
              <w:br/>
              <w:t> Ended 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7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br/>
              <w:t> Ended 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center"/>
              <w:rPr/>
            </w:pPr>
            <w:r>
              <w:rPr/>
              <w:t> </w:t>
            </w:r>
          </w:p>
        </w:tc>
        <w:tc>
          <w:tcPr>
            <w:tcW w:w="286" w:type="dxa"/>
            <w:tcBorders/>
            <w:vAlign w:val="center"/>
          </w:tcPr>
          <w:p>
            <w:pPr>
              <w:pStyle w:val="TableContents"/>
              <w:bidi w:val="0"/>
              <w:spacing w:before="0" w:after="0"/>
              <w:ind w:left="0" w:right="0" w:hanging="0"/>
              <w:jc w:val="center"/>
              <w:rPr/>
            </w:pPr>
            <w:r>
              <w:rPr/>
              <w:t> </w:t>
            </w:r>
          </w:p>
        </w:tc>
      </w:tr>
      <w:tr>
        <w:trPr/>
        <w:tc>
          <w:tcPr>
            <w:tcW w:w="10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(dollars 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General and administrative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61,222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51,898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5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9,324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57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18</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118,630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95,844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22,786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57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24</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10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Percentage of total revenue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12</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12</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12</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12</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r>
    </w:tbl>
    <w:p>
      <w:pPr>
        <w:pStyle w:val="TextBody"/>
        <w:bidi w:val="0"/>
        <w:spacing w:before="200" w:after="0"/>
        <w:jc w:val="left"/>
        <w:rPr>
          <w:rFonts w:ascii="Times New Roman" w:hAnsi="Times New Roman"/>
          <w:sz w:val="20"/>
        </w:rPr>
      </w:pPr>
      <w:r>
        <w:rPr>
          <w:rFonts w:ascii="Times New Roman;serif" w:hAnsi="Times New Roman;serif"/>
          <w:b w:val="false"/>
          <w:sz w:val="20"/>
        </w:rPr>
        <w:t xml:space="preserve">The increase in general and administrative expense for the three and six months ended June 30, 2023 compared to the same period in 2022 was primarily due to the following: </w:t>
        <w:br/>
      </w:r>
      <w:r>
        <w:rPr>
          <w:rFonts w:ascii="Times New Roman" w:hAnsi="Times New Roman"/>
          <w:sz w:val="20"/>
        </w:rPr>
        <w:t> </w:t>
      </w:r>
    </w:p>
    <w:tbl>
      <w:tblPr>
        <w:tblW w:w="5185" w:type="dxa"/>
        <w:jc w:val="left"/>
        <w:tblInd w:w="0" w:type="dxa"/>
        <w:tblLayout w:type="fixed"/>
        <w:tblCellMar>
          <w:top w:w="28" w:type="dxa"/>
          <w:left w:w="28" w:type="dxa"/>
          <w:bottom w:w="28" w:type="dxa"/>
          <w:right w:w="28" w:type="dxa"/>
        </w:tblCellMar>
      </w:tblPr>
      <w:tblGrid>
        <w:gridCol w:w="2491"/>
        <w:gridCol w:w="146"/>
        <w:gridCol w:w="299"/>
        <w:gridCol w:w="811"/>
        <w:gridCol w:w="166"/>
        <w:gridCol w:w="146"/>
        <w:gridCol w:w="217"/>
        <w:gridCol w:w="698"/>
        <w:gridCol w:w="21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7"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211" w:type="dxa"/>
            <w:tcBorders/>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7"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11" w:type="dxa"/>
            <w:tcBorders/>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Employee-related costs</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18,153</w:t>
            </w:r>
          </w:p>
        </w:tc>
        <w:tc>
          <w:tcPr>
            <w:tcW w:w="211" w:type="dxa"/>
            <w:tcBorders/>
            <w:vAlign w:val="center"/>
          </w:tcPr>
          <w:p>
            <w:pPr>
              <w:pStyle w:val="TableContents"/>
              <w:bidi w:val="0"/>
              <w:spacing w:before="0" w:after="0"/>
              <w:ind w:left="0" w:right="0" w:hanging="0"/>
              <w:jc w:val="left"/>
              <w:rPr/>
            </w:pPr>
            <w:r>
              <w:rPr/>
              <w:t> </w:t>
            </w:r>
          </w:p>
        </w:tc>
      </w:tr>
      <w:tr>
        <w:trPr/>
        <w:tc>
          <w:tcPr>
            <w:tcW w:w="24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Customer credit card fees</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7"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3,576</w:t>
            </w:r>
          </w:p>
        </w:tc>
        <w:tc>
          <w:tcPr>
            <w:tcW w:w="211" w:type="dxa"/>
            <w:tcBorders/>
            <w:vAlign w:val="center"/>
          </w:tcPr>
          <w:p>
            <w:pPr>
              <w:pStyle w:val="TableContents"/>
              <w:bidi w:val="0"/>
              <w:spacing w:before="0" w:after="0"/>
              <w:ind w:left="0" w:right="0" w:hanging="0"/>
              <w:jc w:val="left"/>
              <w:rPr/>
            </w:pPr>
            <w:r>
              <w:rPr/>
              <w:t> </w:t>
            </w:r>
          </w:p>
        </w:tc>
      </w:tr>
      <w:tr>
        <w:trPr/>
        <w:tc>
          <w:tcPr>
            <w:tcW w:w="24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Allocated overhead expenses</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7"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1,554</w:t>
            </w:r>
          </w:p>
        </w:tc>
        <w:tc>
          <w:tcPr>
            <w:tcW w:w="211" w:type="dxa"/>
            <w:tcBorders/>
            <w:vAlign w:val="center"/>
          </w:tcPr>
          <w:p>
            <w:pPr>
              <w:pStyle w:val="TableContents"/>
              <w:bidi w:val="0"/>
              <w:spacing w:before="0" w:after="0"/>
              <w:ind w:left="0" w:right="0" w:hanging="0"/>
              <w:jc w:val="left"/>
              <w:rPr/>
            </w:pPr>
            <w:r>
              <w:rPr/>
              <w:t> </w:t>
            </w:r>
          </w:p>
        </w:tc>
      </w:tr>
      <w:tr>
        <w:trPr/>
        <w:tc>
          <w:tcPr>
            <w:tcW w:w="24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Professional fees</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4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9,324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22,786</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left"/>
        <w:rPr>
          <w:rFonts w:ascii="Times New Roman;serif" w:hAnsi="Times New Roman;serif"/>
          <w:b w:val="false"/>
          <w:i/>
          <w:sz w:val="20"/>
          <w:u w:val="single"/>
        </w:rPr>
      </w:pPr>
      <w:r>
        <w:rPr>
          <w:rFonts w:ascii="Times New Roman;serif" w:hAnsi="Times New Roman;serif"/>
          <w:b w:val="false"/>
          <w:i/>
          <w:sz w:val="20"/>
          <w:u w:val="single"/>
        </w:rPr>
        <w:t>Three month change</w:t>
      </w:r>
    </w:p>
    <w:p>
      <w:pPr>
        <w:pStyle w:val="TextBody"/>
        <w:bidi w:val="0"/>
        <w:spacing w:before="200" w:after="0"/>
        <w:jc w:val="left"/>
        <w:rPr>
          <w:rFonts w:ascii="Times New Roman" w:hAnsi="Times New Roman"/>
          <w:sz w:val="20"/>
        </w:rPr>
      </w:pPr>
      <w:r>
        <w:rPr>
          <w:rFonts w:ascii="Times New Roman;serif" w:hAnsi="Times New Roman;serif"/>
          <w:b w:val="false"/>
          <w:sz w:val="20"/>
        </w:rPr>
        <w:t>Employee-related costs increased as a result of increased headcount as we grew our business and required additional personnel to support our expanded operations. Customer credit card fees increased due to increased customer transactions as we continue to grow our business. Allocated overhead expenses increased due to an increase in shared company expenses associated with our systems and infrastructure as we continued to grow our business. Professional fees decreased due to a decrease in use of third-party services and contractors.</w:t>
      </w:r>
      <w:r>
        <w:rPr>
          <w:rFonts w:ascii="Times New Roman" w:hAnsi="Times New Roman"/>
          <w:sz w:val="20"/>
        </w:rPr>
        <w:t xml:space="preserve"> </w:t>
      </w:r>
    </w:p>
    <w:p>
      <w:pPr>
        <w:pStyle w:val="TextBody"/>
        <w:bidi w:val="0"/>
        <w:spacing w:before="200" w:after="0"/>
        <w:jc w:val="left"/>
        <w:rPr>
          <w:rFonts w:ascii="Times New Roman;serif" w:hAnsi="Times New Roman;serif"/>
          <w:b w:val="false"/>
          <w:i/>
          <w:sz w:val="20"/>
          <w:u w:val="single"/>
        </w:rPr>
      </w:pPr>
      <w:r>
        <w:rPr>
          <w:rFonts w:ascii="Times New Roman;serif" w:hAnsi="Times New Roman;serif"/>
          <w:b w:val="false"/>
          <w:i/>
          <w:sz w:val="20"/>
          <w:u w:val="single"/>
        </w:rPr>
        <w:t>Six month change</w:t>
      </w:r>
    </w:p>
    <w:p>
      <w:pPr>
        <w:pStyle w:val="TextBody"/>
        <w:bidi w:val="0"/>
        <w:spacing w:before="200" w:after="0"/>
        <w:jc w:val="left"/>
        <w:rPr>
          <w:rFonts w:ascii="Times New Roman" w:hAnsi="Times New Roman"/>
          <w:sz w:val="20"/>
        </w:rPr>
      </w:pPr>
      <w:r>
        <w:rPr>
          <w:rFonts w:ascii="Times New Roman;serif" w:hAnsi="Times New Roman;serif"/>
          <w:b w:val="false"/>
          <w:sz w:val="20"/>
        </w:rPr>
        <w:t>Employee-related costs increased as a result of increased headcount as we grew our business and required additional personnel to support our expanded operations. Customer credit card fees increased due to increased customer transactions as we continue to grow our business. Allocated overhead expenses increased due to an increase in shared company expenses associated with our systems and infrastructure as we continued to grow our business. Professional fees decreased due to a decrease in use of third-party services and contractors.</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i/>
          <w:sz w:val="20"/>
        </w:rPr>
        <w:t xml:space="preserve">Restructuring </w:t>
        <w:br/>
      </w:r>
      <w:r>
        <w:rPr>
          <w:rFonts w:ascii="Times New Roman" w:hAnsi="Times New Roman"/>
          <w:sz w:val="20"/>
        </w:rPr>
        <w:t> </w:t>
      </w:r>
    </w:p>
    <w:tbl>
      <w:tblPr>
        <w:tblW w:w="10205" w:type="dxa"/>
        <w:jc w:val="left"/>
        <w:tblInd w:w="0" w:type="dxa"/>
        <w:tblLayout w:type="fixed"/>
        <w:tblCellMar>
          <w:top w:w="28" w:type="dxa"/>
          <w:left w:w="28" w:type="dxa"/>
          <w:bottom w:w="28" w:type="dxa"/>
          <w:right w:w="28" w:type="dxa"/>
        </w:tblCellMar>
      </w:tblPr>
      <w:tblGrid>
        <w:gridCol w:w="1722"/>
        <w:gridCol w:w="146"/>
        <w:gridCol w:w="196"/>
        <w:gridCol w:w="601"/>
        <w:gridCol w:w="241"/>
        <w:gridCol w:w="146"/>
        <w:gridCol w:w="196"/>
        <w:gridCol w:w="346"/>
        <w:gridCol w:w="241"/>
        <w:gridCol w:w="146"/>
        <w:gridCol w:w="196"/>
        <w:gridCol w:w="601"/>
        <w:gridCol w:w="146"/>
        <w:gridCol w:w="146"/>
        <w:gridCol w:w="871"/>
        <w:gridCol w:w="146"/>
        <w:gridCol w:w="196"/>
        <w:gridCol w:w="601"/>
        <w:gridCol w:w="241"/>
        <w:gridCol w:w="146"/>
        <w:gridCol w:w="196"/>
        <w:gridCol w:w="346"/>
        <w:gridCol w:w="241"/>
        <w:gridCol w:w="146"/>
        <w:gridCol w:w="196"/>
        <w:gridCol w:w="601"/>
        <w:gridCol w:w="146"/>
        <w:gridCol w:w="146"/>
        <w:gridCol w:w="916"/>
      </w:tblGrid>
      <w:tr>
        <w:trPr/>
        <w:tc>
          <w:tcPr>
            <w:tcW w:w="1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17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2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w:t>
              <w:br/>
              <w:t> Ended 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2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br/>
              <w:t> Ended 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center"/>
              <w:rPr/>
            </w:pPr>
            <w:r>
              <w:rPr/>
              <w:t> </w:t>
            </w:r>
          </w:p>
        </w:tc>
      </w:tr>
      <w:tr>
        <w:trPr/>
        <w:tc>
          <w:tcPr>
            <w:tcW w:w="17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(dollars 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r>
      <w:tr>
        <w:trPr/>
        <w:tc>
          <w:tcPr>
            <w:tcW w:w="1722"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Restructuring</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63,880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346"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63,880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n/a</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92,450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346"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92,450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n/a</w:t>
            </w:r>
          </w:p>
        </w:tc>
      </w:tr>
      <w:tr>
        <w:trPr/>
        <w:tc>
          <w:tcPr>
            <w:tcW w:w="1722"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Percentage of total revenue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12</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0</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0</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left"/>
              <w:rPr/>
            </w:pPr>
            <w:r>
              <w:rPr/>
              <w:t> </w:t>
            </w:r>
          </w:p>
        </w:tc>
      </w:tr>
    </w:tbl>
    <w:p>
      <w:pPr>
        <w:pStyle w:val="TextBody"/>
        <w:bidi w:val="0"/>
        <w:spacing w:before="200" w:after="0"/>
        <w:jc w:val="left"/>
        <w:rPr>
          <w:rFonts w:ascii="Times New Roman;serif" w:hAnsi="Times New Roman;serif"/>
          <w:b w:val="false"/>
          <w:i/>
          <w:sz w:val="20"/>
          <w:u w:val="single"/>
        </w:rPr>
      </w:pPr>
      <w:r>
        <w:rPr>
          <w:rFonts w:ascii="Times New Roman;serif" w:hAnsi="Times New Roman;serif"/>
          <w:b w:val="false"/>
          <w:i/>
          <w:sz w:val="20"/>
          <w:u w:val="single"/>
        </w:rPr>
        <w:t>Three month change</w:t>
      </w:r>
    </w:p>
    <w:p>
      <w:pPr>
        <w:pStyle w:val="TextBody"/>
        <w:bidi w:val="0"/>
        <w:spacing w:before="200" w:after="0"/>
        <w:jc w:val="left"/>
        <w:rPr>
          <w:rFonts w:ascii="Times New Roman" w:hAnsi="Times New Roman"/>
          <w:sz w:val="20"/>
        </w:rPr>
      </w:pPr>
      <w:r>
        <w:rPr>
          <w:rFonts w:ascii="Times New Roman;serif" w:hAnsi="Times New Roman;serif"/>
          <w:b w:val="false"/>
          <w:sz w:val="20"/>
        </w:rPr>
        <w:t>Restructuring charges were $63.9 million in the three months ended June 30, 2023 due to the implementation of the Restructuring Plan in the first quarter of 2023 and its continued execution during the second quarter. Restructuring costs consisted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 w:hAnsi="Times New Roman"/>
          <w:sz w:val="20"/>
        </w:rPr>
      </w:pPr>
      <w:r>
        <w:rPr>
          <w:rFonts w:ascii="Times New Roman;serif" w:hAnsi="Times New Roman;serif"/>
          <w:b w:val="false"/>
          <w:sz w:val="20"/>
        </w:rPr>
        <w:t>primarily of facilities related costs for the terminations and abandonments of leases globally (Note 15). There were no restructuring charges in the three months ended June 30, 2022.</w:t>
      </w:r>
      <w:r>
        <w:rPr>
          <w:rFonts w:ascii="Times New Roman" w:hAnsi="Times New Roman"/>
          <w:sz w:val="20"/>
        </w:rPr>
        <w:t xml:space="preserve"> </w:t>
      </w:r>
    </w:p>
    <w:p>
      <w:pPr>
        <w:pStyle w:val="TextBody"/>
        <w:bidi w:val="0"/>
        <w:spacing w:before="200" w:after="0"/>
        <w:jc w:val="left"/>
        <w:rPr>
          <w:rFonts w:ascii="Times New Roman;serif" w:hAnsi="Times New Roman;serif"/>
          <w:b w:val="false"/>
          <w:i/>
          <w:sz w:val="20"/>
          <w:u w:val="single"/>
        </w:rPr>
      </w:pPr>
      <w:r>
        <w:rPr>
          <w:rFonts w:ascii="Times New Roman;serif" w:hAnsi="Times New Roman;serif"/>
          <w:b w:val="false"/>
          <w:i/>
          <w:sz w:val="20"/>
          <w:u w:val="single"/>
        </w:rPr>
        <w:t>Six month change</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Restructuring charges were $92.5 million in the six months ended June 30, 2023 due to the implementation of the Restructuring Plan in the first quarter of 2023 and its continued execution during the second quarter. Restructuring costs primarily consisted of $26.9 million of severance, employee related benefits and other costs, and $65.6 million related to facilities for the termination and abandonment of leases globally (Note 15). There were no restructuring charges in the six months ended June 30, 2022.</w:t>
      </w:r>
    </w:p>
    <w:p>
      <w:pPr>
        <w:pStyle w:val="TextBody"/>
        <w:bidi w:val="0"/>
        <w:spacing w:before="200" w:after="0"/>
        <w:jc w:val="left"/>
        <w:rPr>
          <w:rFonts w:ascii="Times New Roman" w:hAnsi="Times New Roman"/>
          <w:sz w:val="20"/>
        </w:rPr>
      </w:pPr>
      <w:r>
        <w:rPr>
          <w:rFonts w:ascii="Times New Roman;serif" w:hAnsi="Times New Roman;serif"/>
          <w:b/>
          <w:i/>
          <w:sz w:val="20"/>
        </w:rPr>
        <w:t xml:space="preserve">Interest income </w:t>
        <w:br/>
      </w:r>
      <w:r>
        <w:rPr>
          <w:rFonts w:ascii="Times New Roman" w:hAnsi="Times New Roman"/>
          <w:sz w:val="20"/>
        </w:rPr>
        <w:t> </w:t>
      </w:r>
    </w:p>
    <w:tbl>
      <w:tblPr>
        <w:tblW w:w="10205" w:type="dxa"/>
        <w:jc w:val="left"/>
        <w:tblInd w:w="0" w:type="dxa"/>
        <w:tblLayout w:type="fixed"/>
        <w:tblCellMar>
          <w:top w:w="28" w:type="dxa"/>
          <w:left w:w="28" w:type="dxa"/>
          <w:bottom w:w="28" w:type="dxa"/>
          <w:right w:w="28" w:type="dxa"/>
        </w:tblCellMar>
      </w:tblPr>
      <w:tblGrid>
        <w:gridCol w:w="1345"/>
        <w:gridCol w:w="146"/>
        <w:gridCol w:w="196"/>
        <w:gridCol w:w="601"/>
        <w:gridCol w:w="241"/>
        <w:gridCol w:w="146"/>
        <w:gridCol w:w="196"/>
        <w:gridCol w:w="511"/>
        <w:gridCol w:w="146"/>
        <w:gridCol w:w="146"/>
        <w:gridCol w:w="196"/>
        <w:gridCol w:w="601"/>
        <w:gridCol w:w="146"/>
        <w:gridCol w:w="146"/>
        <w:gridCol w:w="208"/>
        <w:gridCol w:w="539"/>
        <w:gridCol w:w="241"/>
        <w:gridCol w:w="146"/>
        <w:gridCol w:w="196"/>
        <w:gridCol w:w="601"/>
        <w:gridCol w:w="241"/>
        <w:gridCol w:w="146"/>
        <w:gridCol w:w="196"/>
        <w:gridCol w:w="511"/>
        <w:gridCol w:w="146"/>
        <w:gridCol w:w="146"/>
        <w:gridCol w:w="196"/>
        <w:gridCol w:w="601"/>
        <w:gridCol w:w="146"/>
        <w:gridCol w:w="146"/>
        <w:gridCol w:w="208"/>
        <w:gridCol w:w="539"/>
        <w:gridCol w:w="289"/>
      </w:tblGrid>
      <w:tr>
        <w:trPr/>
        <w:tc>
          <w:tcPr>
            <w:tcW w:w="13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34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9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w:t>
              <w:br/>
              <w:t>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47" w:type="dxa"/>
            <w:gridSpan w:val="2"/>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9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br/>
              <w:t>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47" w:type="dxa"/>
            <w:gridSpan w:val="2"/>
            <w:tcBorders/>
            <w:vAlign w:val="center"/>
          </w:tcPr>
          <w:p>
            <w:pPr>
              <w:pStyle w:val="TableContents"/>
              <w:bidi w:val="0"/>
              <w:spacing w:before="0" w:after="0"/>
              <w:ind w:left="0" w:right="0" w:hanging="0"/>
              <w:jc w:val="center"/>
              <w:rPr/>
            </w:pPr>
            <w:r>
              <w:rPr/>
              <w:t> </w:t>
            </w:r>
          </w:p>
        </w:tc>
        <w:tc>
          <w:tcPr>
            <w:tcW w:w="289" w:type="dxa"/>
            <w:tcBorders/>
            <w:vAlign w:val="center"/>
          </w:tcPr>
          <w:p>
            <w:pPr>
              <w:pStyle w:val="TableContents"/>
              <w:bidi w:val="0"/>
              <w:spacing w:before="0" w:after="0"/>
              <w:ind w:left="0" w:right="0" w:hanging="0"/>
              <w:jc w:val="center"/>
              <w:rPr/>
            </w:pPr>
            <w:r>
              <w:rPr/>
              <w:t> </w:t>
            </w:r>
          </w:p>
        </w:tc>
      </w:tr>
      <w:tr>
        <w:trPr/>
        <w:tc>
          <w:tcPr>
            <w:tcW w:w="13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(dollars 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w:t>
            </w:r>
            <w:r>
              <w:rPr>
                <w:rFonts w:ascii="Times New Roman" w:hAnsi="Times New Roman"/>
                <w:sz w:val="16"/>
              </w:rPr>
              <w:t xml:space="preserve"> </w:t>
            </w:r>
            <w:r>
              <w:rPr>
                <w:rFonts w:ascii="Times New Roman;serif" w:hAnsi="Times New Roman;serif"/>
                <w:b/>
                <w:sz w:val="16"/>
              </w:rPr>
              <w:t>Change</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w:t>
            </w:r>
            <w:r>
              <w:rPr>
                <w:rFonts w:ascii="Times New Roman" w:hAnsi="Times New Roman"/>
                <w:sz w:val="16"/>
              </w:rPr>
              <w:t xml:space="preserve"> </w:t>
            </w:r>
            <w:r>
              <w:rPr>
                <w:rFonts w:ascii="Times New Roman;serif" w:hAnsi="Times New Roman;serif"/>
                <w:b/>
                <w:sz w:val="16"/>
              </w:rPr>
              <w:t>Change</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45"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Interest income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13,542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2,050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11,492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561</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24,013</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2,564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21,449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837</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1345"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Percentage of total revenue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right"/>
              <w:rPr/>
            </w:pPr>
            <w:r>
              <w:rPr/>
              <w:t> </w:t>
            </w:r>
          </w:p>
        </w:tc>
        <w:tc>
          <w:tcPr>
            <w:tcW w:w="707" w:type="dxa"/>
            <w:gridSpan w:val="2"/>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7" w:type="dxa"/>
            <w:gridSpan w:val="2"/>
            <w:tcBorders/>
            <w:vAlign w:val="center"/>
          </w:tcPr>
          <w:p>
            <w:pPr>
              <w:pStyle w:val="TableContents"/>
              <w:bidi w:val="0"/>
              <w:spacing w:before="0" w:after="0"/>
              <w:ind w:left="0" w:right="0" w:hanging="0"/>
              <w:jc w:val="right"/>
              <w:rPr/>
            </w:pPr>
            <w:r>
              <w:rPr/>
              <w:t> </w:t>
            </w:r>
          </w:p>
        </w:tc>
        <w:tc>
          <w:tcPr>
            <w:tcW w:w="289" w:type="dxa"/>
            <w:tcBorders/>
            <w:vAlign w:val="center"/>
          </w:tcPr>
          <w:p>
            <w:pPr>
              <w:pStyle w:val="TableContents"/>
              <w:bidi w:val="0"/>
              <w:spacing w:before="0" w:after="0"/>
              <w:ind w:left="0" w:right="0" w:hanging="0"/>
              <w:jc w:val="right"/>
              <w:rPr/>
            </w:pPr>
            <w:r>
              <w:rPr/>
              <w:t> </w:t>
            </w:r>
          </w:p>
        </w:tc>
      </w:tr>
    </w:tbl>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 not meaningful</w:t>
      </w:r>
    </w:p>
    <w:p>
      <w:pPr>
        <w:pStyle w:val="TextBody"/>
        <w:bidi w:val="0"/>
        <w:spacing w:before="200" w:after="0"/>
        <w:jc w:val="left"/>
        <w:rPr>
          <w:rFonts w:ascii="Times New Roman;serif" w:hAnsi="Times New Roman;serif"/>
          <w:b w:val="false"/>
          <w:i/>
          <w:sz w:val="20"/>
          <w:u w:val="single"/>
        </w:rPr>
      </w:pPr>
      <w:r>
        <w:rPr>
          <w:rFonts w:ascii="Times New Roman;serif" w:hAnsi="Times New Roman;serif"/>
          <w:b w:val="false"/>
          <w:i/>
          <w:sz w:val="20"/>
          <w:u w:val="single"/>
        </w:rPr>
        <w:t>Three and Six month change</w:t>
      </w:r>
    </w:p>
    <w:p>
      <w:pPr>
        <w:pStyle w:val="TextBody"/>
        <w:bidi w:val="0"/>
        <w:spacing w:before="200" w:after="0"/>
        <w:jc w:val="left"/>
        <w:rPr>
          <w:rFonts w:ascii="Times New Roman" w:hAnsi="Times New Roman"/>
          <w:sz w:val="20"/>
        </w:rPr>
      </w:pPr>
      <w:r>
        <w:rPr>
          <w:rFonts w:ascii="Times New Roman;serif" w:hAnsi="Times New Roman;serif"/>
          <w:b w:val="false"/>
          <w:sz w:val="20"/>
        </w:rPr>
        <w:t>Interest income primarily consists of interest earned on invested cash and cash equivalents balances and investments. The increase during the three and six months ended June 30, 2023 is due to an increase in yields on our investment balances.</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i/>
          <w:sz w:val="20"/>
        </w:rPr>
        <w:t>Interest expense</w:t>
        <w:br/>
      </w:r>
      <w:r>
        <w:rPr>
          <w:rFonts w:ascii="Times New Roman" w:hAnsi="Times New Roman"/>
          <w:sz w:val="20"/>
        </w:rPr>
        <w:t> </w:t>
      </w:r>
    </w:p>
    <w:tbl>
      <w:tblPr>
        <w:tblW w:w="10205" w:type="dxa"/>
        <w:jc w:val="left"/>
        <w:tblInd w:w="0" w:type="dxa"/>
        <w:tblLayout w:type="fixed"/>
        <w:tblCellMar>
          <w:top w:w="28" w:type="dxa"/>
          <w:left w:w="28" w:type="dxa"/>
          <w:bottom w:w="28" w:type="dxa"/>
          <w:right w:w="28" w:type="dxa"/>
        </w:tblCellMar>
      </w:tblPr>
      <w:tblGrid>
        <w:gridCol w:w="1503"/>
        <w:gridCol w:w="146"/>
        <w:gridCol w:w="196"/>
        <w:gridCol w:w="436"/>
        <w:gridCol w:w="166"/>
        <w:gridCol w:w="146"/>
        <w:gridCol w:w="196"/>
        <w:gridCol w:w="436"/>
        <w:gridCol w:w="166"/>
        <w:gridCol w:w="146"/>
        <w:gridCol w:w="287"/>
        <w:gridCol w:w="509"/>
        <w:gridCol w:w="166"/>
        <w:gridCol w:w="146"/>
        <w:gridCol w:w="282"/>
        <w:gridCol w:w="494"/>
        <w:gridCol w:w="274"/>
        <w:gridCol w:w="146"/>
        <w:gridCol w:w="196"/>
        <w:gridCol w:w="571"/>
        <w:gridCol w:w="166"/>
        <w:gridCol w:w="146"/>
        <w:gridCol w:w="196"/>
        <w:gridCol w:w="571"/>
        <w:gridCol w:w="166"/>
        <w:gridCol w:w="146"/>
        <w:gridCol w:w="287"/>
        <w:gridCol w:w="509"/>
        <w:gridCol w:w="166"/>
        <w:gridCol w:w="146"/>
        <w:gridCol w:w="282"/>
        <w:gridCol w:w="494"/>
        <w:gridCol w:w="322"/>
      </w:tblGrid>
      <w:tr>
        <w:trPr/>
        <w:tc>
          <w:tcPr>
            <w:tcW w:w="15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50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w:t>
              <w:br/>
              <w:t>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gridSpan w:val="2"/>
            <w:tcBorders/>
            <w:vAlign w:val="center"/>
          </w:tcPr>
          <w:p>
            <w:pPr>
              <w:pStyle w:val="TableContents"/>
              <w:bidi w:val="0"/>
              <w:spacing w:before="0" w:after="0"/>
              <w:ind w:left="0" w:right="0" w:hanging="0"/>
              <w:jc w:val="center"/>
              <w:rPr/>
            </w:pPr>
            <w:r>
              <w:rPr/>
              <w:t> </w:t>
            </w:r>
          </w:p>
        </w:tc>
        <w:tc>
          <w:tcPr>
            <w:tcW w:w="27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br/>
              <w:t>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gridSpan w:val="2"/>
            <w:tcBorders/>
            <w:vAlign w:val="center"/>
          </w:tcPr>
          <w:p>
            <w:pPr>
              <w:pStyle w:val="TableContents"/>
              <w:bidi w:val="0"/>
              <w:spacing w:before="0" w:after="0"/>
              <w:ind w:left="0" w:right="0" w:hanging="0"/>
              <w:jc w:val="center"/>
              <w:rPr/>
            </w:pPr>
            <w:r>
              <w:rPr/>
              <w:t> </w:t>
            </w:r>
          </w:p>
        </w:tc>
        <w:tc>
          <w:tcPr>
            <w:tcW w:w="322" w:type="dxa"/>
            <w:tcBorders/>
            <w:vAlign w:val="center"/>
          </w:tcPr>
          <w:p>
            <w:pPr>
              <w:pStyle w:val="TableContents"/>
              <w:bidi w:val="0"/>
              <w:spacing w:before="0" w:after="0"/>
              <w:ind w:left="0" w:right="0" w:hanging="0"/>
              <w:jc w:val="center"/>
              <w:rPr/>
            </w:pPr>
            <w:r>
              <w:rPr/>
              <w:t> </w:t>
            </w:r>
          </w:p>
        </w:tc>
      </w:tr>
      <w:tr>
        <w:trPr/>
        <w:tc>
          <w:tcPr>
            <w:tcW w:w="15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(dollars 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w:t>
            </w:r>
            <w:r>
              <w:rPr>
                <w:rFonts w:ascii="Times New Roman" w:hAnsi="Times New Roman"/>
                <w:sz w:val="16"/>
              </w:rPr>
              <w:t xml:space="preserve"> </w:t>
            </w:r>
            <w:r>
              <w:rPr>
                <w:rFonts w:ascii="Times New Roman;serif" w:hAnsi="Times New Roman;serif"/>
                <w:b/>
                <w:sz w:val="16"/>
              </w:rPr>
              <w:t>Change</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w:t>
            </w:r>
            <w:r>
              <w:rPr>
                <w:rFonts w:ascii="Times New Roman" w:hAnsi="Times New Roman"/>
                <w:sz w:val="16"/>
              </w:rPr>
              <w:t xml:space="preserve"> </w:t>
            </w:r>
            <w:r>
              <w:rPr>
                <w:rFonts w:ascii="Times New Roman;serif" w:hAnsi="Times New Roman;serif"/>
                <w:b/>
                <w:sz w:val="16"/>
              </w:rPr>
              <w:t>Change</w:t>
            </w:r>
          </w:p>
        </w:tc>
        <w:tc>
          <w:tcPr>
            <w:tcW w:w="3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03"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Interest expense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(937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(949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509"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494"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w:t>
            </w:r>
          </w:p>
        </w:tc>
        <w:tc>
          <w:tcPr>
            <w:tcW w:w="274"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(1,867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(1,898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right"/>
              <w:rPr/>
            </w:pPr>
            <w:r>
              <w:rPr/>
              <w:t> </w:t>
            </w:r>
          </w:p>
        </w:tc>
        <w:tc>
          <w:tcPr>
            <w:tcW w:w="287"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509"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494"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w:t>
            </w:r>
          </w:p>
        </w:tc>
        <w:tc>
          <w:tcPr>
            <w:tcW w:w="322"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1503"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Percentage of total revenue</w:t>
            </w:r>
          </w:p>
        </w:tc>
        <w:tc>
          <w:tcPr>
            <w:tcW w:w="146" w:type="dxa"/>
            <w:tcBorders/>
            <w:vAlign w:val="center"/>
          </w:tcPr>
          <w:p>
            <w:pPr>
              <w:pStyle w:val="TableContents"/>
              <w:bidi w:val="0"/>
              <w:spacing w:before="0" w:after="0"/>
              <w:ind w:left="0" w:right="0" w:hanging="0"/>
              <w:jc w:val="left"/>
              <w:rPr/>
            </w:pPr>
            <w:r>
              <w:rPr/>
              <w:t> </w:t>
            </w:r>
          </w:p>
        </w:tc>
        <w:tc>
          <w:tcPr>
            <w:tcW w:w="632" w:type="dxa"/>
            <w:gridSpan w:val="2"/>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32" w:type="dxa"/>
            <w:gridSpan w:val="2"/>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gridSpan w:val="2"/>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7" w:type="dxa"/>
            <w:gridSpan w:val="2"/>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6" w:type="dxa"/>
            <w:gridSpan w:val="2"/>
            <w:tcBorders/>
            <w:vAlign w:val="center"/>
          </w:tcPr>
          <w:p>
            <w:pPr>
              <w:pStyle w:val="TableContents"/>
              <w:bidi w:val="0"/>
              <w:spacing w:before="0" w:after="0"/>
              <w:ind w:left="0" w:right="0" w:hanging="0"/>
              <w:jc w:val="right"/>
              <w:rPr/>
            </w:pPr>
            <w:r>
              <w:rPr/>
              <w:t> </w:t>
            </w:r>
          </w:p>
        </w:tc>
        <w:tc>
          <w:tcPr>
            <w:tcW w:w="322" w:type="dxa"/>
            <w:tcBorders/>
            <w:vAlign w:val="center"/>
          </w:tcPr>
          <w:p>
            <w:pPr>
              <w:pStyle w:val="TableContents"/>
              <w:bidi w:val="0"/>
              <w:spacing w:before="0" w:after="0"/>
              <w:ind w:left="0" w:right="0" w:hanging="0"/>
              <w:jc w:val="right"/>
              <w:rPr/>
            </w:pPr>
            <w:r>
              <w:rPr/>
              <w:t> </w:t>
            </w:r>
          </w:p>
        </w:tc>
      </w:tr>
    </w:tbl>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 not meaningful</w:t>
      </w:r>
    </w:p>
    <w:p>
      <w:pPr>
        <w:pStyle w:val="TextBody"/>
        <w:bidi w:val="0"/>
        <w:spacing w:before="200" w:after="0"/>
        <w:jc w:val="left"/>
        <w:rPr>
          <w:rFonts w:ascii="Times New Roman;serif" w:hAnsi="Times New Roman;serif"/>
          <w:b w:val="false"/>
          <w:i/>
          <w:sz w:val="20"/>
          <w:u w:val="single"/>
        </w:rPr>
      </w:pPr>
      <w:r>
        <w:rPr>
          <w:rFonts w:ascii="Times New Roman;serif" w:hAnsi="Times New Roman;serif"/>
          <w:b w:val="false"/>
          <w:i/>
          <w:sz w:val="20"/>
          <w:u w:val="single"/>
        </w:rPr>
        <w:t>Three and Six month change</w:t>
      </w:r>
    </w:p>
    <w:p>
      <w:pPr>
        <w:pStyle w:val="TextBody"/>
        <w:bidi w:val="0"/>
        <w:spacing w:before="200" w:after="0"/>
        <w:jc w:val="left"/>
        <w:rPr>
          <w:rFonts w:ascii="Times New Roman" w:hAnsi="Times New Roman"/>
          <w:sz w:val="20"/>
        </w:rPr>
      </w:pPr>
      <w:r>
        <w:rPr>
          <w:rFonts w:ascii="Times New Roman;serif" w:hAnsi="Times New Roman;serif"/>
          <w:b w:val="false"/>
          <w:sz w:val="20"/>
        </w:rPr>
        <w:t>Interest expense primarily consists of amortization of the debt issuance costs and contractual interest expense related to our 2025 Notes. Interest expense remained relatively consistent.</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i/>
          <w:sz w:val="20"/>
        </w:rPr>
        <w:t xml:space="preserve">Other (expense) income </w:t>
        <w:br/>
      </w:r>
      <w:r>
        <w:rPr>
          <w:rFonts w:ascii="Times New Roman" w:hAnsi="Times New Roman"/>
          <w:sz w:val="20"/>
        </w:rPr>
        <w:t> </w:t>
      </w:r>
    </w:p>
    <w:tbl>
      <w:tblPr>
        <w:tblW w:w="10205" w:type="dxa"/>
        <w:jc w:val="left"/>
        <w:tblInd w:w="0" w:type="dxa"/>
        <w:tblLayout w:type="fixed"/>
        <w:tblCellMar>
          <w:top w:w="28" w:type="dxa"/>
          <w:left w:w="28" w:type="dxa"/>
          <w:bottom w:w="28" w:type="dxa"/>
          <w:right w:w="28" w:type="dxa"/>
        </w:tblCellMar>
      </w:tblPr>
      <w:tblGrid>
        <w:gridCol w:w="1666"/>
        <w:gridCol w:w="146"/>
        <w:gridCol w:w="196"/>
        <w:gridCol w:w="376"/>
        <w:gridCol w:w="146"/>
        <w:gridCol w:w="146"/>
        <w:gridCol w:w="196"/>
        <w:gridCol w:w="571"/>
        <w:gridCol w:w="282"/>
        <w:gridCol w:w="146"/>
        <w:gridCol w:w="220"/>
        <w:gridCol w:w="576"/>
        <w:gridCol w:w="146"/>
        <w:gridCol w:w="146"/>
        <w:gridCol w:w="224"/>
        <w:gridCol w:w="582"/>
        <w:gridCol w:w="241"/>
        <w:gridCol w:w="146"/>
        <w:gridCol w:w="196"/>
        <w:gridCol w:w="436"/>
        <w:gridCol w:w="166"/>
        <w:gridCol w:w="146"/>
        <w:gridCol w:w="196"/>
        <w:gridCol w:w="376"/>
        <w:gridCol w:w="146"/>
        <w:gridCol w:w="146"/>
        <w:gridCol w:w="203"/>
        <w:gridCol w:w="593"/>
        <w:gridCol w:w="166"/>
        <w:gridCol w:w="146"/>
        <w:gridCol w:w="201"/>
        <w:gridCol w:w="605"/>
        <w:gridCol w:w="33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3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w:t>
              <w:br/>
              <w:t> Ended June 30,</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06" w:type="dxa"/>
            <w:gridSpan w:val="2"/>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br/>
              <w:t>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06" w:type="dxa"/>
            <w:gridSpan w:val="2"/>
            <w:tcBorders/>
            <w:vAlign w:val="center"/>
          </w:tcPr>
          <w:p>
            <w:pPr>
              <w:pStyle w:val="TableContents"/>
              <w:bidi w:val="0"/>
              <w:spacing w:before="0" w:after="0"/>
              <w:ind w:left="0" w:right="0" w:hanging="0"/>
              <w:jc w:val="center"/>
              <w:rPr/>
            </w:pPr>
            <w:r>
              <w:rPr/>
              <w:t> </w:t>
            </w:r>
          </w:p>
        </w:tc>
        <w:tc>
          <w:tcPr>
            <w:tcW w:w="331" w:type="dxa"/>
            <w:tcBorders/>
            <w:vAlign w:val="center"/>
          </w:tcPr>
          <w:p>
            <w:pPr>
              <w:pStyle w:val="TableContents"/>
              <w:bidi w:val="0"/>
              <w:spacing w:before="0" w:after="0"/>
              <w:ind w:left="0" w:right="0" w:hanging="0"/>
              <w:jc w:val="center"/>
              <w:rPr/>
            </w:pPr>
            <w:r>
              <w:rPr/>
              <w:t> </w:t>
            </w:r>
          </w:p>
        </w:tc>
      </w:tr>
      <w:tr>
        <w:trPr/>
        <w:tc>
          <w:tcPr>
            <w:tcW w:w="16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(dollars 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w:t>
            </w:r>
            <w:r>
              <w:rPr>
                <w:rFonts w:ascii="Times New Roman" w:hAnsi="Times New Roman"/>
                <w:sz w:val="16"/>
              </w:rPr>
              <w:t xml:space="preserve"> </w:t>
            </w:r>
            <w:r>
              <w:rPr>
                <w:rFonts w:ascii="Times New Roman;serif" w:hAnsi="Times New Roman;serif"/>
                <w:b/>
                <w:sz w:val="16"/>
              </w:rPr>
              <w:t>Change</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w:t>
            </w:r>
            <w:r>
              <w:rPr>
                <w:rFonts w:ascii="Times New Roman" w:hAnsi="Times New Roman"/>
                <w:sz w:val="16"/>
              </w:rPr>
              <w:t xml:space="preserve"> </w:t>
            </w:r>
            <w:r>
              <w:rPr>
                <w:rFonts w:ascii="Times New Roman;serif" w:hAnsi="Times New Roman;serif"/>
                <w:b/>
                <w:sz w:val="16"/>
              </w:rPr>
              <w:t>Change</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Other (expense) income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(3,091</w:t>
            </w:r>
          </w:p>
        </w:tc>
        <w:tc>
          <w:tcPr>
            <w:tcW w:w="282"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5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3,421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111</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3"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593"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(1,067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(177</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16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Percentage of total revenue</w:t>
            </w:r>
          </w:p>
        </w:tc>
        <w:tc>
          <w:tcPr>
            <w:tcW w:w="146" w:type="dxa"/>
            <w:tcBorders/>
            <w:vAlign w:val="center"/>
          </w:tcPr>
          <w:p>
            <w:pPr>
              <w:pStyle w:val="TableContents"/>
              <w:bidi w:val="0"/>
              <w:spacing w:before="0" w:after="0"/>
              <w:ind w:left="0" w:right="0" w:hanging="0"/>
              <w:jc w:val="left"/>
              <w:rPr/>
            </w:pPr>
            <w:r>
              <w:rPr/>
              <w:t> </w:t>
            </w:r>
          </w:p>
        </w:tc>
        <w:tc>
          <w:tcPr>
            <w:tcW w:w="572" w:type="dxa"/>
            <w:gridSpan w:val="2"/>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w:t>
            </w:r>
          </w:p>
        </w:tc>
        <w:tc>
          <w:tcPr>
            <w:tcW w:w="282"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06"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2" w:type="dxa"/>
            <w:gridSpan w:val="2"/>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2" w:type="dxa"/>
            <w:gridSpan w:val="2"/>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06" w:type="dxa"/>
            <w:gridSpan w:val="2"/>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r>
    </w:tbl>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 not meaningful</w:t>
      </w:r>
    </w:p>
    <w:p>
      <w:pPr>
        <w:pStyle w:val="TextBody"/>
        <w:bidi w:val="0"/>
        <w:spacing w:before="200" w:after="0"/>
        <w:jc w:val="left"/>
        <w:rPr>
          <w:rFonts w:ascii="Times New Roman" w:hAnsi="Times New Roman"/>
          <w:sz w:val="20"/>
        </w:rPr>
      </w:pPr>
      <w:r>
        <w:rPr>
          <w:rFonts w:ascii="Times New Roman;serif" w:hAnsi="Times New Roman;serif"/>
          <w:b w:val="false"/>
          <w:sz w:val="20"/>
        </w:rPr>
        <w:t xml:space="preserve">The change in other income during the three and six months ended June 30, 2023 is primarily due to the following: </w:t>
        <w:br/>
      </w:r>
      <w:r>
        <w:rPr>
          <w:rFonts w:ascii="Times New Roman" w:hAnsi="Times New Roman"/>
          <w:sz w:val="20"/>
        </w:rPr>
        <w:t> </w:t>
      </w:r>
    </w:p>
    <w:tbl>
      <w:tblPr>
        <w:tblW w:w="5525" w:type="dxa"/>
        <w:jc w:val="left"/>
        <w:tblInd w:w="0" w:type="dxa"/>
        <w:tblLayout w:type="fixed"/>
        <w:tblCellMar>
          <w:top w:w="28" w:type="dxa"/>
          <w:left w:w="28" w:type="dxa"/>
          <w:bottom w:w="28" w:type="dxa"/>
          <w:right w:w="28" w:type="dxa"/>
        </w:tblCellMar>
      </w:tblPr>
      <w:tblGrid>
        <w:gridCol w:w="2851"/>
        <w:gridCol w:w="146"/>
        <w:gridCol w:w="299"/>
        <w:gridCol w:w="811"/>
        <w:gridCol w:w="146"/>
        <w:gridCol w:w="146"/>
        <w:gridCol w:w="229"/>
        <w:gridCol w:w="686"/>
        <w:gridCol w:w="21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7"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211" w:type="dxa"/>
            <w:tcBorders/>
            <w:vAlign w:val="center"/>
          </w:tcPr>
          <w:p>
            <w:pPr>
              <w:pStyle w:val="TableContents"/>
              <w:bidi w:val="0"/>
              <w:spacing w:before="0" w:after="0"/>
              <w:ind w:left="0" w:right="0" w:hanging="0"/>
              <w:jc w:val="center"/>
              <w:rPr/>
            </w:pPr>
            <w:r>
              <w:rPr/>
              <w:t> </w:t>
            </w:r>
          </w:p>
        </w:tc>
      </w:tr>
      <w:tr>
        <w:trPr/>
        <w:tc>
          <w:tcPr>
            <w:tcW w:w="28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7"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11" w:type="dxa"/>
            <w:tcBorders/>
            <w:vAlign w:val="center"/>
          </w:tcPr>
          <w:p>
            <w:pPr>
              <w:pStyle w:val="TableContents"/>
              <w:bidi w:val="0"/>
              <w:spacing w:before="0" w:after="0"/>
              <w:ind w:left="0" w:right="0" w:hanging="0"/>
              <w:jc w:val="center"/>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currency gains and losses</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3,133</w:t>
            </w:r>
          </w:p>
        </w:tc>
        <w:tc>
          <w:tcPr>
            <w:tcW w:w="21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Gain on strategic investments</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(4,200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(1,067</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00" w:after="0"/>
        <w:jc w:val="left"/>
        <w:rPr>
          <w:rFonts w:ascii="Times New Roman;serif" w:hAnsi="Times New Roman;serif"/>
          <w:b w:val="false"/>
          <w:i/>
          <w:sz w:val="20"/>
          <w:u w:val="single"/>
        </w:rPr>
      </w:pPr>
      <w:r>
        <w:rPr>
          <w:rFonts w:ascii="Times New Roman;serif" w:hAnsi="Times New Roman;serif"/>
          <w:b w:val="false"/>
          <w:i/>
          <w:sz w:val="20"/>
          <w:u w:val="single"/>
        </w:rPr>
        <w:t>Three month change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Other (expense) income primarily consists of the impact of foreign currency transaction gains and losses associated with monetary assets and liabilities and any gains or impairments on our strategic investments. The change in foreign currency transactions is primarily attributable to the increase in the value of the Euro and British Pound Sterling relative to the U.S. Dollar.</w:t>
      </w:r>
    </w:p>
    <w:p>
      <w:pPr>
        <w:pStyle w:val="TextBody"/>
        <w:bidi w:val="0"/>
        <w:spacing w:before="200" w:after="0"/>
        <w:jc w:val="left"/>
        <w:rPr>
          <w:rFonts w:ascii="Times New Roman;serif" w:hAnsi="Times New Roman;serif"/>
          <w:b w:val="false"/>
          <w:i/>
          <w:sz w:val="20"/>
          <w:u w:val="single"/>
        </w:rPr>
      </w:pPr>
      <w:r>
        <w:rPr>
          <w:rFonts w:ascii="Times New Roman;serif" w:hAnsi="Times New Roman;serif"/>
          <w:b w:val="false"/>
          <w:i/>
          <w:sz w:val="20"/>
          <w:u w:val="single"/>
        </w:rPr>
        <w:t>Six month change</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Other (expense) income primarily consists of the impact of foreign currency transaction gains and losses associated with monetary assets and liabilities and any gains or impairments on our strategic investments. The decrease in gain on strategic investments is due to gains of $4.2 million from observable price changes in the six months ended June 30, 2022. No gains or losses were recorded in the six months ended June 30, 2023. The change in foreign currency transactions is primarily attributable to the increase in the value of the Euro and British Pound Sterling relative to the U.S. Dollar.</w:t>
      </w:r>
    </w:p>
    <w:p>
      <w:pPr>
        <w:pStyle w:val="TextBody"/>
        <w:bidi w:val="0"/>
        <w:spacing w:before="200" w:after="0"/>
        <w:jc w:val="left"/>
        <w:rPr>
          <w:rFonts w:ascii="Times New Roman;serif" w:hAnsi="Times New Roman;serif"/>
          <w:b/>
          <w:i/>
          <w:sz w:val="20"/>
        </w:rPr>
      </w:pPr>
      <w:r>
        <w:rPr>
          <w:rFonts w:ascii="Times New Roman;serif" w:hAnsi="Times New Roman;serif"/>
          <w:b/>
          <w:i/>
          <w:sz w:val="20"/>
        </w:rPr>
        <w:t>Income tax expense</w:t>
      </w:r>
    </w:p>
    <w:tbl>
      <w:tblPr>
        <w:tblW w:w="10205" w:type="dxa"/>
        <w:jc w:val="left"/>
        <w:tblInd w:w="0" w:type="dxa"/>
        <w:tblLayout w:type="fixed"/>
        <w:tblCellMar>
          <w:top w:w="28" w:type="dxa"/>
          <w:left w:w="28" w:type="dxa"/>
          <w:bottom w:w="28" w:type="dxa"/>
          <w:right w:w="28" w:type="dxa"/>
        </w:tblCellMar>
      </w:tblPr>
      <w:tblGrid>
        <w:gridCol w:w="900"/>
        <w:gridCol w:w="146"/>
        <w:gridCol w:w="196"/>
        <w:gridCol w:w="661"/>
        <w:gridCol w:w="241"/>
        <w:gridCol w:w="146"/>
        <w:gridCol w:w="196"/>
        <w:gridCol w:w="571"/>
        <w:gridCol w:w="241"/>
        <w:gridCol w:w="146"/>
        <w:gridCol w:w="196"/>
        <w:gridCol w:w="661"/>
        <w:gridCol w:w="166"/>
        <w:gridCol w:w="146"/>
        <w:gridCol w:w="188"/>
        <w:gridCol w:w="487"/>
        <w:gridCol w:w="241"/>
        <w:gridCol w:w="146"/>
        <w:gridCol w:w="196"/>
        <w:gridCol w:w="661"/>
        <w:gridCol w:w="241"/>
        <w:gridCol w:w="146"/>
        <w:gridCol w:w="196"/>
        <w:gridCol w:w="571"/>
        <w:gridCol w:w="241"/>
        <w:gridCol w:w="146"/>
        <w:gridCol w:w="196"/>
        <w:gridCol w:w="661"/>
        <w:gridCol w:w="166"/>
        <w:gridCol w:w="146"/>
        <w:gridCol w:w="188"/>
        <w:gridCol w:w="487"/>
        <w:gridCol w:w="288"/>
      </w:tblGrid>
      <w:tr>
        <w:trPr/>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90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11"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w:t>
              <w:br/>
              <w:t> Ended June 30,</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5" w:type="dxa"/>
            <w:gridSpan w:val="2"/>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w:t>
              <w:br/>
              <w:t> Ended June 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5" w:type="dxa"/>
            <w:gridSpan w:val="2"/>
            <w:tcBorders/>
            <w:vAlign w:val="center"/>
          </w:tcPr>
          <w:p>
            <w:pPr>
              <w:pStyle w:val="TableContents"/>
              <w:bidi w:val="0"/>
              <w:spacing w:before="0" w:after="0"/>
              <w:ind w:left="0" w:right="0" w:hanging="0"/>
              <w:jc w:val="center"/>
              <w:rPr/>
            </w:pPr>
            <w:r>
              <w:rPr/>
              <w:t> </w:t>
            </w:r>
          </w:p>
        </w:tc>
        <w:tc>
          <w:tcPr>
            <w:tcW w:w="288" w:type="dxa"/>
            <w:tcBorders/>
            <w:vAlign w:val="center"/>
          </w:tcPr>
          <w:p>
            <w:pPr>
              <w:pStyle w:val="TableContents"/>
              <w:bidi w:val="0"/>
              <w:spacing w:before="0" w:after="0"/>
              <w:ind w:left="0" w:right="0" w:hanging="0"/>
              <w:jc w:val="center"/>
              <w:rPr/>
            </w:pPr>
            <w:r>
              <w:rPr/>
              <w:t> </w:t>
            </w:r>
          </w:p>
        </w:tc>
      </w:tr>
      <w:tr>
        <w:trPr/>
        <w:tc>
          <w:tcPr>
            <w:tcW w:w="9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(dollars 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w:t>
            </w:r>
            <w:r>
              <w:rPr>
                <w:rFonts w:ascii="Times New Roman" w:hAnsi="Times New Roman"/>
                <w:sz w:val="16"/>
              </w:rPr>
              <w:t xml:space="preserve"> </w:t>
            </w:r>
            <w:r>
              <w:rPr>
                <w:rFonts w:ascii="Times New Roman;serif" w:hAnsi="Times New Roman;serif"/>
                <w:b/>
                <w:sz w:val="16"/>
              </w:rPr>
              <w:t>Change</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w:t>
            </w:r>
            <w:r>
              <w:rPr>
                <w:rFonts w:ascii="Times New Roman" w:hAnsi="Times New Roman"/>
                <w:sz w:val="16"/>
              </w:rPr>
              <w:t xml:space="preserve"> </w:t>
            </w:r>
            <w:r>
              <w:rPr>
                <w:rFonts w:ascii="Times New Roman;serif" w:hAnsi="Times New Roman;serif"/>
                <w:b/>
                <w:sz w:val="16"/>
              </w:rPr>
              <w:t>Change</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900"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Income tax expense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(13,382</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(2,121</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(11,261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88" w:type="dxa"/>
            <w:tcBorders/>
            <w:vAlign w:val="center"/>
          </w:tcPr>
          <w:p>
            <w:pPr>
              <w:pStyle w:val="TableContents"/>
              <w:bidi w:val="0"/>
              <w:spacing w:before="0" w:after="0"/>
              <w:ind w:left="0" w:right="0" w:hanging="0"/>
              <w:jc w:val="left"/>
              <w:rPr/>
            </w:pPr>
            <w:r>
              <w:rPr/>
              <w:t> </w:t>
            </w:r>
          </w:p>
        </w:tc>
        <w:tc>
          <w:tcPr>
            <w:tcW w:w="48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531</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(15,645</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(3,565</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(12,080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88" w:type="dxa"/>
            <w:tcBorders/>
            <w:vAlign w:val="center"/>
          </w:tcPr>
          <w:p>
            <w:pPr>
              <w:pStyle w:val="TableContents"/>
              <w:bidi w:val="0"/>
              <w:spacing w:before="0" w:after="0"/>
              <w:ind w:left="0" w:right="0" w:hanging="0"/>
              <w:jc w:val="left"/>
              <w:rPr/>
            </w:pPr>
            <w:r>
              <w:rPr/>
              <w:t> </w:t>
            </w:r>
          </w:p>
        </w:tc>
        <w:tc>
          <w:tcPr>
            <w:tcW w:w="487"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339</w:t>
            </w:r>
          </w:p>
        </w:tc>
        <w:tc>
          <w:tcPr>
            <w:tcW w:w="288"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900"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Effective tax rate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13</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5" w:type="dxa"/>
            <w:gridSpan w:val="2"/>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11</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5" w:type="dxa"/>
            <w:gridSpan w:val="2"/>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r>
    </w:tbl>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Income tax expense consists of current and deferred taxes for U.S. and foreign income taxes. The increase in income tax expense was primarily driven by increased income in jurisdictions outside of the U.S. that are profitable from a tax perspective and a limitation on the utilization of U.S. net operating loss carry-forwards.</w:t>
      </w:r>
    </w:p>
    <w:p>
      <w:pPr>
        <w:pStyle w:val="TextBody"/>
        <w:bidi w:val="0"/>
        <w:spacing w:before="200" w:after="0"/>
        <w:jc w:val="left"/>
        <w:rPr>
          <w:rFonts w:ascii="Times New Roman;serif" w:hAnsi="Times New Roman;serif"/>
          <w:b/>
          <w:sz w:val="20"/>
        </w:rPr>
      </w:pPr>
      <w:r>
        <w:rPr>
          <w:rFonts w:ascii="Times New Roman;serif" w:hAnsi="Times New Roman;serif"/>
          <w:b/>
          <w:sz w:val="20"/>
        </w:rPr>
        <w:t>Liquidity and Capital Resources</w:t>
      </w:r>
    </w:p>
    <w:p>
      <w:pPr>
        <w:pStyle w:val="TextBody"/>
        <w:bidi w:val="0"/>
        <w:spacing w:before="200" w:after="0"/>
        <w:jc w:val="left"/>
        <w:rPr>
          <w:rFonts w:ascii="Times New Roman" w:hAnsi="Times New Roman"/>
          <w:sz w:val="20"/>
        </w:rPr>
      </w:pPr>
      <w:r>
        <w:rPr>
          <w:rFonts w:ascii="Times New Roman;serif" w:hAnsi="Times New Roman;serif"/>
          <w:b w:val="false"/>
          <w:sz w:val="20"/>
        </w:rPr>
        <w:t>Our principal sources of liquidity to date have been cash and cash equivalents, net accounts receivable, our common stock offerings, and our convertible notes offerings.</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 xml:space="preserve">The following table shows cash and cash equivalents, working capital, net cash and cash equivalents provided by operating activities, net cash and cash equivalents used in investing activities, and net cash and cash equivalents provided by financing activities for the six months ended June 30, 2023 and 2022. </w:t>
        <w:br/>
      </w:r>
      <w:r>
        <w:rPr>
          <w:rFonts w:ascii="Times New Roman" w:hAnsi="Times New Roman"/>
          <w:sz w:val="20"/>
        </w:rPr>
        <w:t> </w:t>
      </w:r>
    </w:p>
    <w:tbl>
      <w:tblPr>
        <w:tblW w:w="8819" w:type="dxa"/>
        <w:jc w:val="left"/>
        <w:tblInd w:w="0" w:type="dxa"/>
        <w:tblLayout w:type="fixed"/>
        <w:tblCellMar>
          <w:top w:w="28" w:type="dxa"/>
          <w:left w:w="28" w:type="dxa"/>
          <w:bottom w:w="28" w:type="dxa"/>
          <w:right w:w="28" w:type="dxa"/>
        </w:tblCellMar>
      </w:tblPr>
      <w:tblGrid>
        <w:gridCol w:w="5956"/>
        <w:gridCol w:w="146"/>
        <w:gridCol w:w="211"/>
        <w:gridCol w:w="931"/>
        <w:gridCol w:w="166"/>
        <w:gridCol w:w="146"/>
        <w:gridCol w:w="211"/>
        <w:gridCol w:w="841"/>
        <w:gridCol w:w="211"/>
      </w:tblGrid>
      <w:tr>
        <w:trPr/>
        <w:tc>
          <w:tcPr>
            <w:tcW w:w="5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5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9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9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11" w:type="dxa"/>
            <w:tcBorders/>
            <w:vAlign w:val="center"/>
          </w:tcPr>
          <w:p>
            <w:pPr>
              <w:pStyle w:val="TableContents"/>
              <w:bidi w:val="0"/>
              <w:spacing w:before="0" w:after="0"/>
              <w:ind w:left="0" w:right="0" w:hanging="0"/>
              <w:jc w:val="center"/>
              <w:rPr/>
            </w:pPr>
            <w:r>
              <w:rPr/>
              <w:t> </w:t>
            </w:r>
          </w:p>
        </w:tc>
      </w:tr>
      <w:tr>
        <w:trPr/>
        <w:tc>
          <w:tcPr>
            <w:tcW w:w="59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457,218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305,664</w:t>
            </w:r>
          </w:p>
        </w:tc>
        <w:tc>
          <w:tcPr>
            <w:tcW w:w="211" w:type="dxa"/>
            <w:tcBorders/>
            <w:vAlign w:val="center"/>
          </w:tcPr>
          <w:p>
            <w:pPr>
              <w:pStyle w:val="TableContents"/>
              <w:bidi w:val="0"/>
              <w:spacing w:before="0" w:after="0"/>
              <w:ind w:left="0" w:right="0" w:hanging="0"/>
              <w:jc w:val="left"/>
              <w:rPr/>
            </w:pPr>
            <w:r>
              <w:rPr/>
              <w:t> </w:t>
            </w:r>
          </w:p>
        </w:tc>
      </w:tr>
      <w:tr>
        <w:trPr/>
        <w:tc>
          <w:tcPr>
            <w:tcW w:w="59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Working capital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1,060,390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869,617</w:t>
            </w:r>
          </w:p>
        </w:tc>
        <w:tc>
          <w:tcPr>
            <w:tcW w:w="211" w:type="dxa"/>
            <w:tcBorders/>
            <w:vAlign w:val="center"/>
          </w:tcPr>
          <w:p>
            <w:pPr>
              <w:pStyle w:val="TableContents"/>
              <w:bidi w:val="0"/>
              <w:spacing w:before="0" w:after="0"/>
              <w:ind w:left="0" w:right="0" w:hanging="0"/>
              <w:jc w:val="left"/>
              <w:rPr/>
            </w:pPr>
            <w:r>
              <w:rPr/>
              <w:t> </w:t>
            </w:r>
          </w:p>
        </w:tc>
      </w:tr>
      <w:tr>
        <w:trPr/>
        <w:tc>
          <w:tcPr>
            <w:tcW w:w="59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and cash equivalents provided by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157,613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123,146</w:t>
            </w:r>
          </w:p>
        </w:tc>
        <w:tc>
          <w:tcPr>
            <w:tcW w:w="211" w:type="dxa"/>
            <w:tcBorders/>
            <w:vAlign w:val="center"/>
          </w:tcPr>
          <w:p>
            <w:pPr>
              <w:pStyle w:val="TableContents"/>
              <w:bidi w:val="0"/>
              <w:spacing w:before="0" w:after="0"/>
              <w:ind w:left="0" w:right="0" w:hanging="0"/>
              <w:jc w:val="left"/>
              <w:rPr/>
            </w:pPr>
            <w:r>
              <w:rPr/>
              <w:t> </w:t>
            </w:r>
          </w:p>
        </w:tc>
      </w:tr>
      <w:tr>
        <w:trPr/>
        <w:tc>
          <w:tcPr>
            <w:tcW w:w="59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and cash equivalents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(53,313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(176,013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9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and cash equivalents provided by (used in)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(9,008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Our cash and cash equivalents at June 30, 2023 were held for working capital purposes. At June 30, 2023, $171.7 million of our cash and cash equivalents was held in accounts outside the United States. We do not assert indefinite reinvestment of our foreign earnings because these earnings have been subject to United States Federal tax. While we have concluded that any incremental tax incurred upon ultimate distribution of these earnings to be immaterial, our current plans do not demonstrate a need to repatriate undistributed earnings to fund our U.S. operations.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Cash from operations could be affected by various risks and uncertainties detailed in the section titled “Risk Factors” included under Part II, Item 1A. However, based on our current business plan and revenue prospects, we believe that our existing cash, cash equivalents and investment balances, and our anticipated cash flows from operations will be sufficient to meet our working capital and operating resource expenditure requirements for the next twelve months.</w:t>
      </w:r>
    </w:p>
    <w:p>
      <w:pPr>
        <w:pStyle w:val="TextBody"/>
        <w:bidi w:val="0"/>
        <w:spacing w:before="200" w:after="0"/>
        <w:jc w:val="left"/>
        <w:rPr>
          <w:rFonts w:ascii="Times New Roman;serif" w:hAnsi="Times New Roman;serif"/>
          <w:b w:val="false"/>
          <w:i/>
          <w:sz w:val="20"/>
        </w:rPr>
      </w:pPr>
      <w:r>
        <w:rPr>
          <w:rFonts w:ascii="Times New Roman;serif" w:hAnsi="Times New Roman;serif"/>
          <w:b w:val="false"/>
          <w:i/>
          <w:sz w:val="20"/>
        </w:rPr>
        <w:t>Net Cash and Cash Equivalents Provided by Operating Activities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Net cash and cash equivalents provided by operating activities consists primarily of net loss adjusted for certain non-cash items, including stock-based compensation, depreciation and amortization and other non-cash charges, net.</w:t>
      </w:r>
    </w:p>
    <w:p>
      <w:pPr>
        <w:pStyle w:val="TextBody"/>
        <w:bidi w:val="0"/>
        <w:spacing w:before="200" w:after="0"/>
        <w:jc w:val="left"/>
        <w:rPr>
          <w:rFonts w:ascii="Times New Roman" w:hAnsi="Times New Roman"/>
          <w:sz w:val="20"/>
        </w:rPr>
      </w:pPr>
      <w:r>
        <w:rPr>
          <w:rFonts w:ascii="Times New Roman;serif" w:hAnsi="Times New Roman;serif"/>
          <w:b w:val="false"/>
          <w:sz w:val="20"/>
        </w:rPr>
        <w:t>Net cash and cash equivalents provided by operating activities during the six months ended June 30, 2023 primarily reflected our net loss of $157.2 million, $18.8 million accretion of bond discounts, offset by non-cash expenses that included $33.0 million of depreciation and amortization, $211.0 million in stock-based compensation, restructuring charges of $64.9 million, and $1.0 million of</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 w:hAnsi="Times New Roman"/>
          <w:sz w:val="20"/>
        </w:rPr>
      </w:pPr>
      <w:r>
        <w:rPr>
          <w:rFonts w:ascii="Times New Roman;serif" w:hAnsi="Times New Roman;serif"/>
          <w:b w:val="false"/>
          <w:sz w:val="20"/>
        </w:rPr>
        <w:t>amortization of debt discount and issuance costs. Working capital sources of cash and cash equivalents primarily included a $41.4 million increase in deferred revenue primarily resulting from the growth in the number of customers invoiced during the period, a $21.6 million decrease in accounts receivable related to increased collection, a $21.0 million increase in right-of-use asset, and $55.2 million increase in accrued expenses and other liabilities. These sources of cash and cash equivalents were offset by a $47.4 million increase in prepaid expenses and other assets, a $18.0 million decrease in operating lease liabilities, a $37.0 million increase in deferred commissions, and a $17.8 million increase in accounts payable related to timing of bill payments.</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Net cash and cash equivalents provided by operating activities during the six months ended June 30, 2022 primarily reflected our net loss of $65.7 million, benefit from deferred income taxes of $0.4 million, $0.2 million accretion of bond discounts, and gains on strategic investments of $4.2 million, offset by non-cash expenses that included $27.1 million of depreciation and amortization, $126.9 million in stock-based compensation, and $1.0 million of amortization of debt discount and issuance costs. Working capital sources of cash and cash equivalents primarily included a $52.5 million increase in deferred revenue primarily resulting from the growth in the number of customers invoiced during the period, a $13.4 million increase in right-of-use asset, a $9.0 million increase in accounts payable related to timing of bill payments, and $23.1 million increase in accrued expenses and other liabilities. These sources of cash and cash equivalents were offset by a $21.9 million increase in prepaid expenses and other assets, a $11.3 million decrease in operating lease liabilities, a $13.7 million increase in deferred commissions, and a $14.3 million increase in accounts receivable as a result of increased billings to customers.</w:t>
      </w:r>
      <w:r>
        <w:rPr>
          <w:rFonts w:ascii="Times New Roman" w:hAnsi="Times New Roman"/>
          <w:sz w:val="20"/>
        </w:rPr>
        <w:t xml:space="preserve"> </w:t>
      </w:r>
    </w:p>
    <w:p>
      <w:pPr>
        <w:pStyle w:val="TextBody"/>
        <w:bidi w:val="0"/>
        <w:spacing w:before="200" w:after="0"/>
        <w:jc w:val="left"/>
        <w:rPr>
          <w:rFonts w:ascii="Times New Roman;serif" w:hAnsi="Times New Roman;serif"/>
          <w:b w:val="false"/>
          <w:i/>
          <w:sz w:val="20"/>
        </w:rPr>
      </w:pPr>
      <w:r>
        <w:rPr>
          <w:rFonts w:ascii="Times New Roman;serif" w:hAnsi="Times New Roman;serif"/>
          <w:b w:val="false"/>
          <w:i/>
          <w:sz w:val="20"/>
        </w:rPr>
        <w:t>Net Cash and Cash Equivalents Used in Investing Activities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Our investing activities have consisted primarily of purchases and maturities of investments, property and equipment purchases, purchases of strategic investments, and capitalization of software development costs. Capitalized software development costs are related to new products or improvements to our existing software platform that expands the functionality for our customers.</w:t>
      </w:r>
    </w:p>
    <w:p>
      <w:pPr>
        <w:pStyle w:val="TextBody"/>
        <w:bidi w:val="0"/>
        <w:spacing w:before="200" w:after="0"/>
        <w:jc w:val="left"/>
        <w:rPr>
          <w:rFonts w:ascii="Times New Roman" w:hAnsi="Times New Roman"/>
          <w:sz w:val="20"/>
        </w:rPr>
      </w:pPr>
      <w:r>
        <w:rPr>
          <w:rFonts w:ascii="Times New Roman;serif" w:hAnsi="Times New Roman;serif"/>
          <w:b w:val="false"/>
          <w:sz w:val="20"/>
        </w:rPr>
        <w:t>Net cash and cash equivalents used in investing activities during the six months ended June 30, 2023 consisted primarily of $731.4 million purchases of investments and $14.2 million of purchased property and equipment, $6.0 million of purchases of strategic investments, and $31.6 million of capitalized software development costs. These uses of cash were offset by $729.8 million received related to the maturity of investments.</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Net cash and cash equivalents used in investing activities during the six months ended June 30, 2022 consisted primarily of $864.1 million purchases of investments, $18.3 million of purchased property and equipment, $13.9 million of purchases of strategic investments, $19.9 million of capitalized software development costs, and a $10.0 million purchase of intangible assets. These uses of cash were offset by $625.4 million received related to the maturity of investments and $125.0 million received for sale of investments.</w:t>
      </w:r>
      <w:r>
        <w:rPr>
          <w:rFonts w:ascii="Times New Roman" w:hAnsi="Times New Roman"/>
          <w:sz w:val="20"/>
        </w:rPr>
        <w:t xml:space="preserve"> </w:t>
      </w:r>
    </w:p>
    <w:p>
      <w:pPr>
        <w:pStyle w:val="TextBody"/>
        <w:bidi w:val="0"/>
        <w:spacing w:before="200" w:after="0"/>
        <w:jc w:val="left"/>
        <w:rPr>
          <w:rFonts w:ascii="Times New Roman;serif" w:hAnsi="Times New Roman;serif"/>
          <w:b w:val="false"/>
          <w:i/>
          <w:sz w:val="20"/>
        </w:rPr>
      </w:pPr>
      <w:r>
        <w:rPr>
          <w:rFonts w:ascii="Times New Roman;serif" w:hAnsi="Times New Roman;serif"/>
          <w:b w:val="false"/>
          <w:i/>
          <w:sz w:val="20"/>
        </w:rPr>
        <w:t>Net Cash and Cash Equivalents Provided by Financing Activities</w:t>
      </w:r>
    </w:p>
    <w:p>
      <w:pPr>
        <w:pStyle w:val="TextBody"/>
        <w:bidi w:val="0"/>
        <w:spacing w:before="200" w:after="0"/>
        <w:jc w:val="left"/>
        <w:rPr>
          <w:rFonts w:ascii="Times New Roman" w:hAnsi="Times New Roman"/>
          <w:sz w:val="20"/>
        </w:rPr>
      </w:pPr>
      <w:r>
        <w:rPr>
          <w:rFonts w:ascii="Times New Roman;serif" w:hAnsi="Times New Roman;serif"/>
          <w:b w:val="false"/>
          <w:sz w:val="20"/>
        </w:rPr>
        <w:t>Our financing activities have consisted primarily of the various components of our 2022 Notes repayment, the repayment of our 2025 Notes, the issuance of common stock under our stock plans, and payments of employee taxes related to the net share settlement of stock-based awards.</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For the six months ended June 30, 2023 cash used in financing activities consisted $4.1 million used for payment of employee taxes related to the net share settlement of stock-based awards, offset by $24.6 million of proceeds related to issuance of common stock under stock plans.</w:t>
      </w:r>
      <w:r>
        <w:rPr>
          <w:rFonts w:ascii="Times New Roman" w:hAnsi="Times New Roman"/>
          <w:sz w:val="20"/>
        </w:rPr>
        <w:t xml:space="preserve">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For the six months ended June 30, 2022 cash used in financing activities consisted of $1.6 million used for the repayment of the 2025 Notes attributable to the principal, $79.8 million payment for settlement of the 2022 Notes, and $7.8 million used for payment of employee taxes related to the net share settlement of stock-based awards, offset by $19.7 million of proceeds related to issuance of common stock under stock plans and $60.5 million of proceeds from settlement of the Convertible Note Hedges</w:t>
      </w:r>
    </w:p>
    <w:p>
      <w:pPr>
        <w:pStyle w:val="TextBody"/>
        <w:bidi w:val="0"/>
        <w:spacing w:before="200" w:after="0"/>
        <w:jc w:val="left"/>
        <w:rPr>
          <w:rFonts w:ascii="Times New Roman;serif" w:hAnsi="Times New Roman;serif"/>
          <w:b/>
          <w:sz w:val="20"/>
        </w:rPr>
      </w:pPr>
      <w:r>
        <w:rPr>
          <w:rFonts w:ascii="Times New Roman;serif" w:hAnsi="Times New Roman;serif"/>
          <w:b/>
          <w:sz w:val="20"/>
        </w:rPr>
        <w:t>Critical Accounting Policies and Estimates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There have been no significant changes in our critical accounting policies and estimates during the six months ended June 30, 2023 as compared to the critical accounting policies and estimates disclosed in our Annual Report on Form 10-K for the year ended December 31, 2022.</w:t>
      </w:r>
    </w:p>
    <w:p>
      <w:pPr>
        <w:pStyle w:val="TextBody"/>
        <w:bidi w:val="0"/>
        <w:spacing w:before="200" w:after="0"/>
        <w:jc w:val="left"/>
        <w:rPr>
          <w:rFonts w:ascii="Times New Roman;serif" w:hAnsi="Times New Roman;serif"/>
          <w:b/>
          <w:sz w:val="20"/>
        </w:rPr>
      </w:pPr>
      <w:r>
        <w:rPr>
          <w:rFonts w:ascii="Times New Roman;serif" w:hAnsi="Times New Roman;serif"/>
          <w:b/>
          <w:sz w:val="20"/>
        </w:rPr>
        <w:t>Contractual Obligations and Commitments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Contractual obligations are cash that we are obligated to pay as part of certain contracts that we have entered during our course of business. Our contractual obligations consist of operating lease liabilities that are included in our consolidated balance sheet and vendor commitments associated with agreements that are legally binding. See Note 10 for all obligations the Company is committed to in the notes to the consolidated financial statements appearing elsewhere in this Quarterly Report on Form 10-Q.</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serif" w:hAnsi="Times New Roman;serif"/>
          <w:b/>
          <w:sz w:val="20"/>
        </w:rPr>
      </w:pPr>
      <w:r>
        <w:rPr>
          <w:rFonts w:ascii="Times New Roman;serif" w:hAnsi="Times New Roman;serif"/>
          <w:b/>
          <w:sz w:val="20"/>
        </w:rPr>
        <w:t>Recent Accounting Pronouncements</w:t>
      </w:r>
    </w:p>
    <w:p>
      <w:pPr>
        <w:pStyle w:val="TextBody"/>
        <w:bidi w:val="0"/>
        <w:spacing w:before="200" w:after="0"/>
        <w:jc w:val="left"/>
        <w:rPr>
          <w:rFonts w:ascii="Times New Roman" w:hAnsi="Times New Roman"/>
          <w:sz w:val="20"/>
        </w:rPr>
      </w:pPr>
      <w:r>
        <w:rPr>
          <w:rFonts w:ascii="Times New Roman;serif" w:hAnsi="Times New Roman;serif"/>
          <w:b w:val="false"/>
          <w:sz w:val="20"/>
        </w:rPr>
        <w:t xml:space="preserve">For information on recent accounting pronouncements, see </w:t>
      </w:r>
      <w:r>
        <w:rPr>
          <w:rFonts w:ascii="Times New Roman;serif" w:hAnsi="Times New Roman;serif"/>
          <w:b w:val="false"/>
          <w:i/>
          <w:sz w:val="20"/>
        </w:rPr>
        <w:t>Recent Accounting Pronouncements</w:t>
      </w:r>
      <w:r>
        <w:rPr>
          <w:rFonts w:ascii="Times New Roman" w:hAnsi="Times New Roman"/>
          <w:sz w:val="20"/>
        </w:rPr>
        <w:t xml:space="preserve"> </w:t>
      </w:r>
      <w:r>
        <w:rPr>
          <w:rFonts w:ascii="Times New Roman;serif" w:hAnsi="Times New Roman;serif"/>
          <w:b w:val="false"/>
          <w:sz w:val="20"/>
        </w:rPr>
        <w:t>in the notes to the consolidated financial statements appearing elsewhere in this Quarterly Report on Form 10-Q.</w:t>
      </w:r>
    </w:p>
    <w:p>
      <w:pPr>
        <w:pStyle w:val="TextBody"/>
        <w:bidi w:val="0"/>
        <w:spacing w:before="200" w:after="0"/>
        <w:jc w:val="left"/>
        <w:rPr>
          <w:rFonts w:ascii="Times New Roman;serif" w:hAnsi="Times New Roman;serif"/>
          <w:b/>
          <w:sz w:val="20"/>
        </w:rPr>
      </w:pPr>
      <w:r>
        <w:rPr>
          <w:rFonts w:ascii="Times New Roman;serif" w:hAnsi="Times New Roman;serif"/>
          <w:b/>
          <w:sz w:val="20"/>
        </w:rPr>
        <w:t>Off-Balance Sheet Arrangements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As of June 30, 2023, we are committed to contribute additional capital of $6.3 million to the Black Economic Development Fund. There were no other material off-balance sheet arrangements exclusive of operating leases and indemnifications of officers, directors and employees for certain events or occurrences while the officer, director or employee is, or was, serving at our request in such capacity.</w:t>
      </w:r>
    </w:p>
    <w:p>
      <w:pPr>
        <w:pStyle w:val="TextBody"/>
        <w:bidi w:val="0"/>
        <w:spacing w:before="240" w:after="0"/>
        <w:jc w:val="left"/>
        <w:rPr>
          <w:rFonts w:ascii="Times New Roman;serif" w:hAnsi="Times New Roman;serif"/>
          <w:b/>
          <w:sz w:val="20"/>
        </w:rPr>
      </w:pPr>
      <w:bookmarkStart w:id="10" w:name="item_3_quantitative_qualitative_disclosu"/>
      <w:bookmarkEnd w:id="10"/>
      <w:r>
        <w:rPr>
          <w:rFonts w:ascii="Times New Roman;serif" w:hAnsi="Times New Roman;serif"/>
          <w:b/>
          <w:sz w:val="20"/>
        </w:rPr>
        <w:t>Item 3. Quantitative and Qualitative Disclosures About Market Risk</w:t>
      </w:r>
    </w:p>
    <w:p>
      <w:pPr>
        <w:pStyle w:val="TextBody"/>
        <w:bidi w:val="0"/>
        <w:spacing w:before="240" w:after="0"/>
        <w:jc w:val="left"/>
        <w:rPr>
          <w:rFonts w:ascii="Times New Roman;serif" w:hAnsi="Times New Roman;serif"/>
          <w:b/>
          <w:i/>
          <w:sz w:val="20"/>
        </w:rPr>
      </w:pPr>
      <w:r>
        <w:rPr>
          <w:rFonts w:ascii="Times New Roman;serif" w:hAnsi="Times New Roman;serif"/>
          <w:b/>
          <w:i/>
          <w:sz w:val="20"/>
        </w:rPr>
        <w:t>Foreign Currency Exchange Risk</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have foreign currency risks related to our revenue, cost of revenue, and operating expenses denominated in currencies other than the U.S. dollar, primarily the Euro, British Pound Sterling, Australian dollar, Singaporean dollar, Japanese Yen, Colombian Peso and Canadian dollar. Since we translate foreign currencies into U.S. dollars for financial reporting purposes, currency fluctuations can have an impact on our financial results.</w:t>
        <w:br/>
        <w:br/>
        <w:br/>
        <w:br/>
        <w:t>We have experienced and will continue to experience fluctuations in our net loss as a result of transaction gains or losses related to revaluing certain current asset and current liability balances that are denominated in currencies other than the functional currency of the entities in which they are recorded. While we have not engaged in the hedging of our foreign currency transactions to date, we are evaluating the costs and benefits of initiating such a program and may in the future hedge selected significant transactions denominated in currencies other than the U.S. dollar as we expand our international operations, and our risk grows.</w:t>
      </w:r>
    </w:p>
    <w:p>
      <w:pPr>
        <w:pStyle w:val="TextBody"/>
        <w:bidi w:val="0"/>
        <w:spacing w:before="240" w:after="0"/>
        <w:jc w:val="left"/>
        <w:rPr>
          <w:rFonts w:ascii="Times New Roman" w:hAnsi="Times New Roman"/>
          <w:sz w:val="20"/>
        </w:rPr>
      </w:pPr>
      <w:r>
        <w:rPr>
          <w:rFonts w:ascii="Times New Roman;serif" w:hAnsi="Times New Roman;serif"/>
          <w:b/>
          <w:i/>
          <w:sz w:val="20"/>
        </w:rPr>
        <w:t>Interest Rate Sensitivity</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portfolio of cash and cash equivalents and short- and long-term investments is maintained in a variety of securities, including government agency obligations, corporate bonds and money market funds. Investments are classified as available-for-sale securities and carried at their fair market value with cumulative unrealized gains or losses recorded as a component of accumulated other comprehensive loss within stockholders' equity. A sharp rise in interest rates could have an adverse impact on the fair market value of certain securities in our portfolio. We do not currently hedge our interest rate exposure and do not enter into financial instruments for trading or speculative purposes.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Market Risk and Market Interest Risk</w:t>
      </w:r>
    </w:p>
    <w:p>
      <w:pPr>
        <w:pStyle w:val="TextBody"/>
        <w:bidi w:val="0"/>
        <w:spacing w:before="240" w:after="0"/>
        <w:jc w:val="left"/>
        <w:rPr>
          <w:rFonts w:ascii="Times New Roman" w:hAnsi="Times New Roman"/>
          <w:sz w:val="20"/>
        </w:rPr>
      </w:pPr>
      <w:r>
        <w:rPr>
          <w:rFonts w:ascii="Times New Roman;serif" w:hAnsi="Times New Roman;serif"/>
          <w:b w:val="false"/>
          <w:sz w:val="20"/>
        </w:rPr>
        <w:t>In June 2020, we issued $460 million aggregate principal amount of convertible senior notes due June 1, 2025, of which $459.1 million remains outstanding as of June 30, 2023 (the “2025 Notes”). The fair value of the 2025 Notes is subject to interest rate risk, market risk and other factors due to the convertible feature. The fair value of the 2025 Notes will generally increase as our common stock price increases and will generally decrease as our common stock price declines in value. The interest and market value changes affect the fair value of the 2025 Notes but do not impact our financial position, cash flows or results of operations due to the fixed nature of the debt obligation. Generally, the fair values of the 2025 Notes will increase as interest rates fall and decrease as interest rates rise. Additionally, we carry the 2025 Notes at face value less unamortized discount on our balance sheet, and we present the fair value for required disclosure purposes only. The Federal Reserve has raised, and may continue to raise interest rates in an effort to combat high inflation and may continue to do so in the future. There continues to be uncertainty in the changing market and economic</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conditions, including the possibility or additional measures that could be taken by the Federal Reserve and other government agencies, related to concerns over inflation risk.</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table below provides a sensitivity analysis of hypothetical 10% changes of our stock price as of June 30, 2023 and the estimated impact on the fair value of the 2025 Notes. The selected scenarios are not predictions of future events, but rather are intended to illustrate the effect such an event may have on the fair value of the 2025 Notes.</w:t>
      </w:r>
    </w:p>
    <w:p>
      <w:pPr>
        <w:pStyle w:val="TextBody"/>
        <w:bidi w:val="0"/>
        <w:spacing w:before="240" w:after="0"/>
        <w:jc w:val="left"/>
        <w:rPr>
          <w:rFonts w:ascii="Times New Roman;serif" w:hAnsi="Times New Roman;serif"/>
          <w:b/>
          <w:sz w:val="20"/>
        </w:rPr>
      </w:pPr>
      <w:r>
        <w:rPr>
          <w:rFonts w:ascii="Times New Roman;serif" w:hAnsi="Times New Roman;serif"/>
          <w:b/>
          <w:sz w:val="20"/>
        </w:rPr>
        <w:t>2025 Notes</w:t>
      </w:r>
    </w:p>
    <w:tbl>
      <w:tblPr>
        <w:tblW w:w="10205" w:type="dxa"/>
        <w:jc w:val="left"/>
        <w:tblInd w:w="0" w:type="dxa"/>
        <w:tblLayout w:type="fixed"/>
        <w:tblCellMar>
          <w:top w:w="28" w:type="dxa"/>
          <w:left w:w="28" w:type="dxa"/>
          <w:bottom w:w="28" w:type="dxa"/>
          <w:right w:w="28" w:type="dxa"/>
        </w:tblCellMar>
      </w:tblPr>
      <w:tblGrid>
        <w:gridCol w:w="2605"/>
        <w:gridCol w:w="350"/>
        <w:gridCol w:w="146"/>
        <w:gridCol w:w="211"/>
        <w:gridCol w:w="781"/>
        <w:gridCol w:w="146"/>
        <w:gridCol w:w="146"/>
        <w:gridCol w:w="335"/>
        <w:gridCol w:w="1168"/>
        <w:gridCol w:w="166"/>
        <w:gridCol w:w="146"/>
        <w:gridCol w:w="1077"/>
        <w:gridCol w:w="2562"/>
        <w:gridCol w:w="366"/>
      </w:tblGrid>
      <w:tr>
        <w:trPr/>
        <w:tc>
          <w:tcPr>
            <w:tcW w:w="260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29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Hypothetical change in HubSpot stock 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Estimated change in</w:t>
              <w:br/>
              <w:t>fair value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63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Hypothetical percentage increase (decrease) in fair value</w:t>
            </w:r>
          </w:p>
        </w:tc>
        <w:tc>
          <w:tcPr>
            <w:tcW w:w="3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0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10% increase</w:t>
            </w:r>
          </w:p>
        </w:tc>
        <w:tc>
          <w:tcPr>
            <w:tcW w:w="35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954,893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94,828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left"/>
              <w:rPr/>
            </w:pPr>
            <w:r>
              <w:rPr/>
              <w:t> </w:t>
            </w:r>
          </w:p>
        </w:tc>
        <w:tc>
          <w:tcPr>
            <w:tcW w:w="25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0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 change</w:t>
            </w:r>
          </w:p>
        </w:tc>
        <w:tc>
          <w:tcPr>
            <w:tcW w:w="35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860,064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077" w:type="dxa"/>
            <w:tcBorders/>
            <w:vAlign w:val="center"/>
          </w:tcPr>
          <w:p>
            <w:pPr>
              <w:pStyle w:val="TableContents"/>
              <w:bidi w:val="0"/>
              <w:spacing w:before="0" w:after="0"/>
              <w:ind w:left="0" w:right="0" w:hanging="0"/>
              <w:jc w:val="left"/>
              <w:rPr/>
            </w:pPr>
            <w:r>
              <w:rPr/>
              <w:t> </w:t>
            </w:r>
          </w:p>
        </w:tc>
        <w:tc>
          <w:tcPr>
            <w:tcW w:w="2562" w:type="dxa"/>
            <w:tcBorders/>
            <w:vAlign w:val="center"/>
          </w:tcPr>
          <w:p>
            <w:pPr>
              <w:pStyle w:val="TableContents"/>
              <w:bidi w:val="0"/>
              <w:spacing w:before="0" w:after="0"/>
              <w:ind w:left="0" w:right="0" w:hanging="0"/>
              <w:jc w:val="right"/>
              <w:rPr/>
            </w:pPr>
            <w:r>
              <w:rPr/>
              <w:t>—</w:t>
            </w:r>
          </w:p>
        </w:tc>
        <w:tc>
          <w:tcPr>
            <w:tcW w:w="366" w:type="dxa"/>
            <w:tcBorders/>
            <w:vAlign w:val="center"/>
          </w:tcPr>
          <w:p>
            <w:pPr>
              <w:pStyle w:val="TableContents"/>
              <w:bidi w:val="0"/>
              <w:spacing w:before="0" w:after="0"/>
              <w:ind w:left="0" w:right="0" w:hanging="0"/>
              <w:jc w:val="left"/>
              <w:rPr/>
            </w:pPr>
            <w:r>
              <w:rPr/>
              <w:t> </w:t>
            </w:r>
          </w:p>
        </w:tc>
      </w:tr>
      <w:tr>
        <w:trPr/>
        <w:tc>
          <w:tcPr>
            <w:tcW w:w="260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10% decrease</w:t>
            </w:r>
          </w:p>
        </w:tc>
        <w:tc>
          <w:tcPr>
            <w:tcW w:w="35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789,990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(70,074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077" w:type="dxa"/>
            <w:tcBorders/>
            <w:vAlign w:val="center"/>
          </w:tcPr>
          <w:p>
            <w:pPr>
              <w:pStyle w:val="TableContents"/>
              <w:bidi w:val="0"/>
              <w:spacing w:before="0" w:after="0"/>
              <w:ind w:left="0" w:right="0" w:hanging="0"/>
              <w:jc w:val="left"/>
              <w:rPr/>
            </w:pPr>
            <w:r>
              <w:rPr/>
              <w:t> </w:t>
            </w:r>
          </w:p>
        </w:tc>
        <w:tc>
          <w:tcPr>
            <w:tcW w:w="25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0"/>
        <w:jc w:val="left"/>
        <w:rPr>
          <w:rFonts w:ascii="Times New Roman" w:hAnsi="Times New Roman"/>
          <w:sz w:val="20"/>
        </w:rPr>
      </w:pPr>
      <w:bookmarkStart w:id="11" w:name="item_4_controls_procedures"/>
      <w:bookmarkEnd w:id="11"/>
      <w:r>
        <w:rPr>
          <w:rFonts w:ascii="Times New Roman;serif" w:hAnsi="Times New Roman;serif"/>
          <w:b/>
          <w:sz w:val="20"/>
        </w:rPr>
        <w:t>Item 4. Controls</w:t>
      </w:r>
      <w:r>
        <w:rPr>
          <w:rFonts w:ascii="Times New Roman" w:hAnsi="Times New Roman"/>
          <w:sz w:val="20"/>
        </w:rPr>
        <w:t xml:space="preserve"> </w:t>
      </w:r>
      <w:r>
        <w:rPr>
          <w:rFonts w:ascii="Times New Roman;serif" w:hAnsi="Times New Roman;serif"/>
          <w:b/>
          <w:sz w:val="20"/>
        </w:rPr>
        <w:t>and Procedures</w:t>
      </w:r>
    </w:p>
    <w:p>
      <w:pPr>
        <w:pStyle w:val="TextBody"/>
        <w:bidi w:val="0"/>
        <w:spacing w:before="240" w:after="0"/>
        <w:jc w:val="left"/>
        <w:rPr>
          <w:rFonts w:ascii="Times New Roman" w:hAnsi="Times New Roman"/>
          <w:sz w:val="20"/>
        </w:rPr>
      </w:pPr>
      <w:r>
        <w:rPr>
          <w:rFonts w:ascii="Times New Roman;serif" w:hAnsi="Times New Roman;serif"/>
          <w:b w:val="false"/>
          <w:sz w:val="20"/>
          <w:u w:val="single"/>
        </w:rPr>
        <w:t>Evaluation of Disclosure Controls and Procedures</w:t>
      </w:r>
      <w:r>
        <w:rPr>
          <w:rFonts w:ascii="Times New Roman;serif" w:hAnsi="Times New Roman;serif"/>
          <w:b w:val="false"/>
          <w:sz w:val="20"/>
        </w:rPr>
        <w:t>. 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w:t>
      </w:r>
    </w:p>
    <w:p>
      <w:pPr>
        <w:pStyle w:val="TextBody"/>
        <w:bidi w:val="0"/>
        <w:spacing w:before="240" w:after="0"/>
        <w:jc w:val="left"/>
        <w:rPr>
          <w:rFonts w:ascii="Times New Roman" w:hAnsi="Times New Roman"/>
          <w:sz w:val="20"/>
        </w:rPr>
      </w:pPr>
      <w:r>
        <w:rPr>
          <w:rFonts w:ascii="Times New Roman;serif" w:hAnsi="Times New Roman;serif"/>
          <w:b w:val="false"/>
          <w:sz w:val="20"/>
          <w:u w:val="single"/>
        </w:rPr>
        <w:t>Changes in Internal Control Over Financial Reporting</w:t>
      </w:r>
      <w:r>
        <w:rPr>
          <w:rFonts w:ascii="Times New Roman;serif" w:hAnsi="Times New Roman;serif"/>
          <w:b w:val="false"/>
          <w:sz w:val="20"/>
        </w:rPr>
        <w:t>. There was no change in our internal control over financial reporting (as defined in Rules 13a-15(f) and 15d-15(f) under the Exchange Act) that occurred during the quarter covered by this Quarterly Report on Form 10-Q that has materially affected, or is reasonably likely to materially affect, our internal control over financial reporting.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u w:val="single"/>
        </w:rPr>
        <w:t>Inherent Limitations of Internal Controls</w:t>
      </w:r>
      <w:r>
        <w:rPr>
          <w:rFonts w:ascii="Times New Roman;serif" w:hAnsi="Times New Roman;serif"/>
          <w:b w:val="false"/>
          <w:sz w:val="20"/>
        </w:rPr>
        <w:t>. Our management, including our Chief Executive Officer and Chief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bookmarkStart w:id="12" w:name="part_ii"/>
      <w:bookmarkEnd w:id="12"/>
      <w:r>
        <w:rPr>
          <w:rFonts w:ascii="Times New Roman;serif" w:hAnsi="Times New Roman;serif"/>
          <w:b/>
          <w:sz w:val="20"/>
        </w:rPr>
        <w:t>PART</w:t>
      </w:r>
      <w:r>
        <w:rPr>
          <w:rFonts w:ascii="Times New Roman" w:hAnsi="Times New Roman"/>
          <w:sz w:val="20"/>
        </w:rPr>
        <w:t xml:space="preserve"> </w:t>
      </w:r>
      <w:r>
        <w:rPr>
          <w:rFonts w:ascii="Times New Roman;serif" w:hAnsi="Times New Roman;serif"/>
          <w:b/>
          <w:sz w:val="20"/>
        </w:rPr>
        <w:t>II</w:t>
      </w:r>
    </w:p>
    <w:p>
      <w:pPr>
        <w:pStyle w:val="TextBody"/>
        <w:bidi w:val="0"/>
        <w:spacing w:before="240" w:after="0"/>
        <w:jc w:val="center"/>
        <w:rPr>
          <w:rFonts w:ascii="Times New Roman;serif" w:hAnsi="Times New Roman;serif"/>
          <w:b/>
          <w:sz w:val="20"/>
        </w:rPr>
      </w:pPr>
      <w:r>
        <w:rPr>
          <w:rFonts w:ascii="Times New Roman;serif" w:hAnsi="Times New Roman;serif"/>
          <w:b/>
          <w:sz w:val="20"/>
        </w:rPr>
        <w:t>Other Information</w:t>
      </w:r>
    </w:p>
    <w:p>
      <w:pPr>
        <w:pStyle w:val="TextBody"/>
        <w:bidi w:val="0"/>
        <w:spacing w:before="240" w:after="0"/>
        <w:jc w:val="left"/>
        <w:rPr>
          <w:rFonts w:ascii="Times New Roman" w:hAnsi="Times New Roman"/>
          <w:sz w:val="20"/>
        </w:rPr>
      </w:pPr>
      <w:bookmarkStart w:id="13" w:name="item_1_legal_proceedings"/>
      <w:bookmarkEnd w:id="13"/>
      <w:r>
        <w:rPr>
          <w:rFonts w:ascii="Times New Roman;serif" w:hAnsi="Times New Roman;serif"/>
          <w:b/>
          <w:sz w:val="20"/>
        </w:rPr>
        <w:t>Item 1. Legal</w:t>
      </w:r>
      <w:r>
        <w:rPr>
          <w:rFonts w:ascii="Times New Roman" w:hAnsi="Times New Roman"/>
          <w:sz w:val="20"/>
        </w:rPr>
        <w:t xml:space="preserve"> </w:t>
      </w:r>
      <w:r>
        <w:rPr>
          <w:rFonts w:ascii="Times New Roman;serif" w:hAnsi="Times New Roman;serif"/>
          <w:b/>
          <w:sz w:val="20"/>
        </w:rPr>
        <w:t>Proceedings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From time to time we may become involved in legal proceedings or be subject to claims arising in the ordinary course of our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pStyle w:val="TextBody"/>
        <w:bidi w:val="0"/>
        <w:spacing w:before="240" w:after="0"/>
        <w:jc w:val="left"/>
        <w:rPr/>
      </w:pPr>
      <w:r>
        <w:rPr/>
        <w:t> </w:t>
      </w:r>
    </w:p>
    <w:p>
      <w:pPr>
        <w:pStyle w:val="TextBody"/>
        <w:bidi w:val="0"/>
        <w:spacing w:before="200" w:after="0"/>
        <w:jc w:val="left"/>
        <w:rPr/>
      </w:pPr>
      <w:r>
        <w:rPr/>
        <w:t> </w:t>
      </w:r>
    </w:p>
    <w:p>
      <w:pPr>
        <w:pStyle w:val="TextBody"/>
        <w:bidi w:val="0"/>
        <w:spacing w:before="200" w:after="0"/>
        <w:jc w:val="left"/>
        <w:rPr>
          <w:rFonts w:ascii="Times New Roman;serif" w:hAnsi="Times New Roman;serif"/>
          <w:b/>
          <w:sz w:val="20"/>
        </w:rPr>
      </w:pPr>
      <w:bookmarkStart w:id="14" w:name="item_1a_risk_factors"/>
      <w:bookmarkEnd w:id="14"/>
      <w:r>
        <w:rPr>
          <w:rFonts w:ascii="Times New Roman;serif" w:hAnsi="Times New Roman;serif"/>
          <w:b/>
          <w:sz w:val="20"/>
        </w:rPr>
        <w:t>Item 1A. RISK FACTORS</w:t>
      </w:r>
    </w:p>
    <w:p>
      <w:pPr>
        <w:pStyle w:val="TextBody"/>
        <w:bidi w:val="0"/>
        <w:spacing w:before="200" w:after="0"/>
        <w:jc w:val="left"/>
        <w:rPr>
          <w:rFonts w:ascii="Times New Roman;serif" w:hAnsi="Times New Roman;serif"/>
          <w:b w:val="false"/>
          <w:i/>
          <w:sz w:val="20"/>
        </w:rPr>
      </w:pPr>
      <w:r>
        <w:rPr>
          <w:rFonts w:ascii="Times New Roman;serif" w:hAnsi="Times New Roman;serif"/>
          <w:b w:val="false"/>
          <w:i/>
          <w:sz w:val="20"/>
        </w:rPr>
        <w:t>An investment in our common stock involves a high degree of risk. You should carefully consider the risks described below and the other information in this Quarterly Report on Form 10-Q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and uncertainties actually occurs,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Quarterly Report on Form 10-Q and in our other public filings. The trading price of our common stock could decline due to any of these risks, and, as a result, you may lose all or part of your investment.</w:t>
      </w:r>
    </w:p>
    <w:p>
      <w:pPr>
        <w:pStyle w:val="TextBody"/>
        <w:bidi w:val="0"/>
        <w:spacing w:before="200" w:after="0"/>
        <w:jc w:val="left"/>
        <w:rPr/>
      </w:pPr>
      <w:r>
        <w:rPr/>
        <w:t> </w:t>
      </w:r>
    </w:p>
    <w:p>
      <w:pPr>
        <w:pStyle w:val="TextBody"/>
        <w:bidi w:val="0"/>
        <w:spacing w:before="200" w:after="0"/>
        <w:jc w:val="left"/>
        <w:rPr>
          <w:rFonts w:ascii="Times New Roman;serif" w:hAnsi="Times New Roman;serif"/>
          <w:b/>
          <w:sz w:val="20"/>
        </w:rPr>
      </w:pPr>
      <w:r>
        <w:rPr>
          <w:rFonts w:ascii="Times New Roman;serif" w:hAnsi="Times New Roman;serif"/>
          <w:b/>
          <w:sz w:val="20"/>
        </w:rPr>
        <w:t>Risks Related to Our Business and Strategy</w:t>
      </w:r>
    </w:p>
    <w:p>
      <w:pPr>
        <w:pStyle w:val="TextBody"/>
        <w:bidi w:val="0"/>
        <w:spacing w:before="200" w:after="0"/>
        <w:jc w:val="left"/>
        <w:rPr>
          <w:rFonts w:ascii="Times New Roman;serif" w:hAnsi="Times New Roman;serif"/>
          <w:b/>
          <w:i/>
          <w:sz w:val="20"/>
        </w:rPr>
      </w:pPr>
      <w:r>
        <w:rPr>
          <w:rFonts w:ascii="Times New Roman;serif" w:hAnsi="Times New Roman;serif"/>
          <w:b/>
          <w:i/>
          <w:sz w:val="20"/>
        </w:rPr>
        <w:t>We are dependent upon customer renewals, the addition of new customers, increased revenue from existing customers and the continued growth of the market for a CRM Platform.</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We derive, and expect to continue to derive, a substantial portion of our revenue from the sale of subscriptions to our CRM Platform. The market for inbound marketing, sales, service, operations and customer management products is still evolving, and competitive dynamics may cause pricing levels to change as the market matures and as existing and new market participants introduce new types of point applications and different approaches to enable businesses to address their respective needs. As a result, we may be forced to reduce the prices we charge for our platform and may be unable to renew existing customer agreements or enter into new customer agreements at the same prices and upon the same terms that we have historically. In addition, our growth strategy involves a scalable pricing model (including freemium versions of our products) intended to provide us with an opportunity to increase the value of our customer relationships over time as we expand their use of our platform, sell to other parts of their organizations, cross-sell our sales products to existing marketing product customers and vice versa through touchless or low touch in product purchases, and upsell additional offerings and features. If our cross-selling efforts are unsuccessful or if our existing customers do not expand their use of our platform or adopt additional offerings and features, our operating results may suffer.</w:t>
      </w:r>
    </w:p>
    <w:p>
      <w:pPr>
        <w:pStyle w:val="TextBody"/>
        <w:bidi w:val="0"/>
        <w:spacing w:before="200" w:after="0"/>
        <w:jc w:val="left"/>
        <w:rPr>
          <w:rFonts w:ascii="Times New Roman;serif" w:hAnsi="Times New Roman;serif"/>
          <w:b/>
          <w:i/>
          <w:sz w:val="20"/>
        </w:rPr>
      </w:pPr>
      <w:r>
        <w:rPr>
          <w:rFonts w:ascii="Times New Roman;serif" w:hAnsi="Times New Roman;serif"/>
          <w:b/>
          <w:i/>
          <w:sz w:val="20"/>
        </w:rPr>
        <w:t>Our subscription renewal rates may decrease, and any decrease could harm our future revenue and operating results.</w:t>
      </w:r>
    </w:p>
    <w:p>
      <w:pPr>
        <w:pStyle w:val="TextBody"/>
        <w:bidi w:val="0"/>
        <w:spacing w:before="200" w:after="0"/>
        <w:jc w:val="left"/>
        <w:rPr>
          <w:rFonts w:ascii="Times New Roman" w:hAnsi="Times New Roman"/>
          <w:sz w:val="20"/>
        </w:rPr>
      </w:pPr>
      <w:r>
        <w:rPr>
          <w:rFonts w:ascii="Times New Roman;serif" w:hAnsi="Times New Roman;serif"/>
          <w:b w:val="false"/>
          <w:sz w:val="20"/>
        </w:rPr>
        <w:t>Our customers have no obligation to renew their subscriptions for our platform after the expiration of their subscription periods, substantially all of which are one year or less. In addition, our customers may seek to renew for lower subscription tiers, for fewer contacts or seats, or for shorter contract lengths. Also, customers may choose not to renew their subscriptions for a variety of reasons. Our renewal rates may decline or fluctuate as a result of a number of factors, including limited customer resources, pricing changes, the prices of services offered by our competitors, adoption and utilization of our platform and add-on applications by our customers, adoption of our new products, customer satisfaction with our platform, mergers and acquisitions affecting our customer base, reductions in our customers’ spending levels or declines in customer activity as a result of economic downturns or uncertainty in financial markets. If our customers do not renew their subscriptions for our platform or decrease the amount they spend with us, our revenue will decline and our business will suffer.</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In addition, a subscription model creates certain risks related to the timing of revenue recognition and potential reductions in cash flows. A portion of the subscription-based revenue we report each quarter results from the recognition of deferred revenue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relating to subscription agreements entered into during previous quarters. In addition, we do not record deferred revenue beyond amounts invoiced as a liability on our balance sheet. A decline in new or renewed subscriptions in any period may not be immediately reflected in our reported financial results for that period, but may result in a decline in our revenue in future quarters. If we were to experience significant downturns in subscription sales and renewal rates, our reported financial results might not reflect such downturns until future periods.</w:t>
      </w:r>
    </w:p>
    <w:p>
      <w:pPr>
        <w:pStyle w:val="TextBody"/>
        <w:bidi w:val="0"/>
        <w:spacing w:before="200" w:after="0"/>
        <w:jc w:val="left"/>
        <w:rPr>
          <w:rFonts w:ascii="Times New Roman;serif" w:hAnsi="Times New Roman;serif"/>
          <w:b/>
          <w:i/>
          <w:sz w:val="20"/>
        </w:rPr>
      </w:pPr>
      <w:r>
        <w:rPr>
          <w:rFonts w:ascii="Times New Roman;serif" w:hAnsi="Times New Roman;serif"/>
          <w:b/>
          <w:i/>
          <w:sz w:val="20"/>
        </w:rPr>
        <w:t>We face significant competition from both established and new companies offering marketing, sales, customer service, operations and content management software and other related applications, as well as internally developed software, which may harm our ability to add new customers, retain existing customers and grow our business.</w:t>
      </w:r>
    </w:p>
    <w:p>
      <w:pPr>
        <w:pStyle w:val="TextBody"/>
        <w:bidi w:val="0"/>
        <w:spacing w:before="200" w:after="0"/>
        <w:jc w:val="left"/>
        <w:rPr>
          <w:rFonts w:ascii="Times New Roman" w:hAnsi="Times New Roman"/>
          <w:sz w:val="20"/>
        </w:rPr>
      </w:pPr>
      <w:r>
        <w:rPr>
          <w:rFonts w:ascii="Times New Roman;serif" w:hAnsi="Times New Roman;serif"/>
          <w:b w:val="false"/>
          <w:sz w:val="20"/>
        </w:rPr>
        <w:t>The marketing, sales, customer service, operations, and content management software market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w:t>
      </w:r>
      <w:r>
        <w:rPr>
          <w:rFonts w:ascii="Times New Roman" w:hAnsi="Times New Roman"/>
          <w:sz w:val="20"/>
        </w:rPr>
        <w:t xml:space="preserve">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We face intense competition from other software companies that develop marketing, sales, customer service, operations, and content management software and from marketing services companies that provide interactive marketing services. Competition could significantly impede our ability to sell subscriptions to our CRM Platform on terms favorable to us. Our current and potential competitors may develop and market new technologies including as a result of new or better use of evolving artificial intelligence (“AI”) technologies that render our existing or future products less competitive,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Our competitors include:</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cloud-based marketing automation providers;</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email marketing software vendors;</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sales force automation and CRM software vendors;</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large-scale enterprise suites;</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customer service software providers; and</w:t>
      </w:r>
    </w:p>
    <w:p>
      <w:pPr>
        <w:pStyle w:val="TextBody"/>
        <w:bidi w:val="0"/>
        <w:spacing w:before="200" w:after="0"/>
        <w:jc w:val="left"/>
        <w:rPr/>
      </w:pPr>
      <w:r>
        <w:rPr/>
        <w:t>•</w:t>
      </w:r>
    </w:p>
    <w:p>
      <w:pPr>
        <w:pStyle w:val="TextBody"/>
        <w:bidi w:val="0"/>
        <w:spacing w:before="200" w:after="283"/>
        <w:jc w:val="left"/>
        <w:rPr>
          <w:rFonts w:ascii="Times New Roman;serif" w:hAnsi="Times New Roman;serif"/>
          <w:b w:val="false"/>
          <w:sz w:val="20"/>
        </w:rPr>
      </w:pPr>
      <w:r>
        <w:rPr>
          <w:rFonts w:ascii="Times New Roman;serif" w:hAnsi="Times New Roman;serif"/>
          <w:b w:val="false"/>
          <w:sz w:val="20"/>
        </w:rPr>
        <w:t>content management systems.</w:t>
      </w:r>
    </w:p>
    <w:p>
      <w:pPr>
        <w:pStyle w:val="TextBody"/>
        <w:bidi w:val="0"/>
        <w:spacing w:before="200" w:after="0"/>
        <w:jc w:val="left"/>
        <w:rPr>
          <w:rFonts w:ascii="Times New Roman" w:hAnsi="Times New Roman"/>
          <w:sz w:val="20"/>
        </w:rPr>
      </w:pPr>
      <w:r>
        <w:rPr>
          <w:rFonts w:ascii="Times New Roman;serif" w:hAnsi="Times New Roman;serif"/>
          <w:b w:val="false"/>
          <w:sz w:val="20"/>
        </w:rPr>
        <w:t>In addition, instead of using our platform, some prospective customers may elect to combine disparate point applications, such as content management, marketing automation, CRM, analytics and social media management. We expect that new competitors, such as enterprise software vendors that have traditionally focused on enterprise resource planning or other applications supporting back office functions, will develop and introduce applications serving customer-facing and other front office functions. This development could have an adverse effect on our business, operating results and financial condition. In addition, sales force automation and CRM vendors could acquire or develop applications that compete with our sales and CRM offerings. Some of these companies have acquired social media marketing and other marketing software providers to integrate with their broader offerings.</w:t>
      </w:r>
      <w:r>
        <w:rPr>
          <w:rFonts w:ascii="Times New Roman" w:hAnsi="Times New Roman"/>
          <w:sz w:val="20"/>
        </w:rPr>
        <w:t xml:space="preserve">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Our current and potential competitors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marketing, sales, customer service and content management software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platform because of their existing relationships with our competitor. If we are unable to compete with such companies, the demand for our CRM Platform could substantially decline.</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platform. We may not be able to compete successfully against current or future competitors, and competitive pressures may harm our business, operating results and financial condition.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serif" w:hAnsi="Times New Roman;serif"/>
          <w:b/>
          <w:i/>
          <w:sz w:val="20"/>
        </w:rPr>
      </w:pPr>
      <w:r>
        <w:rPr>
          <w:rFonts w:ascii="Times New Roman;serif" w:hAnsi="Times New Roman;serif"/>
          <w:b/>
          <w:i/>
          <w:sz w:val="20"/>
        </w:rPr>
        <w:t>We have experienced rapid growth and organizational change in recent periods and expect growth of headcount and operations over the long-term. If we fail to manage growth and organizational change effectively, we may be unable to execute our business plan, maintain high levels of service or address competitive challenges adequately.</w:t>
      </w:r>
    </w:p>
    <w:p>
      <w:pPr>
        <w:pStyle w:val="TextBody"/>
        <w:bidi w:val="0"/>
        <w:spacing w:before="200" w:after="0"/>
        <w:jc w:val="left"/>
        <w:rPr>
          <w:rFonts w:ascii="Times New Roman" w:hAnsi="Times New Roman"/>
          <w:sz w:val="20"/>
        </w:rPr>
      </w:pPr>
      <w:r>
        <w:rPr>
          <w:rFonts w:ascii="Times New Roman;serif" w:hAnsi="Times New Roman;serif"/>
          <w:b w:val="false"/>
          <w:sz w:val="20"/>
        </w:rPr>
        <w:t>Prior to the implementation of our Restructuring Plan in January 2023, our headcount and operations grew substantially. To date, we have opened several international offices. This growth has placed, and will continue to place, a significant strain on our management, administrative, operational and financial infrastructure. While we expect to continue to grow headcount and operations over the long-term, in January 2023, we authorized a workforce reduction impacting approximately 7% of our workforce and began exiting select leases to consolidate our office space. We may be unable to effectively manage the organizational changes we have made in connection with the Restructuring Plan, which could result in difficulty or delays in delivering our products to customers, declines in quality or customer satisfaction, increases in costs, difficulties in introducing new products and services or enhancing existing products and services, reputational harm, loss of customers, or operational difficulties in executing sales strategies, any of which could adversely affect our business performance and operating results. We anticipate future growth will be required over the long term to address increases in our product offerings and continued expansion. Our success will depend in part upon our ability to recruit, hire, train, manage and integrate qualified managers, technical personnel and employees in specialized roles within our company, including in technology, sales and marketing. Furthermore, as more of our employees work remotely from geographic areas across the globe on a permanent basis pursuant to our hybrid workplace model, which provides our employees with the option to be fully remote, work full-time from one of our offices, or have the flexibility to work both in the office and remotely, we may need to reallocate our investment of resources and closely monitor a variety of local regulations and requirements, including local tax laws. We may experience unpredictability in our expenses and employee work culture. If we experience any of these effects in connection with future growth, if our new employees perform poorly, or if we are unsuccessful in recruiting, hiring, training, managing and integrating new employees, or retaining our existing employees, it could materially impair our ability to attract new customers, retain existing customers and expand their use of our platform, all of which would materially and adversely affect our business, financial condition and results of operations.</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In addition, our information technology infrastructure, operational, financial and management systems and procedures may not be able to effectively manage changes to our headcount, operations and office space that result from the Restructuring Plan. Our Restructuring Plan has increased our short-term costs, which makes it more difficult for us to address any future revenue shortfalls by reducing expenses in the short-term. If we fail to successfully manage organizational changes in connection with the Restructuring Plan or our future growth, we will be unable to successfully execute our business plan, which could have a negative impact on our business, results of operations or financial condition.</w:t>
      </w:r>
      <w:r>
        <w:rPr>
          <w:rFonts w:ascii="Times New Roman" w:hAnsi="Times New Roman"/>
          <w:sz w:val="20"/>
        </w:rPr>
        <w:t xml:space="preserve"> </w:t>
      </w:r>
    </w:p>
    <w:p>
      <w:pPr>
        <w:pStyle w:val="TextBody"/>
        <w:bidi w:val="0"/>
        <w:spacing w:before="200" w:after="0"/>
        <w:jc w:val="left"/>
        <w:rPr>
          <w:rFonts w:ascii="Times New Roman;serif" w:hAnsi="Times New Roman;serif"/>
          <w:b/>
          <w:i/>
          <w:sz w:val="20"/>
        </w:rPr>
      </w:pPr>
      <w:r>
        <w:rPr>
          <w:rFonts w:ascii="Times New Roman;serif" w:hAnsi="Times New Roman;serif"/>
          <w:b/>
          <w:i/>
          <w:sz w:val="20"/>
        </w:rPr>
        <w:t>Failure to effectively develop and expand our marketing, sales, customer service, operations, and content management capabilities could harm our ability to increase our customer base and achieve broader market acceptance of our platform.</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To increase Customers and achieve broader market acceptance of our CRM Platform, we will need to continue to expand our marketing, sales, customer service, operations, and content management capabilities, including our sales force and third-party channel partners. We will continue to dedicate significant resources to inbound sales and marketing programs. The effectiveness of our inbound sales and marketing and third-party channel partners has varied over time and may vary in the future and depends on our ability to maintain and improve our CRM Platform including with respect to AI and machine learning. All of these efforts will require us to invest significant financial and other resources. Our business will be seriously harmed if our efforts do not generate a correspondingly significant increase in revenue. We may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pStyle w:val="TextBody"/>
        <w:bidi w:val="0"/>
        <w:spacing w:before="200" w:after="0"/>
        <w:jc w:val="left"/>
        <w:rPr>
          <w:rFonts w:ascii="Times New Roman;serif" w:hAnsi="Times New Roman;serif"/>
          <w:b/>
          <w:i/>
          <w:sz w:val="20"/>
        </w:rPr>
      </w:pPr>
      <w:r>
        <w:rPr>
          <w:rFonts w:ascii="Times New Roman;serif" w:hAnsi="Times New Roman;serif"/>
          <w:b/>
          <w:i/>
          <w:sz w:val="20"/>
        </w:rPr>
        <w:t>The rate of growth of our business depends on the continued participation and level of service of our Solutions Partners.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We rely on our Solutions Partners to provide certain services to our customers, as well as pursue sales of our CRM Platform to customers. To the extent we do not attract new Solutions Partners, or existing or new Solutions Partners do not refer a growing number of customers to us, our revenue and operating results would be harmed. In addition, if our Solutions Partners do not continue to provide services to our customers, we would be required to provide such services ourselves either by expanding our internal team or engaging other third-party providers, which would increase our operating costs.</w:t>
      </w:r>
    </w:p>
    <w:p>
      <w:pPr>
        <w:pStyle w:val="TextBody"/>
        <w:bidi w:val="0"/>
        <w:spacing w:before="200" w:after="0"/>
        <w:jc w:val="left"/>
        <w:rPr>
          <w:rFonts w:ascii="Times New Roman;serif" w:hAnsi="Times New Roman;serif"/>
          <w:b/>
          <w:i/>
          <w:sz w:val="20"/>
        </w:rPr>
      </w:pPr>
      <w:r>
        <w:rPr>
          <w:rFonts w:ascii="Times New Roman;serif" w:hAnsi="Times New Roman;serif"/>
          <w:b/>
          <w:i/>
          <w:sz w:val="20"/>
        </w:rPr>
        <w:t>If we fail to maintain our inbound thought leadership position, our business may suffer.</w:t>
      </w:r>
    </w:p>
    <w:p>
      <w:pPr>
        <w:pStyle w:val="TextBody"/>
        <w:bidi w:val="0"/>
        <w:spacing w:before="200" w:after="0"/>
        <w:jc w:val="left"/>
        <w:rPr>
          <w:rFonts w:ascii="Times New Roman" w:hAnsi="Times New Roman"/>
          <w:sz w:val="20"/>
        </w:rPr>
      </w:pPr>
      <w:r>
        <w:rPr>
          <w:rFonts w:ascii="Times New Roman;serif" w:hAnsi="Times New Roman;serif"/>
          <w:b w:val="false"/>
          <w:sz w:val="20"/>
        </w:rPr>
        <w:t>We believe that maintaining our thought leadership position in inbound marketing, sales, services, operations and content management is an important element in attracting new customers. We devote significant resources to develop and maintain our thought leadership position, with a focus on identifying and interpreting emerging trends in the inbound experience, shaping and guiding industry dialog and creating and sharing the best inbound practices. Our activities related to developing and maintaining our thought leadership may not yield increased revenue, and even if they do, any increased revenue may not offset the expenses we incurred in such effort. We rely upon the continued services of our management and employees with domain expertise with inbound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marketing, sales, services, operations, and content management, and the loss of any key employees in this area could harm our competitive position and reputation. If we fail to successfully grow and maintain our thought leadership position, we may not attract enough new customers or retain our existing customers, and our business could suffer.</w:t>
      </w:r>
    </w:p>
    <w:p>
      <w:pPr>
        <w:pStyle w:val="TextBody"/>
        <w:bidi w:val="0"/>
        <w:spacing w:before="200" w:after="0"/>
        <w:jc w:val="left"/>
        <w:rPr>
          <w:rFonts w:ascii="Times New Roman;serif" w:hAnsi="Times New Roman;serif"/>
          <w:b/>
          <w:i/>
          <w:sz w:val="20"/>
        </w:rPr>
      </w:pPr>
      <w:r>
        <w:rPr>
          <w:rFonts w:ascii="Times New Roman;serif" w:hAnsi="Times New Roman;serif"/>
          <w:b/>
          <w:i/>
          <w:sz w:val="20"/>
        </w:rPr>
        <w:t>If we fail to further enhance our brand and maintain our existing strong brand awareness, our ability to expand our customer base will be impaired and our financial condition may suffer.</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We believe that our development of the HubSpot brand is critical to achieving widespread awareness of our existing and future inbound experience solutions, and, as a result, is important to attracting new customers and maintaining existing customers. In the past, our efforts to build our brand have involved significant expenses, and we believe that this investment has resulted in strong brand recognition in the B2B market. Successful promotion and maintenance of our brands will depend largely on the effectiveness of our marketing efforts and on our ability to provide a reliable and useful CRM Platform at competitive prices. Brand promotion activities may not yield increased revenue, and even if they do, any increased revenue may not offset the expenses we incurred in building our brand. If we fail to successfully promote and maintain our brand, our business could suffer.</w:t>
      </w:r>
    </w:p>
    <w:p>
      <w:pPr>
        <w:pStyle w:val="TextBody"/>
        <w:bidi w:val="0"/>
        <w:spacing w:before="200" w:after="0"/>
        <w:jc w:val="left"/>
        <w:rPr>
          <w:rFonts w:ascii="Times New Roman;serif" w:hAnsi="Times New Roman;serif"/>
          <w:b/>
          <w:i/>
          <w:sz w:val="20"/>
        </w:rPr>
      </w:pPr>
      <w:r>
        <w:rPr>
          <w:rFonts w:ascii="Times New Roman;serif" w:hAnsi="Times New Roman;serif"/>
          <w:b/>
          <w:i/>
          <w:sz w:val="20"/>
        </w:rPr>
        <w:t>If we fail to adapt and respond effectively to rapidly changing technology, evolving industry standards and changing customer needs or requirements, our CRM Platform may become less competitive.</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Our future success depends on our ability to adapt and innovate our CRM Platform. To attract new customers and increase revenue from existing customers, we need to continue to enhance and improve our offerings to meet customer needs at prices that our customers are willing to pay. Such efforts will require adding new functionality and responding to technological advancements, including AI and machine learning, which will increase our research and development costs. If we are unable to develop new applications that address our customers’ needs, or to enhance and improve our platform in a timely manner, we may not be able to maintain or increase market acceptance of our platform. Our ability to grow is also subject to the risk of future disruptive technologies. Access and use of our CRM Platform is provided via the cloud, which, itself, was disruptive to the previous enterprise software model. If new technologies emerge that are able to deliver inbound marketing software and related applications at lower prices, more efficiently, more conveniently or more securely, such technologies could adversely affect our ability to compete.</w:t>
      </w:r>
    </w:p>
    <w:p>
      <w:pPr>
        <w:pStyle w:val="TextBody"/>
        <w:bidi w:val="0"/>
        <w:spacing w:before="200" w:after="0"/>
        <w:jc w:val="left"/>
        <w:rPr>
          <w:rFonts w:ascii="Times New Roman;serif" w:hAnsi="Times New Roman;serif"/>
          <w:b/>
          <w:i/>
          <w:sz w:val="20"/>
        </w:rPr>
      </w:pPr>
      <w:r>
        <w:rPr>
          <w:rFonts w:ascii="Times New Roman;serif" w:hAnsi="Times New Roman;serif"/>
          <w:b/>
          <w:i/>
          <w:sz w:val="20"/>
        </w:rPr>
        <w:t>If we fail to offer high-quality customer support, our business and reputation may suffer.</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High-quality education, training and customer support are important for the successful marketing, sale and use of our CRM Platform and for the renewal of existing customers. Providing this education, training and support requires that our personnel who manage our online training resource, HubSpot Academy, or provide customer support have specific inbound experience domain knowledge and expertise, making it more difficult for us to hire qualified personnel and to scale up our support operations. The importance of high-quality customer support will increase as we expand our business and pursue new customers. If we do not help our customers use multiple applications within our CRM Platform and provide effective ongoing support, our ability to sell additional functionality and services to, or to retain, existing customers may suffer and our reputation with existing or potential customers may be harmed.</w:t>
      </w:r>
    </w:p>
    <w:p>
      <w:pPr>
        <w:pStyle w:val="TextBody"/>
        <w:bidi w:val="0"/>
        <w:spacing w:before="200" w:after="0"/>
        <w:jc w:val="left"/>
        <w:rPr>
          <w:rFonts w:ascii="Times New Roman;serif" w:hAnsi="Times New Roman;serif"/>
          <w:b/>
          <w:i/>
          <w:sz w:val="20"/>
        </w:rPr>
      </w:pPr>
      <w:r>
        <w:rPr>
          <w:rFonts w:ascii="Times New Roman;serif" w:hAnsi="Times New Roman;serif"/>
          <w:b/>
          <w:i/>
          <w:sz w:val="20"/>
        </w:rPr>
        <w:t>We may not be able to scale our business quickly enough to meet our customers’ growing needs and if we are not able to grow efficiently, our operating results could be harmed.</w:t>
      </w:r>
    </w:p>
    <w:p>
      <w:pPr>
        <w:pStyle w:val="TextBody"/>
        <w:bidi w:val="0"/>
        <w:spacing w:before="200" w:after="0"/>
        <w:jc w:val="left"/>
        <w:rPr>
          <w:rFonts w:ascii="Times New Roman" w:hAnsi="Times New Roman"/>
          <w:sz w:val="20"/>
        </w:rPr>
      </w:pPr>
      <w:r>
        <w:rPr>
          <w:rFonts w:ascii="Times New Roman;serif" w:hAnsi="Times New Roman;serif"/>
          <w:b w:val="false"/>
          <w:sz w:val="20"/>
        </w:rPr>
        <w:t xml:space="preserve">As usage of our CRM Platform grows and as customers use our platform for additional inbound applications, such as sales and services, we will need to devote additional resources to improving our application architecture, integrating with third-party systems and maintaining infrastructure performance. In addition, we will need to appropriately scale our internal business systems and our services organization, including customer support and professional services, to serve our growing customer base, particularly as our customer demographics change over time. Any failure of or delay in these efforts could cause impaired system performance and reduced customer satisfaction. These issues could reduce the attractiveness of our CRM Platform to customers, resulting in decreased sales to new customers, lower renewal rates by existing customers, the issuance of service credits, or requested refunds, which could impede our revenue growth and harm our reputation. Even if we are able to upgrade our systems and expand our staff,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w:t>
        <w:br/>
        <w:br/>
      </w:r>
      <w:r>
        <w:rPr>
          <w:rFonts w:ascii="Times New Roman;serif" w:hAnsi="Times New Roman;serif"/>
          <w:b/>
          <w:i/>
          <w:sz w:val="20"/>
        </w:rPr>
        <w:t>Our ability to introduce new products and features is dependent on adequate research and development resources. If we do not adequately fund our research and development efforts, we may not be able to compete effectively and our business and operating results may be harmed.</w:t>
      </w:r>
    </w:p>
    <w:p>
      <w:pPr>
        <w:pStyle w:val="TextBody"/>
        <w:bidi w:val="0"/>
        <w:spacing w:before="200" w:after="0"/>
        <w:jc w:val="left"/>
        <w:rPr>
          <w:rFonts w:ascii="Times New Roman" w:hAnsi="Times New Roman"/>
          <w:sz w:val="20"/>
        </w:rPr>
      </w:pPr>
      <w:r>
        <w:rPr>
          <w:rFonts w:ascii="Times New Roman;serif" w:hAnsi="Times New Roman;serif"/>
          <w:b w:val="false"/>
          <w:sz w:val="20"/>
        </w:rPr>
        <w:t>To remain competitive, we must continue to develop new product offerings, applications, features and enhancements to our existing CRM Platform. Maintaining adequate research and development personnel and resources to meet the demands of the market is essential. If we are unable to develop our platform internally due to certain constraints, such as high employee turnover, lack of</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management ability or a lack of other research and development resources, we may miss market opportunities. Further, many of our competitors expend a considerably greater amount of funds on their research and development programs, and those that do not may be acquired by larger companies that would allocate greater resources to our competitors’ research and development programs. Our failure to maintain adequate research and development resources or to compete effectively with the research and development programs of our competitors could materially adversely affect our business.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development of next-generation solutions that utilize new and advanced features, including artificial intelligence (“AI”) and machine learning, involves making predictions regarding the willingness of the market to adopt such technologies over legacy solutions. The Company may be required to commit significant resources to developing new products, software and services before knowing whether such investment will result in products or services that the market will accept.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Company’s inability, for technological or other reasons, some of which may be beyond the Company’s control, to enhance, develop, introduce and monetize products and services in a timely manner, or at all, in response to changing market conditions or customer requirements could have a material adverse effect on the Company’s business, results of operations and financial condition or could result in its products and services not achieving market acceptance or becoming obsolete. In addition, if the Company fails to deliver a compelling customer experience or accurately predict emerging technological trends and the changing needs of customers and end users, or if the features of its new products and services do not meet the demands of its customers or are not sufficiently differentiated from those of its competitors, the Company’s business, results of operations and financial condition could be materially harmed.</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Uncertainty around new and emerging AI applications such as generative AI content creation may require additional investment in the development of proprietary datasets, machine learning models and systems to test for accuracy, bias and other variables, which are often complex, development of new approaches and processes to provide attribution or remuneration to content creators and building systems that enable creatives to have greater control over the use of their work in the development of AI, which may be costly and could impact our profit margin if we are unable to monetize such assets. Developing, testing and deploying AI systems may also increase the cost profile of our offerings due to the nature of the computing costs involved in such systems.</w:t>
      </w:r>
    </w:p>
    <w:p>
      <w:pPr>
        <w:pStyle w:val="TextBody"/>
        <w:bidi w:val="0"/>
        <w:spacing w:before="200" w:after="0"/>
        <w:jc w:val="left"/>
        <w:rPr>
          <w:rFonts w:ascii="Times New Roman;serif" w:hAnsi="Times New Roman;serif"/>
          <w:b/>
          <w:i/>
          <w:sz w:val="20"/>
        </w:rPr>
      </w:pPr>
      <w:r>
        <w:rPr>
          <w:rFonts w:ascii="Times New Roman;serif" w:hAnsi="Times New Roman;serif"/>
          <w:b/>
          <w:i/>
          <w:sz w:val="20"/>
        </w:rPr>
        <w:t>Changes in the sizes or types of businesses that purchase our platform or in the applications within our CRM Platform purchased or used by our customers could negatively affect our operating results.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Our strategy is to sell subscriptions to our CRM Platform to mid-sized businesses, but we have sold and will continue to sell to organizations ranging from small businesses to enterprises. Our gross margins can vary depending on numerous factors related to the implementation and use of our CRM Platform, including the sophistication and intensity of our customers’ use of our platform and the level of professional services and support required by a customer. Sales to enterprise customers may entail longer sales cycles and more significant selling efforts. Selling to small businesses may involve greater credit risk and uncertainty. If there are changes in the mix of businesses that purchase our platform or the mix of the product plans purchased by our customers, our gross margins could decrease and our operating results could be adversely affected.</w:t>
      </w:r>
    </w:p>
    <w:p>
      <w:pPr>
        <w:pStyle w:val="TextBody"/>
        <w:bidi w:val="0"/>
        <w:spacing w:before="200" w:after="0"/>
        <w:jc w:val="left"/>
        <w:rPr>
          <w:rFonts w:ascii="Times New Roman;serif" w:hAnsi="Times New Roman;serif"/>
          <w:b/>
          <w:i/>
          <w:sz w:val="20"/>
        </w:rPr>
      </w:pPr>
      <w:r>
        <w:rPr>
          <w:rFonts w:ascii="Times New Roman;serif" w:hAnsi="Times New Roman;serif"/>
          <w:b/>
          <w:i/>
          <w:sz w:val="20"/>
        </w:rPr>
        <w:t>We have in the past completed acquisitions and may acquire or invest in other companies or technologies in the future, which could divert management’s attention, fail to meet our expectations, result in additional dilution to our stockholders, increase expenses, disrupt our operations or harm our operating results.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We have in the past acquired, and we may in the future acquire or invest in, businesses, products or technologies that we believe could complement or expand our platform, enhance our technical capabilities or otherwise offer growth opportunities. We may not be able to fully realize the anticipated benefits of historical or any future acquisitions. The pursuit of potential acquisitions may divert the attention of management and cause us to incur various expenses related to identifying, investigating and pursuing suitable acquisitions, whether or not they are consummated.</w:t>
      </w:r>
    </w:p>
    <w:p>
      <w:pPr>
        <w:pStyle w:val="TextBody"/>
        <w:bidi w:val="0"/>
        <w:spacing w:before="200" w:after="0"/>
        <w:jc w:val="left"/>
        <w:rPr>
          <w:rFonts w:ascii="Times New Roman" w:hAnsi="Times New Roman"/>
          <w:sz w:val="20"/>
        </w:rPr>
      </w:pPr>
      <w:r>
        <w:rPr>
          <w:rFonts w:ascii="Times New Roman;serif" w:hAnsi="Times New Roman;serif"/>
          <w:b w:val="false"/>
          <w:sz w:val="20"/>
        </w:rPr>
        <w:t>There are inherent risks in integrating and managing acquisitions. If we acquire additional businesses, we may not be able to assimilate or integrate the acquired personnel, operations and technologies successfully or effectively manage the combined business following the acquisition and our management may be distracted from operating our business. We also may not achieve the anticipated benefits from the acquired business due to a number of factors, including: unanticipated costs or liabilities associated with the acquisition; incurrence of acquisition-related costs, which would be recognized as a current period expense; inability to generate sufficient revenue to offset acquisition or investment costs; the inability to maintain relationships with customers and partners of the acquired business; the difficulty of incorporating acquired technology and rights into our platform and of maintaining quality and security standards consistent with our brand; delays in customer purchases due to uncertainty related to any acquisition; the need to integrate or implement additional controls, procedures and policies; challenges caused by distance, language and cultural differences; harm to our existing business relationships with business partners and customers as a result of the acquisition; the potential loss of key employees; use of resources that are needed in other parts of our business and diversion of management and employee resources; and use of substantial portions of our available cash or the incurrence of debt to consummate the acquisition. Acquisitions also increase the risk of unforeseen legal liability, including for potential violations of applicable law or industry rules and regulations, arising from prior or ongoing acts or omissions by the acquired businesses which are not discovered by due diligence during the acquisition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 w:hAnsi="Times New Roman"/>
          <w:sz w:val="20"/>
        </w:rPr>
      </w:pPr>
      <w:r>
        <w:rPr>
          <w:rFonts w:ascii="Times New Roman;serif" w:hAnsi="Times New Roman;serif"/>
          <w:b w:val="false"/>
          <w:sz w:val="20"/>
        </w:rPr>
        <w:t>process. Generally, if an acquired business fails to meet our expectations, our operating results, business and financial condition may suffer. Acquisitions could also result in dilutive issuances of equity securities or the incurrence of debt, which could adversely affect our business, results of operations or financial condition.</w:t>
      </w:r>
      <w:r>
        <w:rPr>
          <w:rFonts w:ascii="Times New Roman" w:hAnsi="Times New Roman"/>
          <w:sz w:val="20"/>
        </w:rPr>
        <w:t xml:space="preserve">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In addition, a significant portion of the purchase price of companies we acquire may be allocated to goodwill and other intangible assets, which must be assessed for impairment at least annually. If our acquisitions do not ultimately yield expected returns, we may be required to make charges to our operating results based on our impairment assessment process, which could harm our results of operations.</w:t>
      </w:r>
    </w:p>
    <w:p>
      <w:pPr>
        <w:pStyle w:val="TextBody"/>
        <w:bidi w:val="0"/>
        <w:spacing w:before="200" w:after="0"/>
        <w:jc w:val="left"/>
        <w:rPr>
          <w:rFonts w:ascii="Times New Roman;serif" w:hAnsi="Times New Roman;serif"/>
          <w:b/>
          <w:i/>
          <w:sz w:val="20"/>
        </w:rPr>
      </w:pPr>
      <w:r>
        <w:rPr>
          <w:rFonts w:ascii="Times New Roman;serif" w:hAnsi="Times New Roman;serif"/>
          <w:b/>
          <w:i/>
          <w:sz w:val="20"/>
        </w:rPr>
        <w:t>Because our long-term growth strategy involves further expansion of our sales to customers outside the United States, our business will be susceptible to risks associated with international operations.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A component of our growth strategy involves the further expansion of our operations and customer base internationally. We have formed several international entities and may plan to form additional entities in the future. These international operations focus primarily on sales, professional services and support, and select international locations have development teams. Our current international operations and future initiatives will involve a variety of risks, including:</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difficulties in maintaining our company culture with a dispersed and distant workforce;</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more stringent regulations relating to data security and the unauthorized use of, or access to, commercial and personal data, particularly in the European Union;</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unexpected changes in regulatory requirements, taxes or trade laws;</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differing labor regulations, especially in the European Union, where labor laws are generally more advantageous to employees as compared to the United States, including deemed hourly wage and overtime regulations in these locations;</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challenges inherent in efficiently managing an increased number of employees over large geographic distances, including the need to implement appropriate systems, policies, benefits and compliance programs;</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difficulties in managing a business in new markets with diverse cultures, languages, customs, legal systems, alternative dispute systems and regulatory systems;</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currency exchange rate fluctuations and the resulting effect on our revenue and expenses, and the cost and risk of entering into hedging transactions if we chose to do so in the future;</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global economic uncertainty caused by global political events,</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limitations on our ability to reinvest earnings from operations in one country to fund the capital needs of our operations in other countries;</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limited or insufficient intellectual property protection;</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 xml:space="preserve">international disputes, wars (such as the conflict between Russia and Ukraine), political instability or terrorist activities and resulting economic instability; </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likelihood of potential or actual violations of domestic and international anticorruption laws, such as the U.S. Foreign Corrupt Practices Act and the U.K. Bribery Act, or of U.S. and international export control and sanctions regulations, which likelihood may increase with an increase of sales or operations in foreign jurisdictions and operations in certain industries; and</w:t>
      </w:r>
    </w:p>
    <w:p>
      <w:pPr>
        <w:pStyle w:val="TextBody"/>
        <w:bidi w:val="0"/>
        <w:spacing w:before="200" w:after="0"/>
        <w:jc w:val="left"/>
        <w:rPr/>
      </w:pPr>
      <w:r>
        <w:rPr/>
        <w:t>•</w:t>
      </w:r>
    </w:p>
    <w:p>
      <w:pPr>
        <w:pStyle w:val="TextBody"/>
        <w:bidi w:val="0"/>
        <w:spacing w:before="200" w:after="283"/>
        <w:jc w:val="left"/>
        <w:rPr>
          <w:rFonts w:ascii="Times New Roman;serif" w:hAnsi="Times New Roman;serif"/>
          <w:b w:val="false"/>
          <w:sz w:val="20"/>
        </w:rPr>
      </w:pPr>
      <w:r>
        <w:rPr>
          <w:rFonts w:ascii="Times New Roman;serif" w:hAnsi="Times New Roman;serif"/>
          <w:b w:val="false"/>
          <w:sz w:val="20"/>
        </w:rPr>
        <w:t>adverse tax burdens and foreign exchange controls that could make it difficult to repatriate earnings and cash.</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Our limited experience in operating our business internationally increases the risk that any potential future expansion efforts that we may undertake will not be successful. If in the future, we invest substantial time and resources to expand our international operations and are unable to do so successfully and in a timely manner, our business and operating results will suffer. We continue to implement policies and procedures to facilitate our compliance with U.S. laws and regulations applicable to or arising from our international business. Inadequacies in our past or current compliance practices may increase the risk of inadvertent violations of such laws and regulations, which could lead to financial and other penalties that could damage our reputation and impose costs on us.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serif" w:hAnsi="Times New Roman;serif"/>
          <w:b/>
          <w:i/>
          <w:sz w:val="20"/>
        </w:rPr>
      </w:pPr>
      <w:r>
        <w:rPr>
          <w:rFonts w:ascii="Times New Roman;serif" w:hAnsi="Times New Roman;serif"/>
          <w:b/>
          <w:i/>
          <w:sz w:val="20"/>
        </w:rPr>
        <w:t>Our Restructuring Plan and associated organizational changes may not adequately reduce our operating costs or improve operating margins, may lead to additional workforce attrition, and may cause operational disruptions.</w:t>
      </w:r>
    </w:p>
    <w:p>
      <w:pPr>
        <w:pStyle w:val="TextBody"/>
        <w:bidi w:val="0"/>
        <w:spacing w:before="200" w:after="0"/>
        <w:jc w:val="left"/>
        <w:rPr>
          <w:rFonts w:ascii="Times New Roman" w:hAnsi="Times New Roman"/>
          <w:sz w:val="20"/>
        </w:rPr>
      </w:pPr>
      <w:r>
        <w:rPr>
          <w:rFonts w:ascii="Times New Roman;serif" w:hAnsi="Times New Roman;serif"/>
          <w:b w:val="false"/>
          <w:sz w:val="20"/>
        </w:rPr>
        <w:t>In January 2023, we implemented our Restructuring Plan, which was designed to reduce operating costs and enable investment in key opportunities for long-term growth while driving continued profitability. The Restructuring Plan included a reduction of the Company’s current workforce by approximately 7% and a lease consolidation to create higher density across our workspaces.</w:t>
      </w:r>
      <w:r>
        <w:rPr>
          <w:rFonts w:ascii="Times New Roman" w:hAnsi="Times New Roman"/>
          <w:sz w:val="20"/>
        </w:rPr>
        <w:t xml:space="preserve">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Restructuring Plan may yield unintended consequences and costs, such as the loss of institutional knowledge and expertise, employee attrition beyond our intended reduction in force, a reduction in morale among our remaining employees, greater-than-anticipated costs incurred in connection with implementing the Restructuring Plan, and the risk that we may not achieve the benefits from the Restructuring Plan to the extent or as quickly as we anticipate, all of which may have a material adverse effect on our results of operations or financial condition. These restructuring initiatives could place substantial demands on our management and employees, which could lead to the diversion of our management’s and employees’ attention from other business priorities. In addition, while certain positions have been eliminated in connection with the Restructuring Plan, certain functions necessary to our reduced operations remain, and we may be unsuccessful in distributing the duties and obligations of departed employees among our remaining employees or to external service providers, which could result in disruptions to our operations. We may also discover that the workforce reduction and other restructuring efforts will make it difficult for us to pursue new opportunities and initiatives and require us to hire qualified replacement personnel, which may require us to incur additional and unanticipated costs and expenses. We may further discover that, despite the implementation of our Restructuring Plan, we may require additional capital to continue expanding our business, and we may be unable to obtain such capital on acceptable terms, if at all. Our failure to successfully accomplish any of the above activities and goals may have a material adverse impact on our business, financial condition, and results of operations.</w:t>
      </w:r>
    </w:p>
    <w:p>
      <w:pPr>
        <w:pStyle w:val="TextBody"/>
        <w:bidi w:val="0"/>
        <w:spacing w:before="200" w:after="0"/>
        <w:jc w:val="left"/>
        <w:rPr>
          <w:rFonts w:ascii="Times New Roman;serif" w:hAnsi="Times New Roman;serif"/>
          <w:b/>
          <w:i/>
          <w:sz w:val="20"/>
        </w:rPr>
      </w:pPr>
      <w:r>
        <w:rPr>
          <w:rFonts w:ascii="Times New Roman;serif" w:hAnsi="Times New Roman;serif"/>
          <w:b/>
          <w:i/>
          <w:sz w:val="20"/>
        </w:rPr>
        <w:t>Social and ethical issues relating to the use of new and evolving technologies, such as AI, in our offerings may result in reputational harm and liability.</w:t>
      </w:r>
    </w:p>
    <w:p>
      <w:pPr>
        <w:pStyle w:val="TextBody"/>
        <w:bidi w:val="0"/>
        <w:spacing w:before="200" w:after="0"/>
        <w:jc w:val="left"/>
        <w:rPr>
          <w:rFonts w:ascii="Times New Roman" w:hAnsi="Times New Roman"/>
          <w:sz w:val="20"/>
        </w:rPr>
      </w:pPr>
      <w:r>
        <w:rPr>
          <w:rFonts w:ascii="Times New Roman;serif" w:hAnsi="Times New Roman;serif"/>
          <w:b w:val="false"/>
          <w:sz w:val="20"/>
        </w:rPr>
        <w:t>Social and ethical issues relating to the use of new and evolving technologies such as AI in our offerings, may result in reputational harm and liability, and may cause us to incur additional research and development costs to resolve such issues. We are increasingly building AI into many of our offerings including early-stage generative</w:t>
      </w:r>
      <w:r>
        <w:rPr>
          <w:rFonts w:ascii="Times New Roman" w:hAnsi="Times New Roman"/>
          <w:sz w:val="20"/>
        </w:rPr>
        <w:t xml:space="preserve"> </w:t>
      </w:r>
      <w:r>
        <w:rPr>
          <w:rFonts w:ascii="Times New Roman;serif" w:hAnsi="Times New Roman;serif"/>
          <w:b w:val="false"/>
          <w:sz w:val="20"/>
        </w:rPr>
        <w:t>AI features. As with many innovations, AI presents risks and challenges that could affect its adoption, and therefore our business. If we enable or offer solutions that draw controversy due to their perceived or actual impact on human rights, privacy, employment, or in other social contexts, we may experience brand or reputational harm, competitive harm or legal liability. Potential government regulation related to AI use and ethics may also increase the burden and cost of research and development in this area, and failure to properly remediate AI usage or ethics issues may cause public confidence in AI to be undermined, which could slow adoption of AI in our products and services. The rapid evolution of AI will require the application of resources to develop, test and maintain our products and services to help ensure that AI is implemented ethically in order to minimize unintended, harmful impact.</w:t>
      </w:r>
    </w:p>
    <w:p>
      <w:pPr>
        <w:pStyle w:val="TextBody"/>
        <w:bidi w:val="0"/>
        <w:spacing w:before="200" w:after="0"/>
        <w:jc w:val="left"/>
        <w:rPr/>
      </w:pPr>
      <w:r>
        <w:rPr/>
        <w:t> </w:t>
      </w:r>
    </w:p>
    <w:p>
      <w:pPr>
        <w:pStyle w:val="TextBody"/>
        <w:bidi w:val="0"/>
        <w:spacing w:before="200" w:after="0"/>
        <w:jc w:val="left"/>
        <w:rPr>
          <w:rFonts w:ascii="Times New Roman;serif" w:hAnsi="Times New Roman;serif"/>
          <w:b/>
          <w:sz w:val="20"/>
        </w:rPr>
      </w:pPr>
      <w:r>
        <w:rPr>
          <w:rFonts w:ascii="Times New Roman;serif" w:hAnsi="Times New Roman;serif"/>
          <w:b/>
          <w:sz w:val="20"/>
        </w:rPr>
        <w:t>Risks Related to Employee Matters</w:t>
      </w:r>
    </w:p>
    <w:p>
      <w:pPr>
        <w:pStyle w:val="TextBody"/>
        <w:bidi w:val="0"/>
        <w:spacing w:before="200" w:after="0"/>
        <w:jc w:val="left"/>
        <w:rPr>
          <w:rFonts w:ascii="Times New Roman;serif" w:hAnsi="Times New Roman;serif"/>
          <w:b/>
          <w:i/>
          <w:sz w:val="20"/>
        </w:rPr>
      </w:pPr>
      <w:r>
        <w:rPr>
          <w:rFonts w:ascii="Times New Roman;serif" w:hAnsi="Times New Roman;serif"/>
          <w:b/>
          <w:i/>
          <w:sz w:val="20"/>
        </w:rPr>
        <w:t>If we cannot maintain our company culture as we experience changes in our workforce, we could lose the innovation, teamwork, passion and focus on execution that we believe contribute to our success and our business may be harmed.</w:t>
      </w:r>
    </w:p>
    <w:p>
      <w:pPr>
        <w:pStyle w:val="TextBody"/>
        <w:bidi w:val="0"/>
        <w:spacing w:before="200" w:after="0"/>
        <w:jc w:val="left"/>
        <w:rPr>
          <w:rFonts w:ascii="Times New Roman" w:hAnsi="Times New Roman"/>
          <w:sz w:val="20"/>
        </w:rPr>
      </w:pPr>
      <w:r>
        <w:rPr>
          <w:rFonts w:ascii="Times New Roman;serif" w:hAnsi="Times New Roman;serif"/>
          <w:b w:val="false"/>
          <w:sz w:val="20"/>
        </w:rPr>
        <w:t>We believe that a critical component to our success has been our company culture, which is based on transparency and personal autonomy. We have invested substantial time and resources in building our team within this company culture. In January 2023, we authorized a workforce reduction impacting approximately 7% of our workforce as part of our Restructuring Plan. The workforce reduction may make it more difficult to preserve our company culture and may negatively impact employee morale. In 2020, we made the decision to permanently move to a hybrid workplace model, which means our employees have the option to be fully remote, work full-time from one of our offices, or work both in the office and remotely. Preservation of our corporate culture has been made more difficult as the majority of our workforce has been working from home, and may become more difficult due to the changes resulting from the Restructuring Plan. Any failure to preserve our culture could negatively affect our ability to retain and recruit personnel and to effectively focus on and pursue our corporate objectives. As we grow and continue to develop our company infrastructure, and experience organizational change, we may find it difficult to maintain these important aspects of our company culture and our business may be adversely impacted.</w:t>
        <w:br/>
        <w:br/>
      </w:r>
      <w:r>
        <w:rPr>
          <w:rFonts w:ascii="Times New Roman;serif" w:hAnsi="Times New Roman;serif"/>
          <w:b/>
          <w:i/>
          <w:sz w:val="20"/>
        </w:rPr>
        <w:t>We rely on our management team and other key employees, and the loss of one or more key employees could harm our business.</w:t>
      </w:r>
    </w:p>
    <w:p>
      <w:pPr>
        <w:pStyle w:val="TextBody"/>
        <w:bidi w:val="0"/>
        <w:spacing w:before="200" w:after="0"/>
        <w:jc w:val="left"/>
        <w:rPr>
          <w:rFonts w:ascii="Times New Roman" w:hAnsi="Times New Roman"/>
          <w:sz w:val="20"/>
        </w:rPr>
      </w:pPr>
      <w:r>
        <w:rPr>
          <w:rFonts w:ascii="Times New Roman;serif" w:hAnsi="Times New Roman;serif"/>
          <w:b w:val="false"/>
          <w:sz w:val="20"/>
        </w:rPr>
        <w:t>Our success and future growth depend upon the continued services of our management team, including our co-founders, Brian Halligan and Dharmesh Shah, our chief executive officer, Yamini Rangan, and other key employees in the areas of research and development, marketing, sales, services, operations, content management, and general and administrative functions. From time to time, there may be changes in our management team resulting from the hiring or departure of executives, which could disrupt our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 w:hAnsi="Times New Roman"/>
          <w:sz w:val="20"/>
        </w:rPr>
      </w:pPr>
      <w:r>
        <w:rPr>
          <w:rFonts w:ascii="Times New Roman;serif" w:hAnsi="Times New Roman;serif"/>
          <w:b w:val="false"/>
          <w:sz w:val="20"/>
        </w:rPr>
        <w:t>business. We also are dependent on the continued service of our existing software engineers and information technology personnel because of the complexity of our platform, technologies and infrastructure. We may terminate any employee’s employment at any time, with or without cause, and any employee may resign at any time, with or without cause. We do not have employment agreements with any of our key personnel. The loss of one or more of our key employees could harm our business.</w:t>
        <w:br/>
        <w:br/>
      </w:r>
      <w:r>
        <w:rPr>
          <w:rFonts w:ascii="Times New Roman;serif" w:hAnsi="Times New Roman;serif"/>
          <w:b/>
          <w:i/>
          <w:sz w:val="20"/>
        </w:rPr>
        <w:t>The failure to attract and retain additional qualified personnel could prevent us from executing our business strategy.</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To execute our business strategy, we must attract and retain highly qualified personnel. In particular, we compete with many other companies for software developers with high levels of experience in designing, developing and managing cloud-based software, as well as for skilled information technology, marketing, sales and operations professionals, and we may not be successful in attracting and retaining the professionals we need. Also, inbound sales, marketing, services, operations, and content management domain experts are very important to our success and are difficult to replace. We have from time to time in the past experienced, and we expect to continue to experience in the future, difficulty in hiring and difficulty in retaining highly skilled employees with appropriate qualifications. In particular, we have experienced a competitive hiring environment in the Greater Boston area, where we are headquartered and will continue to experience a competitive hiring environment as we recruit for remote talent worldwide. Many of the companies with which we compete for experienced personnel have greater resources than we do. The change by companies to offer a remote or hybrid work environment may increase the competition for such employees from employers outside of our traditional office locations. The workforce reduction we have implemented as part of our Restructuring Plan may negatively impact our ability to attract, integrate, retain and motivate highly qualified employees, and may harm our reputation with current or prospective employees. In addition, if we choose to no longer offer a remote or hybrid work environment, we may face more difficulty in retaining our workforce. Further, labor is subject to external factors that are beyond our control, including our industry’s highly competitive market for skilled workers and leaders, cost inflation, and workforce participation rates. In addition, if our reputation were to be harmed, whether as a result of media, legislative, or regulatory scrutiny or otherwise, it could make it more difficult to attract and retain personnel that are critical to the success of our business.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In addition, in making employment decisions, particularly in the software industry, job candidates often consider the value of equity incentives they are to receive in connection with their employment. If the price of our stock declines, or experiences significant volatility, our ability to attract or retain key employees will be adversely affected. If we fail to attract new personnel or fail to retain and motivate our current personnel, our growth prospects could be severely harmed.</w:t>
      </w:r>
    </w:p>
    <w:p>
      <w:pPr>
        <w:pStyle w:val="TextBody"/>
        <w:bidi w:val="0"/>
        <w:spacing w:before="200" w:after="0"/>
        <w:jc w:val="left"/>
        <w:rPr/>
      </w:pPr>
      <w:r>
        <w:rPr/>
        <w:t> </w:t>
      </w:r>
    </w:p>
    <w:p>
      <w:pPr>
        <w:pStyle w:val="TextBody"/>
        <w:bidi w:val="0"/>
        <w:spacing w:before="200" w:after="0"/>
        <w:jc w:val="left"/>
        <w:rPr>
          <w:rFonts w:ascii="Times New Roman;serif" w:hAnsi="Times New Roman;serif"/>
          <w:b/>
          <w:sz w:val="20"/>
        </w:rPr>
      </w:pPr>
      <w:r>
        <w:rPr>
          <w:rFonts w:ascii="Times New Roman;serif" w:hAnsi="Times New Roman;serif"/>
          <w:b/>
          <w:sz w:val="20"/>
        </w:rPr>
        <w:t>Risks Related to Global Economic Conditions</w:t>
      </w:r>
    </w:p>
    <w:p>
      <w:pPr>
        <w:pStyle w:val="TextBody"/>
        <w:bidi w:val="0"/>
        <w:spacing w:before="200" w:after="0"/>
        <w:jc w:val="left"/>
        <w:rPr>
          <w:rFonts w:ascii="Times New Roman;serif" w:hAnsi="Times New Roman;serif"/>
          <w:b/>
          <w:i/>
          <w:sz w:val="20"/>
        </w:rPr>
      </w:pPr>
      <w:r>
        <w:rPr>
          <w:rFonts w:ascii="Times New Roman;serif" w:hAnsi="Times New Roman;serif"/>
          <w:b/>
          <w:i/>
          <w:sz w:val="20"/>
        </w:rPr>
        <w:t>We are exposed to fluctuations in currency exchange rates that could adversely affect our financial results.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We face exposure to movements in currency exchange rates, which may cause our revenue and operating results to differ materially from expectations. As we have expanded our international operations, our exposure to exchange rate fluctuations has increased, in particular with respect to the Euro, British Pound Sterling, Australian Dollar, Singapore Dollar, Japanese Yen, Colombian Peso, and Canadian Dollar. Fluctuations in the value of the U.S. dollar versus foreign currencies may impact our operating results when translated into U.S. dollars. Thus, our results of operations and cash flows are subject to fluctuations due to changes in foreign currency exchange rates and may be adversely affected in the future due to changes in foreign currency exchange rates. As exchange rates vary, revenue, cost of revenue, operating expenses and other operating results, when re-measured, may differ materially from expectations. In addition, our operating results are subject to fluctuation if our mix of U.S. and foreign currency denominated transactions and expenses changes in the future. While we have limited currency exchange exposure to the Russian, Belarusian and Ukrainian currencies, we expect exchange rates with respect to these currencies to be volatile and other exchange rates may also be more volatile than normal as a result of the ongoing conflict between Russia and Ukraine. Such volatility, even when it increases our revenues or decreases our expenses, impacts our ability to predict our future results and earnings accurately. Although we may apply certain strategies to mitigate foreign currency risk, these strategies might not eliminate our exposure to foreign exchange rate fluctuations and would involve costs and risks of their own, such as ongoing management time and expertise, external costs to implement the strategies and potential accounting implications. Additionally, as we anticipate growing our business further outside of the United States, the effects of movements in currency exchange rates will increase as our transaction volume outside of the United States increases.</w:t>
      </w:r>
    </w:p>
    <w:p>
      <w:pPr>
        <w:pStyle w:val="TextBody"/>
        <w:bidi w:val="0"/>
        <w:spacing w:before="200" w:after="0"/>
        <w:jc w:val="left"/>
        <w:rPr>
          <w:rFonts w:ascii="Times New Roman;serif" w:hAnsi="Times New Roman;serif"/>
          <w:b/>
          <w:i/>
          <w:sz w:val="20"/>
        </w:rPr>
      </w:pPr>
      <w:r>
        <w:rPr>
          <w:rFonts w:ascii="Times New Roman;serif" w:hAnsi="Times New Roman;serif"/>
          <w:b/>
          <w:i/>
          <w:sz w:val="20"/>
        </w:rPr>
        <w:t>Weakened global economic conditions may harm our industry, business and results of operations.</w:t>
      </w:r>
    </w:p>
    <w:p>
      <w:pPr>
        <w:pStyle w:val="TextBody"/>
        <w:bidi w:val="0"/>
        <w:spacing w:before="200" w:after="0"/>
        <w:jc w:val="left"/>
        <w:rPr>
          <w:rFonts w:ascii="Times New Roman" w:hAnsi="Times New Roman"/>
          <w:sz w:val="20"/>
        </w:rPr>
      </w:pPr>
      <w:r>
        <w:rPr>
          <w:rFonts w:ascii="Times New Roman;serif" w:hAnsi="Times New Roman;serif"/>
          <w:b w:val="false"/>
          <w:sz w:val="20"/>
        </w:rPr>
        <w:t>Our overall performance depends in part on worldwide economic conditions. Global financial developments and downturns seemingly unrelated to us or the software industry may harm us. The United States and other key international economies have been affected from time to time by falling demand for a variety of goods and services, restricted credit, poor liquidity, reduced corporate profitability, volatility in credit, equity and foreign exchange markets, volatility in the banking sector, changes in the labor market, supply chain disruptions, bankruptcies, inflation and overall uncertainty with respect to the economy, including with respect to tariff and trade issues. Weak economic conditions or significant uncertainty regarding the stability of financial markets related to stock</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 w:hAnsi="Times New Roman"/>
          <w:sz w:val="20"/>
        </w:rPr>
      </w:pPr>
      <w:r>
        <w:rPr>
          <w:rFonts w:ascii="Times New Roman;serif" w:hAnsi="Times New Roman;serif"/>
          <w:b w:val="false"/>
          <w:sz w:val="20"/>
        </w:rPr>
        <w:t>market volatility, inflation, recession, changes in tariffs, trade agreements or governmental fiscal, monetary and tax policies, among others, could adversely impact our business, financial condition and operating results. Further, weak market conditions have, and could in the future result in, impairment of our investments and long-lived assets.</w:t>
      </w:r>
      <w:r>
        <w:rPr>
          <w:rFonts w:ascii="Times New Roman" w:hAnsi="Times New Roman"/>
          <w:sz w:val="20"/>
        </w:rPr>
        <w:t xml:space="preserve">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Further, the economies of countries in Europe have been experiencing weakness associated with high sovereign debt levels, weakness in the banking sector, uncertainty over the future of the Euro zone and volatility in the value of the pound sterling and the Euro and instability resulting from the ongoing conflict between Russia and Ukraine. The effect of the conflict between Russia and Ukraine, including any resulting sanctions, export controls or other restrictive actions that may be imposed against governmental or other entities in, for example, Russia, have in the past contributed and may in the future contribute to disruption, instability and volatility in the global markets. We have operations, as well as current and potential new customers, throughout Europe. If economic conditions in Europe and other key markets for our platform continue to remain uncertain or deteriorate further, it could adversely affect our customers’ ability or willingness to subscribe to our platform, delay prospective customers’ purchasing decisions, reduce the value or duration of their subscriptions or affect renewal rates, all of which could harm our operating results.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More recently, global inflation rates have increased to levels not seen in several decades, which may result in decreased demand for our products and services, increases in our operating costs, including our labor costs, constrained credit and liquidity, reduced government spending and volatility in financial markets. The Federal Reserve and other international government agencies have raised, and may again raise, interest rates in response to concerns over inflation risk. Increases in interest rates on credit and debt that would increase the cost of any borrowing that we may make from time to time and could impact our ability to access the capital markets. Increases in interest rates, especially if coupled with reduced government spending and volatility in financial markets, may have the effect of further increasing economic uncertainty and heightening these risks. In an inflationary environment, we may be unable to raise the sales prices of our products and services at or above the rate at which our costs increase, which could/would reduce our profit margins and have a material adverse effect on our financial results and net income. We also may experience lower than expected sales and potential adverse impacts on our competitive position if there is a decrease in consumer spending or a negative reaction to our pricing. A reduction in our revenue would be detrimental to our profitability and financial condition and could also have an adverse impact on our future growth.</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There continues to be uncertainty in the changing market and economic conditions, including the possibility of additional measures that could be taken by the Federal Reserve and other domestic and international government agencies, related to concerns over inflation risk. A sharp rise in interest rates could have an adverse impact on the fair market value of certain securities in our portfolio and investments in some financial instruments could pose risks arising from market liquidity and credit concerns, which could adversely affect our financial results.</w:t>
      </w:r>
    </w:p>
    <w:p>
      <w:pPr>
        <w:pStyle w:val="TextBody"/>
        <w:bidi w:val="0"/>
        <w:spacing w:before="200" w:after="0"/>
        <w:jc w:val="left"/>
        <w:rPr>
          <w:rFonts w:ascii="Times New Roman;serif" w:hAnsi="Times New Roman;serif"/>
          <w:b/>
          <w:i/>
          <w:sz w:val="20"/>
        </w:rPr>
      </w:pPr>
      <w:r>
        <w:rPr>
          <w:rFonts w:ascii="Times New Roman;serif" w:hAnsi="Times New Roman;serif"/>
          <w:b/>
          <w:i/>
          <w:sz w:val="20"/>
        </w:rPr>
        <w:t>The current economic downturn may lead to decreased demand for our products and services and otherwise harm our business and results of operations.</w:t>
      </w:r>
    </w:p>
    <w:p>
      <w:pPr>
        <w:pStyle w:val="TextBody"/>
        <w:bidi w:val="0"/>
        <w:spacing w:before="200" w:after="0"/>
        <w:jc w:val="left"/>
        <w:rPr>
          <w:rFonts w:ascii="Times New Roman" w:hAnsi="Times New Roman"/>
          <w:sz w:val="20"/>
        </w:rPr>
      </w:pPr>
      <w:r>
        <w:rPr>
          <w:rFonts w:ascii="Times New Roman;serif" w:hAnsi="Times New Roman;serif"/>
          <w:b w:val="false"/>
          <w:sz w:val="20"/>
        </w:rPr>
        <w:t>Our overall performance depends, in part, on worldwide economic conditions. In recent months, we have observed increased economic uncertainty in the United States and abroad. Impacts of such economic weakness include:</w:t>
      </w:r>
      <w:r>
        <w:rPr>
          <w:rFonts w:ascii="Times New Roman" w:hAnsi="Times New Roman"/>
          <w:sz w:val="20"/>
        </w:rPr>
        <w:t xml:space="preserve"> </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falling overall demand for goods and services, leading to reduced profitability;</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reduced credit availability;</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higher borrowing costs;</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reduced liquidity;</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changes in the labor market;</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supply chain disruptions;</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volatility in credit, equity and foreign exchange markets; and</w:t>
      </w:r>
    </w:p>
    <w:p>
      <w:pPr>
        <w:pStyle w:val="TextBody"/>
        <w:bidi w:val="0"/>
        <w:spacing w:before="200" w:after="0"/>
        <w:jc w:val="left"/>
        <w:rPr/>
      </w:pPr>
      <w:r>
        <w:rPr/>
        <w:t>•</w:t>
      </w:r>
    </w:p>
    <w:p>
      <w:pPr>
        <w:pStyle w:val="TextBody"/>
        <w:bidi w:val="0"/>
        <w:spacing w:before="200" w:after="283"/>
        <w:jc w:val="left"/>
        <w:rPr>
          <w:rFonts w:ascii="Times New Roman;serif" w:hAnsi="Times New Roman;serif"/>
          <w:b w:val="false"/>
          <w:sz w:val="20"/>
        </w:rPr>
      </w:pPr>
      <w:r>
        <w:rPr>
          <w:rFonts w:ascii="Times New Roman;serif" w:hAnsi="Times New Roman;serif"/>
          <w:b w:val="false"/>
          <w:sz w:val="20"/>
        </w:rPr>
        <w:t>bankruptcies.</w:t>
      </w:r>
    </w:p>
    <w:p>
      <w:pPr>
        <w:pStyle w:val="TextBody"/>
        <w:bidi w:val="0"/>
        <w:spacing w:before="200" w:after="0"/>
        <w:jc w:val="left"/>
        <w:rPr>
          <w:rFonts w:ascii="Times New Roman" w:hAnsi="Times New Roman"/>
          <w:sz w:val="20"/>
        </w:rPr>
      </w:pPr>
      <w:r>
        <w:rPr>
          <w:rFonts w:ascii="Times New Roman;serif" w:hAnsi="Times New Roman;serif"/>
          <w:b w:val="false"/>
          <w:sz w:val="20"/>
        </w:rPr>
        <w:t>These developments could lead to inflation, higher interest rates, and uncertainty about business continuity, which may adversely affect our business and our results of operations. As our customers react to global economic conditions and the potential for a global recession, we may see them reduce spending on our products and take additional precautionary measures to limit or delay expenditures and preserve capital and liquidity. Reductions in spending on our solutions, delays in purchasing decisions, lack of renewals, inability to attract new customers, as well as pressure for extended billing terms or pricing discounts, would limit our ability to grow our business and could negatively affect our operating results and financial</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 w:hAnsi="Times New Roman"/>
          <w:sz w:val="20"/>
        </w:rPr>
      </w:pPr>
      <w:r>
        <w:rPr>
          <w:rFonts w:ascii="Times New Roman;serif" w:hAnsi="Times New Roman;serif"/>
          <w:b w:val="false"/>
          <w:sz w:val="20"/>
        </w:rPr>
        <w:t>condition.</w:t>
        <w:br/>
        <w:br/>
      </w:r>
      <w:r>
        <w:rPr>
          <w:rFonts w:ascii="Times New Roman" w:hAnsi="Times New Roman"/>
          <w:sz w:val="20"/>
        </w:rPr>
        <w:t> </w:t>
      </w:r>
    </w:p>
    <w:p>
      <w:pPr>
        <w:pStyle w:val="TextBody"/>
        <w:bidi w:val="0"/>
        <w:spacing w:before="200" w:after="0"/>
        <w:jc w:val="left"/>
        <w:rPr>
          <w:rFonts w:ascii="Times New Roman;serif" w:hAnsi="Times New Roman;serif"/>
          <w:b/>
          <w:sz w:val="20"/>
        </w:rPr>
      </w:pPr>
      <w:r>
        <w:rPr>
          <w:rFonts w:ascii="Times New Roman;serif" w:hAnsi="Times New Roman;serif"/>
          <w:b/>
          <w:sz w:val="20"/>
        </w:rPr>
        <w:t>Risks Related to Our Technical Operations Infrastructure and Dependence on Third Parties</w:t>
      </w:r>
    </w:p>
    <w:p>
      <w:pPr>
        <w:pStyle w:val="TextBody"/>
        <w:bidi w:val="0"/>
        <w:spacing w:before="200" w:after="0"/>
        <w:jc w:val="left"/>
        <w:rPr>
          <w:rFonts w:ascii="Times New Roman;serif" w:hAnsi="Times New Roman;serif"/>
          <w:b/>
          <w:i/>
          <w:sz w:val="20"/>
        </w:rPr>
      </w:pPr>
      <w:r>
        <w:rPr>
          <w:rFonts w:ascii="Times New Roman;serif" w:hAnsi="Times New Roman;serif"/>
          <w:b/>
          <w:i/>
          <w:sz w:val="20"/>
        </w:rP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pStyle w:val="TextBody"/>
        <w:bidi w:val="0"/>
        <w:spacing w:before="200" w:after="0"/>
        <w:jc w:val="left"/>
        <w:rPr>
          <w:rFonts w:ascii="Times New Roman" w:hAnsi="Times New Roman"/>
          <w:sz w:val="20"/>
        </w:rPr>
      </w:pPr>
      <w:r>
        <w:rPr>
          <w:rFonts w:ascii="Times New Roman;serif" w:hAnsi="Times New Roman;serif"/>
          <w:b w:val="false"/>
          <w:sz w:val="20"/>
        </w:rPr>
        <w:t>We currently serve the majority of our platform functions from third-party data center hosting facilities operated by Amazon Web Services in the United States and Europe. We also have several colocations which host certain critical services (for example, VPN access) in various locations around the world. In addition, we use Cloudflare Global CDN to optimize content delivery across our locations.</w:t>
      </w:r>
      <w:r>
        <w:rPr>
          <w:rFonts w:ascii="Times New Roman" w:hAnsi="Times New Roman"/>
          <w:sz w:val="20"/>
        </w:rPr>
        <w:t xml:space="preserve">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Any damage to, or failure of, the systems of our third-party providers could result in interruptions to our platform. Despite precautions taken at our data centers, the occurrence of spikes in usage volume, a natural disaster, such as earthquakes or hurricane, an act of terrorism, geopolitical conflict, vandalism or sabotage, a disruptive cyber attack, a decision to close a facility without adequate notice, power or telecommunications failures or other unanticipated problems at a facility could result in lengthy interruptions in the availability of our on-demand software. In the event that any of our third-party facilities arrangements is terminated, or if there is a lapse of service or damage to a facility, we could experience interruptions in our platform as well as delays and additional expenses in arranging new facilities and services.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fail to renew their subscriptions, any of which could materially adversely affect our business.</w:t>
      </w:r>
    </w:p>
    <w:p>
      <w:pPr>
        <w:pStyle w:val="TextBody"/>
        <w:bidi w:val="0"/>
        <w:spacing w:before="200" w:after="0"/>
        <w:jc w:val="left"/>
        <w:rPr>
          <w:rFonts w:ascii="Times New Roman;serif" w:hAnsi="Times New Roman;serif"/>
          <w:b/>
          <w:i/>
          <w:sz w:val="20"/>
        </w:rPr>
      </w:pPr>
      <w:r>
        <w:rPr>
          <w:rFonts w:ascii="Times New Roman;serif" w:hAnsi="Times New Roman;serif"/>
          <w:b/>
          <w:i/>
          <w:sz w:val="20"/>
        </w:rPr>
        <w:t>If our CRM Platform has outages or fails due to defects or similar problems, and if we fail to correct any defect or other software problems, we could lose customers, become subject to service performance or warranty claims or incur significant costs.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Our CRM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additional defects in the future. We may not be able to detect and correct defects or errors before customers begin to use our platform or its applications. Consequently, we or our customers may discover defects or errors after our platform has been implemented. Defects or errors could result in product outages and could also cause inaccuracies in the data we collect and process for our customers, or even the loss, damage or inadvertent release of such confidential data. We implement bug fixes and upgrades as part of our regular system maintenance, which may lead to system downtime. Even if we are able to implement the bug fixes and upgrades in a timely manner, any history of product outages, defects or inaccuracies in the data we collect for our customers, or the loss, damage or inadvertent release of confidential data could cause our reputation to be harmed, and customers may elect not to purchase or renew their agreements with us. Furthermore, these issues could subject us to service performance credits (whether offered by us or required by contract), warranty claims or increased insurance costs. The costs associated with product outages, any material defects or errors in our platform or other performance problems may be substantial and could materially adversely affect our operating results.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In addition, third-party applications and features on our CRM Platform may not meet the same quality standards that we apply to our own development efforts and, to the extent they contain bugs, vulnerabilities or defects, they may create disruptions in our customers’ use of our products, lead to data loss, unauthorized access to customer data, damage our brand and reputation and affect the continued use of our products, any of which could harm our business, results of operations and financial condition.</w:t>
      </w:r>
    </w:p>
    <w:p>
      <w:pPr>
        <w:pStyle w:val="TextBody"/>
        <w:bidi w:val="0"/>
        <w:spacing w:before="200" w:after="0"/>
        <w:jc w:val="left"/>
        <w:rPr>
          <w:rFonts w:ascii="Times New Roman" w:hAnsi="Times New Roman"/>
          <w:sz w:val="20"/>
        </w:rPr>
      </w:pPr>
      <w:r>
        <w:rPr>
          <w:rFonts w:ascii="Times New Roman;serif" w:hAnsi="Times New Roman;serif"/>
          <w:b/>
          <w:i/>
          <w:sz w:val="20"/>
        </w:rPr>
        <w:t>If our information technology systems, including our CRM Platform, have outages or fail due to defects or similar problems, and if we fail to correct any defect or other software problems, it could disrupt our internal operations or services provided to customers, and could reduce our revenue, increase our expenses, damage our reputation and adversely affect our cash flows and stock price.</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We rely on our information technology systems, including the sustained and uninterrupted performance of our CRM Platform, to manage numerous aspects of our business, including marketing, sales, content management, customer service and other internal operations. Our information technology systems are an essential component of our business and any disruption could significantly limit our ability to manage and operate our business efficiently.</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Our CRM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in the future additional defects, outages, delays or cessations of service, performance and quality problems or may produce errors in connection with systems integrations, migration work or other causes, which could result in business disruptions and the process of remediating them could be more expensive, time-consuming, disruptive and resource intensive than planned. Such disruptions could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adversely impact our internal operations and interrupt other processes. Delayed sales, lower margins or lost customers resulting from these disruptions could reduce our revenue, increase our expenses, damage our reputation and adversely affect our cash flows and stock price.</w:t>
      </w:r>
    </w:p>
    <w:p>
      <w:pPr>
        <w:pStyle w:val="TextBody"/>
        <w:bidi w:val="0"/>
        <w:spacing w:before="200" w:after="0"/>
        <w:jc w:val="left"/>
        <w:rPr>
          <w:rFonts w:ascii="Times New Roman;serif" w:hAnsi="Times New Roman;serif"/>
          <w:b/>
          <w:i/>
          <w:sz w:val="20"/>
        </w:rPr>
      </w:pPr>
      <w:r>
        <w:rPr>
          <w:rFonts w:ascii="Times New Roman;serif" w:hAnsi="Times New Roman;serif"/>
          <w:b/>
          <w:i/>
          <w:sz w:val="20"/>
        </w:rPr>
        <w:t>We are dependent on the continued availability of third-party data hosting and transmission services.</w:t>
      </w:r>
    </w:p>
    <w:p>
      <w:pPr>
        <w:pStyle w:val="TextBody"/>
        <w:bidi w:val="0"/>
        <w:spacing w:before="200" w:after="0"/>
        <w:jc w:val="left"/>
        <w:rPr>
          <w:rFonts w:ascii="Times New Roman" w:hAnsi="Times New Roman"/>
          <w:sz w:val="20"/>
        </w:rPr>
      </w:pPr>
      <w:r>
        <w:rPr>
          <w:rFonts w:ascii="Times New Roman;serif" w:hAnsi="Times New Roman;serif"/>
          <w:b w:val="false"/>
          <w:sz w:val="20"/>
        </w:rPr>
        <w:t>A significant portion of our operating cost is from our third-party data hosting and transmission services, including Amazon Web Services (“AWS”), which hosts the substantial majority of our products and platform. If the costs for such services increase due to vendor consolidation, regulation, contract renegotiation, or otherwise, we may not be able to increase the fees for our CRM Platform or services to cover the changes, which could have a negative impact on our operating results.</w:t>
      </w:r>
      <w:r>
        <w:rPr>
          <w:rFonts w:ascii="Times New Roman" w:hAnsi="Times New Roman"/>
          <w:sz w:val="20"/>
        </w:rPr>
        <w:t xml:space="preserve">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Additionally, our customers need to be able to access our platform at any time, without interruption or degradation of performance. AWS runs its own platform that we access, and we are, therefore, vulnerable to service interruptions at AWS. We have experienced, and expect that in the future we may experience interruptions, delays and outages in service and availability due to a variety of factors, including infrastructure changes, human or software errors, website hosting disruptions and capacity constraints. In some instances, including because we do not control our service providers, we may not be able to identify the cause or causes of these problems within a period of time acceptable to our customers. Additionally, as our business continues to grow, to the extent that we do not effectively address capacity constraints, through our providers of cloud infrastructure, our results of operations may be adversely affected. In addition, any changes in service levels from our service providers may adversely affect our ability to meet our customers’ requirements, result in negative publicity which could harm our reputation and brand and may adversely affect the usage of our platform.</w:t>
      </w:r>
    </w:p>
    <w:p>
      <w:pPr>
        <w:pStyle w:val="TextBody"/>
        <w:bidi w:val="0"/>
        <w:spacing w:before="200" w:after="0"/>
        <w:jc w:val="left"/>
        <w:rPr>
          <w:rFonts w:ascii="Times New Roman;serif" w:hAnsi="Times New Roman;serif"/>
          <w:b/>
          <w:i/>
          <w:sz w:val="20"/>
        </w:rPr>
      </w:pPr>
      <w:r>
        <w:rPr>
          <w:rFonts w:ascii="Times New Roman;serif" w:hAnsi="Times New Roman;serif"/>
          <w:b/>
          <w:i/>
          <w:sz w:val="20"/>
        </w:rPr>
        <w:t>If we do not or cannot maintain the compatibility of our CRM Platform with third-party applications that our customers use in their businesses, our revenue will decline.</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A significant percentage of our customers choose to integrate our platform with certain capabilities provided by third-party application providers using application programming interfaces (“APIs”) published by these providers. The functionality and popularity of our CRM Platform depends, in part, on our ability to integrate our platform with third-party applications and platforms, including CRM, CMS, e-commerce, call center, analytics and social media sites that our customers use and from which they obtain data. Third-party providers of applications and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platform, which could negatively impact our offerings and harm our business. If we fail to integrate our platform with new third-party applications and platforms that our customers use for marketing, sales, services, operations or content management purposes, or fail to renew existing relationships pursuant to which we currently provide such integration, we may not be able to offer the functionality that our customers need, which would negatively impact our ability to generate new revenue or maintain existing revenue and adversely impact our business.</w:t>
      </w:r>
    </w:p>
    <w:p>
      <w:pPr>
        <w:pStyle w:val="TextBody"/>
        <w:bidi w:val="0"/>
        <w:spacing w:before="200" w:after="0"/>
        <w:jc w:val="left"/>
        <w:rPr>
          <w:rFonts w:ascii="Times New Roman;serif" w:hAnsi="Times New Roman;serif"/>
          <w:b/>
          <w:i/>
          <w:sz w:val="20"/>
        </w:rPr>
      </w:pPr>
      <w:r>
        <w:rPr>
          <w:rFonts w:ascii="Times New Roman;serif" w:hAnsi="Times New Roman;serif"/>
          <w:b/>
          <w:i/>
          <w:sz w:val="20"/>
        </w:rPr>
        <w:t>We rely on data provided by third parties, the loss of which could limit the functionality of our platform and disrupt our business.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Select functionality of our CRM Platform depends on our ability to deliver data, including search engine results and social media updates, provided by unaffiliated third parties, such as Facebook, Google, LinkedIn and Twitter. Some of this data is provided to us pursuant to third-party data sharing policies and terms of use, under data sharing agreements by third-party providers or by customer consent. In the future, any of these third parties could change its data sharing policies, including making them more restrictive, or alter its algorithms that determine the placement, display, and accessibility of search results and social media updates, any of which could result in the loss of, or significant impairment to, our ability to collect and provide useful data to our customers. These third parties could also interpret our, or our service providers’ data collection policies or practices as being inconsistent with their policies, which could result in the loss of our ability to collect this data for our customers. Any such changes could impair our ability to deliver data to our customers and could adversely impact select functionality of our platform, impairing the return on investment that our customers derive from using our solution, as well as adversely affecting our business and our ability to generate revenue.</w:t>
      </w:r>
    </w:p>
    <w:p>
      <w:pPr>
        <w:pStyle w:val="TextBody"/>
        <w:bidi w:val="0"/>
        <w:spacing w:before="200" w:after="0"/>
        <w:jc w:val="left"/>
        <w:rPr>
          <w:rFonts w:ascii="Times New Roman;serif" w:hAnsi="Times New Roman;serif"/>
          <w:b/>
          <w:i/>
          <w:sz w:val="20"/>
        </w:rPr>
      </w:pPr>
      <w:r>
        <w:rPr>
          <w:rFonts w:ascii="Times New Roman;serif" w:hAnsi="Times New Roman;serif"/>
          <w:b/>
          <w:i/>
          <w:sz w:val="20"/>
        </w:rPr>
        <w:t>Privacy concerns and end users’ acceptance of Internet behavior tracking may limit the applicability, use and adoption of our CRM Platform.</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Privacy concerns may cause end users to resist providing the personal data necessary to allow our customers to use our platform effectively. We have implemented various features intended to enable our customers to better protect end user privacy, but these measures may not alleviate all potential privacy concerns and threats. Even the perception of privacy concerns, whether or not valid, may inhibit market adoption of our platform. Privacy advocacy groups and the technology and other industries are considering various new, additional or different self-regulatory standards that may place additional burdens on us. The costs of compliance with, and other burdens imposed by these groups’ policies and actions may limit the use and adoption of our CRM Platform and reduce overall demand for it, or lead to significant fines, penalties or liabilities for any noncompliance or loss of any such action.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serif" w:hAnsi="Times New Roman;serif"/>
          <w:b/>
          <w:i/>
          <w:sz w:val="20"/>
        </w:rPr>
      </w:pPr>
      <w:r>
        <w:rPr>
          <w:rFonts w:ascii="Times New Roman;serif" w:hAnsi="Times New Roman;serif"/>
          <w:b/>
          <w:i/>
          <w:sz w:val="20"/>
        </w:rPr>
        <w:t>If our or our customers’ security measures are compromised or unauthorized access to data of our customers or their customers is otherwise obtained, our CRM Platform may be perceived as not being secure, our customers may be harmed and may curtail or cease their use of our platform, our reputation may be damaged and we may incur significant liabilities.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Our operations involve the storage and transmission of data of our customers and their customers, including personal data. Our storage is typically the sole source of record for portions of our customers’ businesses and end user data, such as initial contact information and online interactions. Security incidents could result in unauthorized access to, loss of or unauthorized disclosure of this information, litigation, indemnity obligations and other possible liabilities, as well as negative publicity, which could damage our reputation, impair our sales and harm our customers and our business. Cyber-attacks and other malicious Internet-based activity continue to increase generally, and cloud-based platform providers of marketing services have been targeted. If our security measures, or those of our service providers, are compromised as a result of third-party action, employee or customer error, malfeasance, stolen or fraudulently obtained log-in credentials or otherwise, our reputation could be damaged, our business may be harmed and we could incur significant liability. Additionally, if third parties with whom we work, such as vendors or developers, violate applicable laws, our security policies or our acceptable use policy, such violations may also put our customers’ information at risk and could in turn have an adverse effect on our business. In addition, if the security measures of our customers or our service providers are compromised, even without any actual compromise of our own systems, we may face negative publicity or reputational harm if our customers or anyone else incorrectly attributes the blame for such security breaches to us or our systems. We may be unable to anticipate or prevent techniques used to obtain unauthorized access or to sabotage systems because they change frequently and generally are not detected until after an incident has occurred. As we increase our customer base and our brand becomes more widely known and recognized, we may become more of a target for third parties seeking to compromise our security systems or gain unauthorized access to our customers’ data. Additionally, we provide extensive access to our database, which stores our customer data, to our development team to facilitate our rapid pace of product development. If such access or our own operations cause the loss, damage or destruction of our customers’ business data, their sales, lead generation, support and other business operations may be permanently harmed. As a result, our customers may bring claims against us for lost profits and other damages, or such concerns may cause us to limit access by our development team. Additionally, in certain of our subscription agreements with our customers, we agree to indemnify these customers against claims by a third party alleging our breach of confidentiality obligations or our misuse of customer data in violation of the subscription agreement.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Cyber-attacks, denial-of-service attacks, ransomware attacks, business email compromises, computer malware, viruses, and social engineering (including phishing) are prevalent in our industry, the industries of certain of our service providers and our customers' industries. Our internal computer systems and those of our current and any future strategic collaborators, vendors, and other contractors or consultants are vulnerable to damage from cyber-attacks, computer viruses, unauthorized access, natural disasters, cybersecurity threats, terrorism, geopolitical conflict, war and telecommunication and electrical failures. Accordingly, if our cybersecurity measures or those of our service providers fail to protect against unauthorized access, attacks (which may include sophisticated cyber-attacks), compromise or the mishandling of data by our employees and contractors, then our reputation, customer trust, business, results of operations and financial condition could be adversely affected. 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The techniques used to sabotage or to obtain unauthorized access to our platform, systems, networks, or physical facilities in which data is stored or through which data is transmitted change frequently, and we may be unable to implement adequate preventative measures or stop security breaches while they are occurring. Because the techniques used by threat actors who may attempt to penetrate and sabotage our computer systems change frequently and may not be recognized until launched against a target, we may be unable to anticipate these techniques. Additionally, as remote work and resource access expand, there is an increased risk that we may experience cybersecurity-related events such as phishing attacks, exploitation of any cybersecurity flaws that may exist, an increase in the number of cybersecurity threats or attacks, and other security challenges as a result of most of our employees and our service providers continuing to work remotely from non-corporate managed networks. There is also a risk of potential increase in such attacks due to cyberwarfare in connection with the ongoing conflict between Russia and Ukraine, and this could adversely affect our and our suppliers' ability to maintain or enhance key cybersecurity and data protection measures. We have previously been, and may in the future become, the target of cyber-attacks by third parties seeking unauthorized access to our or our customers' data, systems, or infrastructure, or to disrupt our operations or ability to provide our services.</w:t>
      </w:r>
    </w:p>
    <w:p>
      <w:pPr>
        <w:pStyle w:val="TextBody"/>
        <w:bidi w:val="0"/>
        <w:spacing w:before="200" w:after="0"/>
        <w:jc w:val="left"/>
        <w:rPr>
          <w:rFonts w:ascii="Times New Roman" w:hAnsi="Times New Roman"/>
          <w:sz w:val="20"/>
        </w:rPr>
      </w:pPr>
      <w:r>
        <w:rPr>
          <w:rFonts w:ascii="Times New Roman;serif" w:hAnsi="Times New Roman;serif"/>
          <w:b w:val="false"/>
          <w:sz w:val="20"/>
        </w:rPr>
        <w:t>Additionally, it is also possible that unauthorized access to sensitive customer and business data may be obtained through inadequate use of security controls by our customers, suppliers or other vendors. While we are not currently aware of any material impact that the SolarWinds, Log4j, Kaseya, or other recent supply chain attacks had on our business, new information on the scope of such attacks is continuing to emerge and there is a residual risk that we may experience a security breach arising from one of these, or a similar, supply chain attack in the future. Supply chain attacks are becoming increasingly common, and we may not be able to anticipate and prevent negative impacts from such an attack. If we are impacted by a supply chain attack, we could incur liability, our competitive position could be harmed and the further development and commercialization of our product and services could be hindered or delayed.</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Recent cybersecurity incidents and compromises affecting large institutions, including an incident that affected us, suggest that the risk of such events is significant, even if privacy protection and security measures are implemented and enforced. A cyber-attack</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could result in a material disruption of our development programs and our business operations, whether due to a loss of our trade secrets or other proprietary information or other disruptions. These cyber-attacks could be carried out by threat actors of all types (including but not limited to nation states, organized crime, other criminal enterprises, individual actors and/or advanced persistent threat groups). In addition, we may experience intrusions on our physical premises by any of these threat actors. To the extent that any disruption or security breach were to result in a loss of, or damage to, our data or applications, or inappropriate disclosure of confidential or proprietary information, we could incur liability, incur significant costs associated with remediation and the implementation of additional security measures, including costs to deploy additional personnel and protection technologies, train employees, and engage third-party experts and consultants, and our competitive position could be harmed. Any breach, loss, or compromise of personal data may also subject us to civil fines and penalties, or claims for damages either under the General Data Protection Regulation (the “EU GDPR”), the EU GDPR as incorporated into United Kingdom law, and relevant member state law in the European Union, other foreign laws, and other relevant state and federal privacy laws in the United States.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Many governments have enacted laws requiring companies to notify individuals of data security incidents or unauthorized transfers involving certain types of personal data. In addition, the data processing agreement we execute with our customers contractually requires us to notify them of any personal data breach. Under payment card network rules and our contracts with our payment processors, if there is a breach of payment card information that we store, or that is stored by our direct payment card processing vendors, we could be liable to the payment card issuing banks for their cost of issuing new cards and related expenses. Data breaches and other data security compromises experienced by our competitors, by our customers or by us may lead to public disclosures, which may lead to widespread negative publicity. Any security compromise in our industry, whether actual or perceived, could harm our reputation, erode customer confidence in the effectiveness of our security measures, negatively impact our ability to attract new customers, cause existing customers to elect not to renew their subscriptions or subject us to third-party lawsuits, regulatory fines or other action or liability, which could materially and adversely affect our business and operating results.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There can be no assurance that any limitations of liability provisions in our contracts for a security breach would be enforceable or adequate or would otherwise protect us from any such liabilities or damages with respect to any particular claim. We also cannot be sure that our existing insurance coverage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operating results.</w:t>
      </w:r>
    </w:p>
    <w:p>
      <w:pPr>
        <w:pStyle w:val="TextBody"/>
        <w:bidi w:val="0"/>
        <w:spacing w:before="200" w:after="0"/>
        <w:jc w:val="left"/>
        <w:rPr/>
      </w:pPr>
      <w:r>
        <w:rPr/>
        <w:t> </w:t>
      </w:r>
    </w:p>
    <w:p>
      <w:pPr>
        <w:pStyle w:val="TextBody"/>
        <w:bidi w:val="0"/>
        <w:spacing w:before="200" w:after="0"/>
        <w:jc w:val="left"/>
        <w:rPr>
          <w:rFonts w:ascii="Times New Roman;serif" w:hAnsi="Times New Roman;serif"/>
          <w:b/>
          <w:sz w:val="20"/>
        </w:rPr>
      </w:pPr>
      <w:r>
        <w:rPr>
          <w:rFonts w:ascii="Times New Roman;serif" w:hAnsi="Times New Roman;serif"/>
          <w:b/>
          <w:sz w:val="20"/>
        </w:rPr>
        <w:t>Risks Related to Intellectual Property</w:t>
      </w:r>
    </w:p>
    <w:p>
      <w:pPr>
        <w:pStyle w:val="TextBody"/>
        <w:bidi w:val="0"/>
        <w:spacing w:before="200" w:after="0"/>
        <w:jc w:val="left"/>
        <w:rPr>
          <w:rFonts w:ascii="Times New Roman;serif" w:hAnsi="Times New Roman;serif"/>
          <w:b/>
          <w:i/>
          <w:sz w:val="20"/>
        </w:rPr>
      </w:pPr>
      <w:r>
        <w:rPr>
          <w:rFonts w:ascii="Times New Roman;serif" w:hAnsi="Times New Roman;serif"/>
          <w:b/>
          <w:i/>
          <w:sz w:val="20"/>
        </w:rPr>
        <w:t>Our business may suffer if it is alleged or determined that our technology infringes the intellectual property rights of others.</w:t>
      </w:r>
    </w:p>
    <w:p>
      <w:pPr>
        <w:pStyle w:val="TextBody"/>
        <w:bidi w:val="0"/>
        <w:spacing w:before="200" w:after="0"/>
        <w:jc w:val="left"/>
        <w:rPr>
          <w:rFonts w:ascii="Times New Roman" w:hAnsi="Times New Roman"/>
          <w:sz w:val="20"/>
        </w:rPr>
      </w:pPr>
      <w:r>
        <w:rPr>
          <w:rFonts w:ascii="Times New Roman;serif" w:hAnsi="Times New Roman;serif"/>
          <w:b w:val="false"/>
          <w:sz w:val="20"/>
        </w:rPr>
        <w:t>The software industry is characterized by the existence of a large number of patents, copyrights, trademarks, trade secrets and other intellectual and proprietary rights. Companies in the software industry, including those in marketing software, are often required to defend against litigation claims based on allegations of infringement or other violations of intellectual property rights. Many of our competitors and other industry participants have been issued patents and/or have filed patent applications and may assert patent or other intellectual property rights within the industry.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services and/or platform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 Our technologies may not be able to withstand any third-party claims or rights against their use. Claims of intellectual property infringement might require us to redesign our application, delay releases, enter into costly settlement or license agreements or pay costly damage awards, or face a temporary or permanent injunction prohibiting us from marketing or selling our platform. If we cannot or do not license the infringed technology on reasonable terms or at all, or substitute similar technology from another source, our revenue and operating results could be adversely impacted. Additionally, our customers may not purchase our CRM Platform if they are concerned that they may infringe third-party intellectual property rights. The occurrence of any of these events may have a material adverse effect on our business.</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In certain of our subscription agreements with customers, we agree to indemnify these customers against claims by a third party alleging infringement of a valid patent, registered copyright or registered trademark. However, whether or not a subscription agreement includes an indemnity obligation in favor of a customer, there can be no assurance that customers will not assert a common law indemnity claim or that any existing limitations of liability provisions in our contracts would be enforceable or adequate, or would otherwise protect us from any such liabilities or damages with respect to any particular claim. Our customers who are accused of intellectual property infringement may in the future seek indemnification from us under common law or other legal theories. If such claims are successful, or if we are required to indemnify or defend our customers from these or other claims, these matters could be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disruptive to our business and management and have a material adverse effect on our business, operating results and financial condition.</w:t>
      </w:r>
    </w:p>
    <w:p>
      <w:pPr>
        <w:pStyle w:val="TextBody"/>
        <w:bidi w:val="0"/>
        <w:spacing w:before="200" w:after="0"/>
        <w:jc w:val="left"/>
        <w:rPr>
          <w:rFonts w:ascii="Times New Roman;serif" w:hAnsi="Times New Roman;serif"/>
          <w:b/>
          <w:i/>
          <w:sz w:val="20"/>
        </w:rPr>
      </w:pPr>
      <w:r>
        <w:rPr>
          <w:rFonts w:ascii="Times New Roman;serif" w:hAnsi="Times New Roman;serif"/>
          <w:b/>
          <w:i/>
          <w:sz w:val="20"/>
        </w:rPr>
        <w:t>If we fail to adequately protect our proprietary rights, in the United States and abroad, our competitive position could be impaired and we may lose valuable assets, experience reduced revenue and incur costly litigation to protect our rights.</w:t>
      </w:r>
    </w:p>
    <w:p>
      <w:pPr>
        <w:pStyle w:val="TextBody"/>
        <w:bidi w:val="0"/>
        <w:spacing w:before="200" w:after="0"/>
        <w:jc w:val="left"/>
        <w:rPr>
          <w:rFonts w:ascii="Times New Roman" w:hAnsi="Times New Roman"/>
          <w:sz w:val="20"/>
        </w:rPr>
      </w:pPr>
      <w:r>
        <w:rPr>
          <w:rFonts w:ascii="Times New Roman;serif" w:hAnsi="Times New Roman;serif"/>
          <w:b w:val="false"/>
          <w:sz w:val="20"/>
        </w:rPr>
        <w:t>Our success is dependent, in part, upon protecting our proprietary technology. We rely on a combination of copyrights, trademarks, service marks, trade secret laws and contractual restrictions to establish and protect our proprietary rights in our products and services. However, the steps we take to protect our intellectual property may be inadequate. We will not be able to protect our intellectual property if we are unable to enforce our rights or if we do not detect unauthorized use of our intellectual property. Any of our trademarks or other intellectual property rights may be challenged by others or invalidated through administrative process or litigation. Furthermore, legal standards relating to the validity, enforceability and scope of protection of intellectual property rights are uncertain. Despite our precautions, it may be possible for unauthorized third parties to copy our technology and use information that we regard as proprietary to create products and services that compete with ours. Some license provisions protecting against unauthorized use, copying, transfer and disclosure of our offerings may be unenforceable under the laws of certain jurisdictions and foreign countries. In addition, the laws of some countries do not protect proprietary rights to the same extent as the laws of the United States. To the extent we expand our international activities, our exposure to unauthorized copying and use of our technology and proprietary information may increase.</w:t>
      </w:r>
      <w:r>
        <w:rPr>
          <w:rFonts w:ascii="Times New Roman" w:hAnsi="Times New Roman"/>
          <w:sz w:val="20"/>
        </w:rPr>
        <w:t xml:space="preserve">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We may be required to spend significant resources to monitor and protect our intellectual property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could delay further sales or the implementation of our platform and offerings, impair the functionality of our platform and offerings, delay introductions of new features or enhancements, result in our substituting inferior or more costly technologies into our platform and offerings, or injure our reputation.</w:t>
      </w:r>
    </w:p>
    <w:p>
      <w:pPr>
        <w:pStyle w:val="TextBody"/>
        <w:bidi w:val="0"/>
        <w:spacing w:before="200" w:after="0"/>
        <w:jc w:val="left"/>
        <w:rPr>
          <w:rFonts w:ascii="Times New Roman;serif" w:hAnsi="Times New Roman;serif"/>
          <w:b/>
          <w:i/>
          <w:sz w:val="20"/>
        </w:rPr>
      </w:pPr>
      <w:r>
        <w:rPr>
          <w:rFonts w:ascii="Times New Roman;serif" w:hAnsi="Times New Roman;serif"/>
          <w:b/>
          <w:i/>
          <w:sz w:val="20"/>
        </w:rPr>
        <w:t>Our use of “open source” software could negatively affect our ability to offer our platform and subject us to possible litigation.</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A substantial portion of our cloud-based platform incorporates so-called “open source” software, and we may incorporate additional open source software in the future. Open source software is generally freely accessible, usable and modifiable. Certain open source licenses may, in certain circumstances, require us to offer the components of our platform that incorporate the open source software for no cost, that we make available source code for modifications or derivative works we create based upon, incorporating or using the open source software and that we license such modifications or derivative works under the terms of the particular open source license. If an author or other third party that distributes open source software we use were to allege that we had not complied with the conditions of one or more of these licenses, we could be required to incur significant legal expenses defending against such allegations and could be subject to significant damages, including being enjoined from the offering of the components of our platform that contained the open source software and being required to comply with the foregoing conditions, which could disrupt our ability to offer the affected software. We could also be subject to suits by parties claiming ownership of what we believe to be open source software. Litigation could be costly for us to defend, have a negative effect on our operating results and financial condition and require us to devote additional research and development resources to change our products.</w:t>
      </w:r>
    </w:p>
    <w:p>
      <w:pPr>
        <w:pStyle w:val="TextBody"/>
        <w:bidi w:val="0"/>
        <w:spacing w:before="200" w:after="0"/>
        <w:jc w:val="left"/>
        <w:rPr/>
      </w:pPr>
      <w:r>
        <w:rPr/>
        <w:t> </w:t>
      </w:r>
    </w:p>
    <w:p>
      <w:pPr>
        <w:pStyle w:val="TextBody"/>
        <w:bidi w:val="0"/>
        <w:spacing w:before="200" w:after="0"/>
        <w:jc w:val="left"/>
        <w:rPr>
          <w:rFonts w:ascii="Times New Roman" w:hAnsi="Times New Roman"/>
          <w:sz w:val="20"/>
        </w:rPr>
      </w:pPr>
      <w:r>
        <w:rPr>
          <w:rFonts w:ascii="Times New Roman;serif" w:hAnsi="Times New Roman;serif"/>
          <w:b/>
          <w:sz w:val="20"/>
        </w:rPr>
        <w:t>Risks Related to Government Regulation</w:t>
      </w:r>
      <w:r>
        <w:rPr>
          <w:rFonts w:ascii="Times New Roman" w:hAnsi="Times New Roman"/>
          <w:sz w:val="20"/>
        </w:rPr>
        <w:t xml:space="preserve"> </w:t>
      </w:r>
    </w:p>
    <w:p>
      <w:pPr>
        <w:pStyle w:val="TextBody"/>
        <w:bidi w:val="0"/>
        <w:spacing w:before="200" w:after="0"/>
        <w:jc w:val="left"/>
        <w:rPr>
          <w:rFonts w:ascii="Times New Roman;serif" w:hAnsi="Times New Roman;serif"/>
          <w:b/>
          <w:i/>
          <w:sz w:val="20"/>
        </w:rPr>
      </w:pPr>
      <w:r>
        <w:rPr>
          <w:rFonts w:ascii="Times New Roman;serif" w:hAnsi="Times New Roman;serif"/>
          <w:b/>
          <w:i/>
          <w:sz w:val="20"/>
        </w:rPr>
        <w:t>We are subject to governmental regulation and other legal obligations, particularly related to privacy, data protection and information security, and our actual or perceived failure to comply with such obligations could harm our business. Compliance with such laws could also impair our efforts to maintain and expand our customer base, and thereby decrease our revenue.</w:t>
      </w:r>
    </w:p>
    <w:p>
      <w:pPr>
        <w:pStyle w:val="TextBody"/>
        <w:bidi w:val="0"/>
        <w:spacing w:before="200" w:after="0"/>
        <w:jc w:val="left"/>
        <w:rPr>
          <w:rFonts w:ascii="Times New Roman" w:hAnsi="Times New Roman"/>
          <w:sz w:val="20"/>
        </w:rPr>
      </w:pPr>
      <w:r>
        <w:rPr>
          <w:rFonts w:ascii="Times New Roman;serif" w:hAnsi="Times New Roman;serif"/>
          <w:b w:val="false"/>
          <w:sz w:val="20"/>
        </w:rPr>
        <w:t>Our handling of data is subject to a variety of laws and regulations, including regulation by various government agencies, including the U.S. Federal Trade Commission (“FTC”), and state attorneys general, and various state, local and foreign agencies, such as the California Privacy Protection Agency and EU data protection authorities. We collect personal data and other data from our customers, prospects, and partners. We also handle personal data about our customers’ customers. We use and share this information to provide services to our customers, to support, expand and improve our business.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U.S. federal and various state and foreign governments have adopted or proposed limitations on the collection, processing, distribution, use, storage and safeguarding of personal data. In the United States, the FTC and many state attorneys general are applying federal and state privacy and consumer protection laws to impose standards for the online collection, use and dissemination of personal and other data. However, these obligations may be interpreted and applied in a manner that is inconsistent from one jurisdiction to another and may conflict with other requirements or our practices. Any failure or perceived failure by us to comply with privacy or data security laws, policies, legal obligations or industry standards or any security incident that results in the unauthorized, disclosure, release or transfer of personal data or other customer data may result in governmental enforcement actions, litigation, fines and penalties and/or adverse publicity, and could cause our customers to lose trust in us, which could have an adverse effect on our reputation and business.</w:t>
      </w:r>
    </w:p>
    <w:p>
      <w:pPr>
        <w:pStyle w:val="TextBody"/>
        <w:bidi w:val="0"/>
        <w:spacing w:before="200" w:after="0"/>
        <w:jc w:val="left"/>
        <w:rPr>
          <w:rFonts w:ascii="Times New Roman" w:hAnsi="Times New Roman"/>
          <w:sz w:val="20"/>
        </w:rPr>
      </w:pPr>
      <w:r>
        <w:rPr>
          <w:rFonts w:ascii="Times New Roman;serif" w:hAnsi="Times New Roman;serif"/>
          <w:b w:val="false"/>
          <w:sz w:val="20"/>
        </w:rPr>
        <w:t>Laws and regulations governing privacy, data protection and cybersecurity are rapidly evolving, and changes to such laws and regulations could require us to change features of our platform or restrict our customers’ ability to collect and use email addresses, page viewing data and other personal data, which may reduce demand for our platform. Our failure to comply with federal, state and foreign privacy and cybersecurity laws and regulations could harm our ability to successfully operate our business and pursue our business goals.</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For example, the California Consumer Privacy Act (the “CCPA”), as amended by the California Privacy Rights Act (the “CPRA”), among other things, require covered companies to provide new disclosures to California residents and afford such individuals the ability to opt out of the sales or sharing of their personal data. The CCPA may require us to modify our data collection or processing practices and policies and to potentially incur substantial costs and expenses in an effort to comply. In addition to increasing our potential exposure to regulatory enforcement, the CCPA also provides for violations and a limited private right of action, which may increase our exposure to civil litigation.</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Other states, including Virginia, Colorado, Utah, Connecticut, Iowa, Indiana, Montana, Tennessee, and Texas have now passed comprehensive privacy and data security laws, which impose obligations on covered businesses similar – but not identical – to those under the CCPA. Such laws will enter into force in 2023 and beyond. A number of other states have proposed similar or sector specific privacy legislation,; and the U.S. Congress is considering legislation that may preempt some or all of such U.S. state privacy laws, providing a more robust private right of action. The evolving complexity of privacy and data security legislation in the U.S. may complicate our compliance efforts and further increase our risk of regulatory enforcement, penalties and litigation.</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In addition, many foreign jurisdictions in which we do business, including the European Union, Japan, United Kingdom, Canada, Australia, and others have laws and regulations dealing with the collection and use of personal data obtained from their residents, which are more restrictive in certain respects than those in the U.S. Laws and regulations in these jurisdictions apply broadly to the collection, use, storage, disclosure and security of personal data that identifies or may be used to identify an individual. In relevant part, these foreign laws and regulations may affect our ability to engage in lead generation activities by imposing heightened requirements, such as affirmative opt-ins or other consent prior to sending commercial correspondence, obtaining leads or engaging in electronic tracking activities that aid our marketing and business intelligence. We may be required to modify our policies, procedures, and data processing measures in order to address requirements under these or other privacy, data protection, or cyber security regimes, and may face claims, litigation, investigations, or other proceedings regarding them and may incur related liabilities, expenses, costs, and operational losses.</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Within the European Union, the EU GDPR, and in the United Kingdom, the EU GDPR as incorporated into the laws of the United Kingdom (the “UK GDPR” together with the EU GDPR, the “GDPR”), impose heightened obligations and risk upon our business and may substantially increase the penalties to which we could be subject in the event of any non-compliance. Non-compliance with the GDPR and the related national data protection laws of the European Union Member States may result in monetary penalties of up to €20 million (£17.5 million) or 4% of worldwide annual revenue, whichever is higher.</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The proliferation of privacy and data protection laws has heightened risks and uncertainties concerning cross-border transfers of personal data and other data, which could impose significant compliance costs and expenses on our business, increase our potential exposure to regulatory enforcement and/or litigation, and have a negative effect on our existing business and on our ability to attract and retain new customers. To enable the transfer of personal data outside of the European Union or United Kingdom, adequate safeguards must be implemented in compliance with data protection laws. On June 4, 2021, the European Commission published new versions of its Standard Contractual Clauses (“SCCs”), which are required for all transfers of personal data from the European Union to third countries (including the U.S). The United Kingdom is not subject to the new SCCs but has its own equivalent, being the international data transfer agreement and/or UK Addendum (“IDTAs”). The IDTAs must be entered into for new contracts, but allow for a transition period until March 21, 2024 for existing contracts. Our customer agreements include the updated SCCs and UK IDTAs. We are in the process of transitioning to the IDTAs for existing contracts, and doing so will require significant effort and cost. Under the new SCCs and IDTAs, companies are also required to assess the risk of a data transfer on a case-by-case basis by undertaking a transfer impact assessment, and may be required to adopt additional measures to accomplish transfers of personal data to United States and other third countries. There continue to be concerns about whether the SCCs will face additional challenges. Until the remaining legal uncertainties regarding how to legally continue these transfers are settled, we will continue to face uncertainty as to whether our customers will be permitted to transfer personal data to the United States for processing by us as part of our platform</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 w:hAnsi="Times New Roman"/>
          <w:sz w:val="20"/>
        </w:rPr>
      </w:pPr>
      <w:r>
        <w:rPr>
          <w:rFonts w:ascii="Times New Roman;serif" w:hAnsi="Times New Roman;serif"/>
          <w:b w:val="false"/>
          <w:sz w:val="20"/>
        </w:rPr>
        <w:t>services. Our customers may view data transfer mechanisms and the requirement to undertake a transfer impact assessment as being too costly, too burdensome, too legally uncertain or otherwise objectionable and therefore decide not to do business with us.</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We publicly post documentation regarding our practices concerning the collection, processing, use and disclosure of data. Although we endeavor to comply with our published policies and documentation, we may at times fail to do so or be alleged to have failed to do so. Any failure or perceived failure by us to comply with our privacy policies or any applicable privacy, security or data protection, information security or consumer-protection related laws, regulations, orders or industry standards could expose us to costly litigation, significant awards, fines or judgments, civil and/or criminal penalties or negative publicity, and could materially and adversely affect our business, financial condition and results of operations. The publication of our privacy policy and other documentation that provide promises and assurances about privacy and security can subject us to potential state and federal action if they are found to be deceptive, unfair, or misrepresentative of our actual practices, which could, individually or in the aggregate, materially and adversely affect our business, financial condition and results of operations.</w:t>
      </w:r>
      <w:r>
        <w:rPr>
          <w:rFonts w:ascii="Times New Roman" w:hAnsi="Times New Roman"/>
          <w:sz w:val="20"/>
        </w:rPr>
        <w:t xml:space="preserve">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If our privacy or data security measures fail to comply with current or future laws and regulations, we may be subject to claims, legal proceedings or other actions by individuals or governmental authorities based on privacy or data protection regulations and our commitments to customers or others, as well as negative publicity and a potential loss of business. Moreover, if future laws and regulations limit our subscribers’ ability to use and share personal data or our ability to store, process and share personal data, demand for our solutions could decrease, our costs could increase, and our business, results of operations and financial condition could be harmed.</w:t>
      </w:r>
    </w:p>
    <w:p>
      <w:pPr>
        <w:pStyle w:val="TextBody"/>
        <w:bidi w:val="0"/>
        <w:spacing w:before="200" w:after="0"/>
        <w:jc w:val="left"/>
        <w:rPr>
          <w:rFonts w:ascii="Times New Roman" w:hAnsi="Times New Roman"/>
          <w:sz w:val="20"/>
        </w:rPr>
      </w:pPr>
      <w:r>
        <w:rPr>
          <w:rFonts w:ascii="Times New Roman;serif" w:hAnsi="Times New Roman;serif"/>
          <w:b w:val="false"/>
          <w:sz w:val="20"/>
        </w:rPr>
        <w:t>Separately, as the regulatory framework for machine learning technology and AI evolves, it is possible that new laws and regulations will be adopted, or that existing laws and regulations may be interpreted in ways that would affect our business and the ways in which we use AI and machine learning technology, our financial condition and our results of operations, including as a result of the cost to comply with such laws or regulations. Further, potential government regulation related to AI use and ethics may also increase the burden and cost of research and development in this area, and failure to properly remediate AI usage or ethics issues may cause public confidence in AI to be undermined, which could slow adoption of AI in our products and services.</w:t>
      </w:r>
      <w:r>
        <w:rPr>
          <w:rFonts w:ascii="Times New Roman" w:hAnsi="Times New Roman"/>
          <w:sz w:val="20"/>
        </w:rPr>
        <w:t xml:space="preserve"> </w:t>
      </w:r>
    </w:p>
    <w:p>
      <w:pPr>
        <w:pStyle w:val="TextBody"/>
        <w:bidi w:val="0"/>
        <w:spacing w:before="200" w:after="0"/>
        <w:jc w:val="left"/>
        <w:rPr>
          <w:rFonts w:ascii="Times New Roman;serif" w:hAnsi="Times New Roman;serif"/>
          <w:b/>
          <w:i/>
          <w:sz w:val="20"/>
        </w:rPr>
      </w:pPr>
      <w:r>
        <w:rPr>
          <w:rFonts w:ascii="Times New Roman;serif" w:hAnsi="Times New Roman;serif"/>
          <w:b/>
          <w:i/>
          <w:sz w:val="20"/>
        </w:rPr>
        <w:t>We could face liability, or our reputation might be harmed, as a result of the activities of our customers, the content of their websites or the data they store on our servers.</w:t>
      </w:r>
    </w:p>
    <w:p>
      <w:pPr>
        <w:pStyle w:val="TextBody"/>
        <w:bidi w:val="0"/>
        <w:spacing w:before="200" w:after="0"/>
        <w:jc w:val="left"/>
        <w:rPr>
          <w:rFonts w:ascii="Times New Roman" w:hAnsi="Times New Roman"/>
          <w:sz w:val="20"/>
        </w:rPr>
      </w:pPr>
      <w:r>
        <w:rPr>
          <w:rFonts w:ascii="Times New Roman;serif" w:hAnsi="Times New Roman;serif"/>
          <w:b w:val="false"/>
          <w:sz w:val="20"/>
        </w:rPr>
        <w:t>As a provider of a cloud-based inbound marketing, sales and customer service software platform, we may be subject to potential liability for the activities of our customers on or in connection with the data they store on our servers. Although our customer terms of use prohibit illegal use of our services by our customers and permit us to take down websites or take other appropriate actions for illegal use, customers may nonetheless engage in prohibited activities or upload or store content with us in violation of applicable law or the customer’s own policies, which could subject us to liability or harm our reputation. Furthermore, customers may upload, store, or use content on our CRM Platform that may violate our policy on acceptable use which prohibits content that is threatening, abusive, harassing, deceptive, false, misleading, vulgar, obscene, or indecent. While such content may not be illegal, use of our CRM Platform for such content could harm our reputation resulting in a loss of business.</w:t>
      </w:r>
      <w:r>
        <w:rPr>
          <w:rFonts w:ascii="Times New Roman" w:hAnsi="Times New Roman"/>
          <w:sz w:val="20"/>
        </w:rPr>
        <w:t xml:space="preserve">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Several U.S. federal statutes may apply to us with respect to various customer activities:</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Digital Millennium Copyright Act of 1998 ("DMCA"), provides recourse for owners of copyrighted material who believe that their rights under U.S. copyright law have been infringed on the Internet. Under the DMCA, based on our current business activity as an Internet service provider that does not own or control website content posted by our customers, we generally are not liable for infringing content posted by our customers or other third parties, provided that we follow the procedures for handling copyright infringement claims set forth in the DMCA. Generally, if we receive a proper notice from, or on behalf, of a copyright owner alleging infringement of copyrighted material located on websites we host, and we fail to expeditiously remove or disable access to the allegedly infringing material or otherwise fail to meet the requirements of the safe harbor provided by the DMCA, the copyright owner may seek to impose liability on us. Technical mistakes in complying with the detailed DMCA take-down procedures could subject us to liability for copyright infringement.</w:t>
      </w:r>
    </w:p>
    <w:p>
      <w:pPr>
        <w:pStyle w:val="TextBody"/>
        <w:bidi w:val="0"/>
        <w:spacing w:before="200" w:after="0"/>
        <w:jc w:val="left"/>
        <w:rPr/>
      </w:pPr>
      <w:r>
        <w:rPr/>
        <w:t>•</w:t>
      </w:r>
    </w:p>
    <w:p>
      <w:pPr>
        <w:pStyle w:val="TextBody"/>
        <w:bidi w:val="0"/>
        <w:spacing w:before="200" w:after="283"/>
        <w:jc w:val="left"/>
        <w:rPr>
          <w:rFonts w:ascii="Times New Roman;serif" w:hAnsi="Times New Roman;serif"/>
          <w:b w:val="false"/>
          <w:sz w:val="20"/>
        </w:rPr>
      </w:pPr>
      <w:r>
        <w:rPr>
          <w:rFonts w:ascii="Times New Roman;serif" w:hAnsi="Times New Roman;serif"/>
          <w:b w:val="false"/>
          <w:sz w:val="20"/>
        </w:rPr>
        <w:t xml:space="preserve">The Communications Decency Act of 1996 ("CDA"), generally protects online service providers, such as us, from liability for certain activities of their customers, such as the posting of defamatory or obscene content, unless the online service provider is participating in the unlawful conduct. Under the CDA, we are generally not responsible for the customer-created content hosted on our servers. Consequently, we do not monitor hosted websites or prescreen the content placed by our customers on their sites. However, the CDA does not apply in foreign jurisdictions and we may nonetheless be brought into disputes between our customers and third parties which would require us to devote management time and resources to resolve such matters and any publicity from such matters could also have an adverse effect on our reputation and therefore our business.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pPr>
      <w:r>
        <w:rPr/>
        <w:t>•</w:t>
      </w:r>
    </w:p>
    <w:p>
      <w:pPr>
        <w:pStyle w:val="TextBody"/>
        <w:bidi w:val="0"/>
        <w:spacing w:before="200" w:after="283"/>
        <w:jc w:val="left"/>
        <w:rPr>
          <w:rFonts w:ascii="Times New Roman;serif" w:hAnsi="Times New Roman;serif"/>
          <w:b w:val="false"/>
          <w:sz w:val="20"/>
        </w:rPr>
      </w:pPr>
      <w:r>
        <w:rPr>
          <w:rFonts w:ascii="Times New Roman;serif" w:hAnsi="Times New Roman;serif"/>
          <w:b w:val="false"/>
          <w:sz w:val="20"/>
        </w:rPr>
        <w:t>In addition to the CDA, the Securing the Protection of our Enduring and Established Constitutional Heritage Act (the "SPEECH Act"), provides a statutory exception to the enforcement by a U.S. court of a foreign judgment for defamation under certain circumstances. Generally, the exception applies if the defamation law applied in the foreign court did not provide at least as much protection for freedom of speech and press as would be provided by the First Amendment of the U.S. Constitution or by the constitution and law of the state in which the U.S. court is located, or if no finding of defamation would be supported under the First Amendment of the U.S. Constitution or under the constitution and law of the state in which the U.S. court is located. Although the SPEECH Act may protect us from the enforcement of foreign judgments in the United States, it does not affect the enforceability of the judgment in the foreign country that issued the judgment. Given our international presence, we may therefore, nonetheless, have to defend against or comply with any foreign judgments made against us, which could take up substantial management time and resources and damage our reputation.</w:t>
      </w:r>
    </w:p>
    <w:p>
      <w:pPr>
        <w:pStyle w:val="TextBody"/>
        <w:bidi w:val="0"/>
        <w:spacing w:before="200" w:after="0"/>
        <w:jc w:val="left"/>
        <w:rPr>
          <w:rFonts w:ascii="Times New Roman" w:hAnsi="Times New Roman"/>
          <w:sz w:val="20"/>
        </w:rPr>
      </w:pPr>
      <w:r>
        <w:rPr>
          <w:rFonts w:ascii="Times New Roman;serif" w:hAnsi="Times New Roman;serif"/>
          <w:b w:val="false"/>
          <w:sz w:val="20"/>
        </w:rPr>
        <w:t>Although these statutes and case law in the United States have generally shielded us from liability for customer activities to date, court rulings in pending or future litigation may narrow the scope of protection afforded us under these laws. In addition, laws governing these activities are unsettled in many international jurisdictions, or may prove difficult or impossible for us to comply with in some international jurisdictions. Also, notwithstanding the exculpatory language of these bodies of law, we may become involved in complaints and lawsuits which, even if ultimately resolved in our favor, add cost to our doing business and may divert management’s time and attention. Finally, other existing bodies of law, including the criminal laws of various states, may be deemed to apply or new statutes or regulations may be adopted in the future, any of which could expose us to further liability and increase our costs of doing business.</w:t>
      </w:r>
      <w:r>
        <w:rPr>
          <w:rFonts w:ascii="Times New Roman" w:hAnsi="Times New Roman"/>
          <w:sz w:val="20"/>
        </w:rPr>
        <w:t xml:space="preserve">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Additionally, Payments, our end-to-end payment solution built natively as part of our CRM Platform, is susceptible to potentially illegal or improper uses, including money laundering, terrorist financing, fraudulent or illegal sales of goods or services, piracy of software, movies, music, and other copyrighted or trademarked information, bank fraud, securities fraud, pyramid or ponzi schemes, or the facilitation of other illegal or improper activity. While we engage a third party as our registered payment facilitator, the use of Payments for illegal or improper uses may subject us to claims (including claims brought by our third-party payment processor), government and regulatory requests, inquiries, or investigations that could result in liability, and harm our reputation. Moreover, certain activity that may be legal in one jurisdiction may be illegal in another jurisdiction, and a merchant may be found responsible for intentionally or inadvertently importing or exporting illegal goods, resulting in liability for us. Owners of intellectual property rights or government authorities may seek to bring legal action against providers of payments solutions, including Payments, that are peripherally involved in the sale of infringing or allegedly infringing items. Any threatened or resulting claims could result in reputational harm, and any resulting liabilities, loss of transaction volume, or increased costs could harm our business.</w:t>
      </w:r>
    </w:p>
    <w:p>
      <w:pPr>
        <w:pStyle w:val="TextBody"/>
        <w:bidi w:val="0"/>
        <w:spacing w:before="200" w:after="0"/>
        <w:jc w:val="left"/>
        <w:rPr>
          <w:rFonts w:ascii="Times New Roman" w:hAnsi="Times New Roman"/>
          <w:sz w:val="20"/>
        </w:rPr>
      </w:pPr>
      <w:r>
        <w:rPr>
          <w:rFonts w:ascii="Times New Roman;serif" w:hAnsi="Times New Roman;serif"/>
          <w:b w:val="false"/>
          <w:sz w:val="20"/>
        </w:rPr>
        <w:t>If Payments is used for illegal or improper uses, we may incur substantial losses as a result of claims from merchants and consumers. Allowances for transaction losses that we have established may be insufficient to cover incurred losses. Moreover, if measures to detect and reduce the risk of fraud are not effective and our loss rate is higher than anticipated, Payments and our business could be negatively impacted.</w:t>
      </w:r>
      <w:r>
        <w:rPr>
          <w:rFonts w:ascii="Times New Roman" w:hAnsi="Times New Roman"/>
          <w:sz w:val="20"/>
        </w:rPr>
        <w:t xml:space="preserve"> </w:t>
      </w:r>
    </w:p>
    <w:p>
      <w:pPr>
        <w:pStyle w:val="TextBody"/>
        <w:bidi w:val="0"/>
        <w:spacing w:before="200" w:after="0"/>
        <w:jc w:val="left"/>
        <w:rPr>
          <w:rFonts w:ascii="Times New Roman;serif" w:hAnsi="Times New Roman;serif"/>
          <w:b/>
          <w:i/>
          <w:sz w:val="20"/>
        </w:rPr>
      </w:pPr>
      <w:r>
        <w:rPr>
          <w:rFonts w:ascii="Times New Roman;serif" w:hAnsi="Times New Roman;serif"/>
          <w:b/>
          <w:i/>
          <w:sz w:val="20"/>
        </w:rPr>
        <w:t>The standards that private entities use to regulate the use of email have in the past interfered with, and may in the future interfere with, the effectiveness of our CRM Platform and our ability to conduct business.</w:t>
      </w:r>
    </w:p>
    <w:p>
      <w:pPr>
        <w:pStyle w:val="TextBody"/>
        <w:bidi w:val="0"/>
        <w:spacing w:before="200" w:after="0"/>
        <w:jc w:val="left"/>
        <w:rPr>
          <w:rFonts w:ascii="Times New Roman" w:hAnsi="Times New Roman"/>
          <w:sz w:val="20"/>
        </w:rPr>
      </w:pPr>
      <w:r>
        <w:rPr>
          <w:rFonts w:ascii="Times New Roman;serif" w:hAnsi="Times New Roman;serif"/>
          <w:b w:val="false"/>
          <w:sz w:val="20"/>
        </w:rPr>
        <w:t>Our customers rely on email to communicate with their existing or prospective customers. Various private entities attempt to regulate the use of email for commercial solicitation. These entities often advocate standards of conduct or practice that significantly exceed current legal requirements and classify certain email solicitations that comply with current legal requirements as spam. Some of these entities maintain “blacklists” of companies and individuals, and the websites, internet service providers and internet protocol addresses associated with those entities or individuals that do not adhere to those standards of conduct or practices for commercial email solicitations that the blacklisting entity believes are appropriate. If a company’s internet protocol addresses are listed by a blacklisting entity, emails sent from those addresses may be blocked if they are sent to any internet domain or internet address that subscribes to the blacklisting entity’s service or purchases its blacklist.</w:t>
      </w:r>
      <w:r>
        <w:rPr>
          <w:rFonts w:ascii="Times New Roman" w:hAnsi="Times New Roman"/>
          <w:sz w:val="20"/>
        </w:rPr>
        <w:t xml:space="preserve">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From time to time, some of our internet protocol addresses may become listed with one or more blacklisting entities due to the messaging practices of our customers. There can be no guarantee that we will be able to successfully remove ourselves from those lists. Blacklisting of this type could interfere with our ability to market our CRM Platform and services and communicate with our customers and, because we fulfill email delivery on behalf of our customers, could undermine the effectiveness of our customers’ email marketing campaigns, all of which could have a material negative impact on our business and results of operations.</w:t>
      </w:r>
    </w:p>
    <w:p>
      <w:pPr>
        <w:pStyle w:val="TextBody"/>
        <w:bidi w:val="0"/>
        <w:spacing w:before="200" w:after="0"/>
        <w:jc w:val="left"/>
        <w:rPr>
          <w:rFonts w:ascii="Times New Roman;serif" w:hAnsi="Times New Roman;serif"/>
          <w:b/>
          <w:i/>
          <w:sz w:val="20"/>
        </w:rPr>
      </w:pPr>
      <w:r>
        <w:rPr>
          <w:rFonts w:ascii="Times New Roman;serif" w:hAnsi="Times New Roman;serif"/>
          <w:b/>
          <w:i/>
          <w:sz w:val="20"/>
        </w:rPr>
        <w:t>Existing federal, state and foreign laws regulate Internet tracking software, the senders of commercial emails and text messages, website owners and other activities, and could impact the use of our CRM Platform and potentially subject us to regulatory enforcement or private litigation.</w:t>
      </w:r>
    </w:p>
    <w:p>
      <w:pPr>
        <w:pStyle w:val="TextBody"/>
        <w:bidi w:val="0"/>
        <w:spacing w:before="200" w:after="0"/>
        <w:jc w:val="left"/>
        <w:rPr>
          <w:rFonts w:ascii="Times New Roman" w:hAnsi="Times New Roman"/>
          <w:sz w:val="20"/>
        </w:rPr>
      </w:pPr>
      <w:r>
        <w:rPr>
          <w:rFonts w:ascii="Times New Roman;serif" w:hAnsi="Times New Roman;serif"/>
          <w:b w:val="false"/>
          <w:sz w:val="20"/>
        </w:rPr>
        <w:t>Certain aspects of how our customers utilize our platform are subject to regulations in the United States, European Union and elsewhere. In recent years, U.S. and European lawmakers and regulators have expressed concern over the use of third-party cookies or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 w:hAnsi="Times New Roman"/>
          <w:sz w:val="20"/>
        </w:rPr>
      </w:pPr>
      <w:r>
        <w:rPr>
          <w:rFonts w:ascii="Times New Roman;serif" w:hAnsi="Times New Roman;serif"/>
          <w:b w:val="false"/>
          <w:sz w:val="20"/>
        </w:rPr>
        <w:t>web beacons for online behavioral advertising, and legislation adopted recently in the European Union requires informed consent for the placement of a cookie on a user’s device. Regulation of cookies and web beacons may lead to restrictions on our activities, such as efforts to understand users’ Internet usage. New and expanding “Do Not Track” regulations have recently been enacted or proposed that protect users’ right to choose whether or not to be tracked online. These regulations seek, among other things, to allow end users to have greater control over the use of private information collected online, to forbid the collection or use of online information, to demand a business to comply with their choice to opt out of such collection or use, and to place limits upon the disclosure of information to third-party websites. These policies could have a significant impact on the operation of our CRM Platform and could impair our attractiveness to customers, which would harm our business.</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Many of our customers and potential customers in the healthcare, financial services and other industries are subject to substantial regulation regarding their collection, use and protection of data and may be the subject of further regulation in the future. Accordingly, these laws or significant new laws or regulations or changes in, or repeals of, existing laws, regulations or governmental policy may change the way these customers do business and may require us to implement additional features or offer additional contractual terms to satisfy customer and regulatory requirements, or could cause the demand for and sales of our CRM Platform to decrease and adversely impact our financial results.</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serif" w:hAnsi="Times New Roman;serif"/>
          <w:b w:val="false"/>
          <w:sz w:val="20"/>
        </w:rPr>
        <w:t>In addition, the Controlling the Assault of Non-Solicited Pornography and Marketing Act of 2003 ("CAN-SPAM Act"), establishes certain requirements for commercial email messages and specifies penalties for the transmission of commercial email messages that are intended to deceive the recipient as to source or content. The CAN-SPAM Act, among other things, obligates the sender of commercial emails to provide recipients with the ability to opt out of receiving future commercial emails from the sender. The ability of our customers’ message recipients to opt out of receiving commercial emails may minimize the effectiveness of the email components of our CRM Platform. In addition, certain states and foreign jurisdictions, such as Australia, Canada and the European Union, have enacted laws that regulate sending email, and some of these laws are more restrictive than U.S. laws. For example, some foreign laws prohibit sending unsolicited email unless the recipient has provided the sender advance consent to receipt of such email, or in other words has “opted-in” to receiving it. A requirement that recipients opt into, or the ability of recipients to opt out of, receiving commercial emails may minimize the effectiveness of our platform.</w:t>
      </w:r>
      <w:r>
        <w:rPr>
          <w:rFonts w:ascii="Times New Roman" w:hAnsi="Times New Roman"/>
          <w:sz w:val="20"/>
        </w:rPr>
        <w:t xml:space="preserve">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While these laws and regulations generally govern our customers’ use of our CRM Platform, we may be subject to certain laws as a data processor on behalf of, or as a business associate of, our customers. For example, laws and regulations governing the collection, use and disclosure of personal data include, in the United States, rules and regulations promulgated under the authority of the Federal Trade Commission, the Health Insurance Portability and Accountability Act of 1996, the Gramm-Leach-Bliley Act of 1999 and state breach notification laws, and internationally, the GDPR and other privacy and data protection laws. If we were found to be in violation of any of these laws or regulations as a result of government enforcement or private litigation, we could be subjected to civil and criminal sanctions, including both monetary fines and injunctive action that could force us to change our business practices, all of which could adversely affect our financial performance and significantly harm our reputation and our business.</w:t>
      </w:r>
    </w:p>
    <w:p>
      <w:pPr>
        <w:pStyle w:val="TextBody"/>
        <w:bidi w:val="0"/>
        <w:spacing w:before="200" w:after="0"/>
        <w:jc w:val="left"/>
        <w:rPr>
          <w:rFonts w:ascii="Times New Roman;serif" w:hAnsi="Times New Roman;serif"/>
          <w:b/>
          <w:i/>
          <w:sz w:val="20"/>
        </w:rPr>
      </w:pPr>
      <w:r>
        <w:rPr>
          <w:rFonts w:ascii="Times New Roman;serif" w:hAnsi="Times New Roman;serif"/>
          <w:b/>
          <w:i/>
          <w:sz w:val="20"/>
        </w:rPr>
        <w:t>We are subject to governmental export controls and economic sanctions laws that could impair our ability to compete in international markets and subject us to liability if we are not in full compliance with applicable laws.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Our business activities are subject to various restrictions under U.S. export controls and trade and economic sanctions laws, including the U.S. Commerce Department’s Export Administration Regulations and economic and trade sanctions regulations maintained by the U.S. Treasury Department’s Office of Foreign Assets Control. If we fail to comply with these laws and regulations, we and certain of our employees could be subject to civil or criminal penalties and reputational harm. Obtaining the necessary authorizations, including any required license, for a particular transaction may be time-consuming, is not guaranteed, and may result in the delay or loss of sales opportunities. Furthermore, U.S. export control laws and economic sanctions laws prohibit certain transactions with U.S. embargoed or sanctioned countries, governments, persons and entities. These sanctions laws with which we must comply may also change rapidly from time to time as a result of geopolitical events, such as the recent imposition of sanctions on Russia as a result of the conflict between Russia and Ukraine. Although we take precautions to prevent transactions with U.S. sanction targets, the possibility exists that we could inadvertently provide our solutions to persons prohibited by U.S. sanctions. This could result in negative consequences to us, including government investigations, penalties and reputational harm.</w:t>
      </w:r>
    </w:p>
    <w:p>
      <w:pPr>
        <w:pStyle w:val="TextBody"/>
        <w:bidi w:val="0"/>
        <w:spacing w:before="200" w:after="0"/>
        <w:jc w:val="left"/>
        <w:rPr>
          <w:rFonts w:ascii="Times New Roman;serif" w:hAnsi="Times New Roman;serif"/>
          <w:b/>
          <w:sz w:val="20"/>
        </w:rPr>
      </w:pPr>
      <w:r>
        <w:rPr>
          <w:rFonts w:ascii="Times New Roman;serif" w:hAnsi="Times New Roman;serif"/>
          <w:b/>
          <w:sz w:val="20"/>
        </w:rPr>
        <w:t>Risks Related to Taxation</w:t>
      </w:r>
    </w:p>
    <w:p>
      <w:pPr>
        <w:pStyle w:val="TextBody"/>
        <w:bidi w:val="0"/>
        <w:spacing w:before="200" w:after="0"/>
        <w:jc w:val="left"/>
        <w:rPr>
          <w:rFonts w:ascii="Times New Roman;serif" w:hAnsi="Times New Roman;serif"/>
          <w:b/>
          <w:i/>
          <w:sz w:val="20"/>
        </w:rPr>
      </w:pPr>
      <w:r>
        <w:rPr>
          <w:rFonts w:ascii="Times New Roman;serif" w:hAnsi="Times New Roman;serif"/>
          <w:b/>
          <w:i/>
          <w:sz w:val="20"/>
        </w:rPr>
        <w:t>We may be subject to additional obligations to collect and remit sales tax and other taxes, and we may be subject to tax liability for past sales, which could harm our business.</w:t>
      </w:r>
    </w:p>
    <w:p>
      <w:pPr>
        <w:pStyle w:val="TextBody"/>
        <w:bidi w:val="0"/>
        <w:spacing w:before="200" w:after="0"/>
        <w:jc w:val="left"/>
        <w:rPr>
          <w:rFonts w:ascii="Times New Roman" w:hAnsi="Times New Roman"/>
          <w:sz w:val="20"/>
        </w:rPr>
      </w:pPr>
      <w:r>
        <w:rPr>
          <w:rFonts w:ascii="Times New Roman;serif" w:hAnsi="Times New Roman;serif"/>
          <w:b w:val="false"/>
          <w:sz w:val="20"/>
        </w:rPr>
        <w:t>State, local, and non-U.S. jurisdictions have differing rules and regulations governing sales, use, value added, digital service, and other taxes, and these rules and regulations are subject to varying interpretations that may change over time. In particular, the applicability of such taxes to our CRM Platform in various jurisdictions can be unclear. Further, these jurisdictions’ rules regarding tax nexus are complex and vary significantly. As a result, we could face the possibility of tax assessments and audits, and our liability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for these taxes and associated penalties could exceed our original estimates. A successful assertion that we should be collecting additional sales, use, value added or other taxes in those jurisdictions where we have not historically done so and do not accrue for such taxes could result in substantial tax liabilities and related penalties for past sales, discourage customers from purchasing our application or otherwise harm our business and operating results.</w:t>
      </w:r>
    </w:p>
    <w:p>
      <w:pPr>
        <w:pStyle w:val="TextBody"/>
        <w:bidi w:val="0"/>
        <w:spacing w:before="200" w:after="0"/>
        <w:jc w:val="left"/>
        <w:rPr>
          <w:rFonts w:ascii="Times New Roman;serif" w:hAnsi="Times New Roman;serif"/>
          <w:b/>
          <w:i/>
          <w:sz w:val="20"/>
        </w:rPr>
      </w:pPr>
      <w:r>
        <w:rPr>
          <w:rFonts w:ascii="Times New Roman;serif" w:hAnsi="Times New Roman;serif"/>
          <w:b/>
          <w:i/>
          <w:sz w:val="20"/>
        </w:rPr>
        <w:t>Changes in tax laws or regulations that are applied adversely to us or our customers could increase the costs of our CRM Platform and adversely impact our business.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New income, sales, use or other tax laws, statutes, rules, regulations or ordinances could be enacted at any time. Any new taxes could adversely affect our domestic and international business operations, and our business and financial performance. Further, existing tax laws, statutes, rules, regulations or ordinances could be interpreted, changed, modified or applied adversely to us. These events could require us or our customers to pay additional tax amounts on a prospective or retroactive basis, as well as require us or our customers to pay fines and/or penalties and interest for past amounts deemed to be due. If we raise our prices to offset the costs of these changes, existing and potential future customers may elect not to continue or purchase our CRM Platform in the future. Additionally, new, changed, modified or newly interpreted or applied tax laws could increase our customers’ and our compliance, operating and other costs, as well as the costs of our platform. Any or all of these events could adversely impact our business, cash flows and financial performance. Furthermore, as our employees continue to work remotely from geographic locations across the United States and internationally, we may become subject to additional taxes and our compliance burdens with respect to the tax laws of additional jurisdictions may increase.</w:t>
      </w:r>
    </w:p>
    <w:p>
      <w:pPr>
        <w:pStyle w:val="TextBody"/>
        <w:bidi w:val="0"/>
        <w:spacing w:before="200" w:after="0"/>
        <w:jc w:val="left"/>
        <w:rPr>
          <w:rFonts w:ascii="Times New Roman;serif" w:hAnsi="Times New Roman;serif"/>
          <w:b/>
          <w:i/>
          <w:sz w:val="20"/>
        </w:rPr>
      </w:pPr>
      <w:r>
        <w:rPr>
          <w:rFonts w:ascii="Times New Roman;serif" w:hAnsi="Times New Roman;serif"/>
          <w:b/>
          <w:i/>
          <w:sz w:val="20"/>
        </w:rPr>
        <w:t>We are a multinational organization faced with increasingly complex tax issues in many jurisdictions, and we could be obligated to pay additional taxes in various jurisdictions.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or challenges to our tax positions by tax authorities, any of which could have a material adverse effect on our liquidity, financial condition or operating results.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or assert that we are subject to tax in a jurisdiction where we believe we have not established a taxable nexus, often referred to as a “permanent establishment” under international tax treaties, any of which could have a material impact on us, our financial condition or our operating results.</w:t>
      </w:r>
    </w:p>
    <w:p>
      <w:pPr>
        <w:pStyle w:val="TextBody"/>
        <w:bidi w:val="0"/>
        <w:spacing w:before="200" w:after="0"/>
        <w:jc w:val="left"/>
        <w:rPr>
          <w:rFonts w:ascii="Times New Roman;serif" w:hAnsi="Times New Roman;serif"/>
          <w:b/>
          <w:i/>
          <w:sz w:val="20"/>
        </w:rPr>
      </w:pPr>
      <w:r>
        <w:rPr>
          <w:rFonts w:ascii="Times New Roman;serif" w:hAnsi="Times New Roman;serif"/>
          <w:b/>
          <w:i/>
          <w:sz w:val="20"/>
        </w:rPr>
        <w:t>We may not be able to utilize a significant portion of our net operating loss carryforwards, which could adversely affect our profitability.</w:t>
      </w:r>
    </w:p>
    <w:p>
      <w:pPr>
        <w:pStyle w:val="TextBody"/>
        <w:bidi w:val="0"/>
        <w:spacing w:before="200" w:after="0"/>
        <w:jc w:val="left"/>
        <w:rPr>
          <w:rFonts w:ascii="Times New Roman" w:hAnsi="Times New Roman"/>
          <w:sz w:val="20"/>
        </w:rPr>
      </w:pPr>
      <w:r>
        <w:rPr>
          <w:rFonts w:ascii="Times New Roman;serif" w:hAnsi="Times New Roman;serif"/>
          <w:b w:val="false"/>
          <w:sz w:val="20"/>
        </w:rPr>
        <w:t>We have incurred losses during our history and do not expect to become profitable in the near future, and we may never achieve profitability. As of December 31, 2022, we had $960.7 million of U.S. federal and $677.0 million of state net operating loss carryforwards due to prior period losses, which, if not utilized, some of which will begin to expire in 2027 for federal purposes and begin to expire in 2023 for state purposes. These net operating loss carryforwards could expire unused and be unavailable to offset future income tax liabilities, which could adversely affect our profitability. Under current law, U.S federal and certain state net operating loss carryforwards incurred for periods beginning on or after January 1, 2018 would not expire unused because they can be carried forward indefinitely. Our unused U.S. federal net operating losses arising in taxable years beginning after December 31, 2017 and before January 1, 2021 may generally be carried back to each of the five taxable years preceding the tax year of such losses, but those losses arising in taxable years beginning after December 31, 2017 may not be carried back. Moreover, for taxable years beginning after December 31, 2017, the deductibility of our U.S. federal net operating losses is limited to 80% of our taxable income in any future taxable year. States have varying carryback and carryforward periods. Moreover, certain states have enacted rules that limit the utilization of loss carryforwards, which also change from time-to-time. In addition, under Section 382 and Section 383 of the Internal Revenue Code of 1986, as amended, which we refer to as the Code, our ability to utilize net operating loss carryforwards or other tax attributes, such as research tax credits, in any taxable year may be further limited if we experience an “ownership change.” An ownership change generally occurs if one or more stockholders or groups of stockholders who own at least 5% of our stock increase their ownership by more than 50 percentage points over their lowest ownership percentage (by value) within a rolling three-year period. Similar rules may apply under state tax laws. We may have experienced an ownership change in the past, and future issuances of our stock could cause an ownership change. It is possible that any such ownership change could have a material effect on the use of our net operating loss carryforwards or other tax attributes accrued prior to such ownership change, which could adversely affect our profitability.</w:t>
      </w:r>
      <w:r>
        <w:rPr>
          <w:rFonts w:ascii="Times New Roman" w:hAnsi="Times New Roman"/>
          <w:sz w:val="20"/>
        </w:rPr>
        <w:t xml:space="preserve"> </w:t>
      </w:r>
    </w:p>
    <w:p>
      <w:pPr>
        <w:pStyle w:val="TextBody"/>
        <w:bidi w:val="0"/>
        <w:spacing w:before="20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serif" w:hAnsi="Times New Roman;serif"/>
          <w:b/>
          <w:sz w:val="20"/>
        </w:rPr>
      </w:pPr>
      <w:r>
        <w:rPr>
          <w:rFonts w:ascii="Times New Roman;serif" w:hAnsi="Times New Roman;serif"/>
          <w:b/>
          <w:sz w:val="20"/>
        </w:rPr>
        <w:t>Risks Related to Our Operating Results and Financial Condition</w:t>
      </w:r>
    </w:p>
    <w:p>
      <w:pPr>
        <w:pStyle w:val="TextBody"/>
        <w:bidi w:val="0"/>
        <w:spacing w:before="200" w:after="0"/>
        <w:jc w:val="left"/>
        <w:rPr>
          <w:rFonts w:ascii="Times New Roman;serif" w:hAnsi="Times New Roman;serif"/>
          <w:b/>
          <w:i/>
          <w:sz w:val="20"/>
        </w:rPr>
      </w:pPr>
      <w:r>
        <w:rPr>
          <w:rFonts w:ascii="Times New Roman;serif" w:hAnsi="Times New Roman;serif"/>
          <w:b/>
          <w:i/>
          <w:sz w:val="20"/>
        </w:rPr>
        <w:t>We have a history of losses and may not achieve profitability in the future.</w:t>
      </w:r>
    </w:p>
    <w:p>
      <w:pPr>
        <w:pStyle w:val="TextBody"/>
        <w:bidi w:val="0"/>
        <w:spacing w:before="200" w:after="0"/>
        <w:jc w:val="left"/>
        <w:rPr>
          <w:rFonts w:ascii="Times New Roman" w:hAnsi="Times New Roman"/>
          <w:sz w:val="20"/>
        </w:rPr>
      </w:pPr>
      <w:r>
        <w:rPr>
          <w:rFonts w:ascii="Times New Roman;serif" w:hAnsi="Times New Roman;serif"/>
          <w:b w:val="false"/>
          <w:sz w:val="20"/>
        </w:rPr>
        <w:t>We generated net losses of $157.2 million and $65.7 million for the six months ended June 30, 2023 and 2022, respectively. As of June 30, 2023, we had an accumulated deficit of $799.6 million. We will need to generate and sustain increased revenue levels in future periods to become profitable, and, even if we do, we may not be able to maintain or increase our level of profitability. We have spent and intend to continue to expend significant funds on our marketing, sales, customer service, operations, and content management operations, develop and enhance our CRM Platform, scale our data center infrastructure and services capabilities and expand into new markets. Our efforts to grow our business may be more costly than we expect, and we may not be able to increase our revenue enough to offset our higher operating expenses. We may incur significant losses in the future for a number of reasons, including the other risks described in this Quarterly Report on Form 10-Q, and unforeseen expenses, difficulties, complications and delays and other unknown events. If we are unable to achieve and sustain profitability, the market price of our common stock may significantly decrease.</w:t>
      </w:r>
      <w:r>
        <w:rPr>
          <w:rFonts w:ascii="Times New Roman" w:hAnsi="Times New Roman"/>
          <w:sz w:val="20"/>
        </w:rPr>
        <w:t xml:space="preserve"> </w:t>
      </w:r>
    </w:p>
    <w:p>
      <w:pPr>
        <w:pStyle w:val="TextBody"/>
        <w:bidi w:val="0"/>
        <w:spacing w:before="200" w:after="0"/>
        <w:jc w:val="left"/>
        <w:rPr>
          <w:rFonts w:ascii="Times New Roman;serif" w:hAnsi="Times New Roman;serif"/>
          <w:b/>
          <w:i/>
          <w:sz w:val="20"/>
        </w:rPr>
      </w:pPr>
      <w:r>
        <w:rPr>
          <w:rFonts w:ascii="Times New Roman;serif" w:hAnsi="Times New Roman;serif"/>
          <w:b/>
          <w:i/>
          <w:sz w:val="20"/>
        </w:rPr>
        <w:t>From time to time, we may invest funds in social impact investment funds, and may receive no return on our investment or lose our entire investment.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From time to time, we may invest in social impact investment funds. As of June 30, 2023, we have invested $6.2 million in the Black Economic Development Fund and $7.5 million in support of Minority Depository Institutions to help close the racial wealth, health and opportunity gap. There is no guarantee as to the performance of this investment or any similar investments we make in the future. Depending on the performance of this investment and future investments we may make, we may not receive any return on our investment or we may lose our entire investment, which could have an adverse effect on our business.</w:t>
      </w:r>
    </w:p>
    <w:p>
      <w:pPr>
        <w:pStyle w:val="TextBody"/>
        <w:bidi w:val="0"/>
        <w:spacing w:before="200" w:after="0"/>
        <w:jc w:val="left"/>
        <w:rPr>
          <w:rFonts w:ascii="Times New Roman;serif" w:hAnsi="Times New Roman;serif"/>
          <w:b/>
          <w:i/>
          <w:sz w:val="20"/>
        </w:rPr>
      </w:pPr>
      <w:r>
        <w:rPr>
          <w:rFonts w:ascii="Times New Roman;serif" w:hAnsi="Times New Roman;serif"/>
          <w:b/>
          <w:i/>
          <w:sz w:val="20"/>
        </w:rPr>
        <w:t>We may experience quarterly fluctuations in our operating results due to a number of factors, which makes our future results difficult to predict and could cause our operating results to fall below expectations or our guidance.</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Quarterly Report on Form 10-Q, factors that may affect our quarterly operating results include the following:</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changes in spending on marketing, sales, customer service, operations and content management software by our current or prospective customers;</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pricing our CRM Platform subscriptions effectively so that we are able to attract and retain customers without compromising our profitability;</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attracting new customers for our marketing, sales, customer service, operations, and content management software, increasing our existing customers’ use of our platform and providing our customers with excellent customer support;</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customer renewal rates and the amounts for which agreements are renewed;</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 xml:space="preserve">global awareness of our thought leadership and brand; </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 xml:space="preserve">changes in the competitive dynamics of our market, including consolidation among competitors or customers and the introduction of new products or product enhancements; </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changes to the commission plans, quotas and other compensation-related metrics for our sales representatives;</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 xml:space="preserve">the amount and timing of payment for operating expenses, particularly research and development, sales and marketing expenses and employee benefit expenses; </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amount and timing of costs associated with recruiting, training and integrating new employees while maintaining our company culture;</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our ability to manage our existing business and future growth, including increases in the number of customers on our platform and the introduction and adoption of our CRM Platform in new markets outside of the United States;</w:t>
      </w:r>
    </w:p>
    <w:p>
      <w:pPr>
        <w:pStyle w:val="TextBody"/>
        <w:bidi w:val="0"/>
        <w:spacing w:before="200" w:after="0"/>
        <w:jc w:val="left"/>
        <w:rPr/>
      </w:pPr>
      <w:r>
        <w:rPr/>
        <w:t>•</w:t>
      </w:r>
    </w:p>
    <w:p>
      <w:pPr>
        <w:pStyle w:val="TextBody"/>
        <w:bidi w:val="0"/>
        <w:spacing w:before="200" w:after="283"/>
        <w:jc w:val="left"/>
        <w:rPr>
          <w:rFonts w:ascii="Times New Roman;serif" w:hAnsi="Times New Roman;serif"/>
          <w:b w:val="false"/>
          <w:sz w:val="20"/>
        </w:rPr>
      </w:pPr>
      <w:r>
        <w:rPr>
          <w:rFonts w:ascii="Times New Roman;serif" w:hAnsi="Times New Roman;serif"/>
          <w:b w:val="false"/>
          <w:sz w:val="20"/>
        </w:rPr>
        <w:t>unforeseen costs and expenses related to the expansion of our business, operations and infrastructure, including disruptions in our hosting network infrastructure and privacy and data security;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 xml:space="preserve">foreign currency exchange rate fluctuations; </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rising inflation in the economies in which we operate and our ability to control costs, including operating expenses; and</w:t>
      </w:r>
    </w:p>
    <w:p>
      <w:pPr>
        <w:pStyle w:val="TextBody"/>
        <w:bidi w:val="0"/>
        <w:spacing w:before="200" w:after="0"/>
        <w:jc w:val="left"/>
        <w:rPr/>
      </w:pPr>
      <w:r>
        <w:rPr/>
        <w:t>•</w:t>
      </w:r>
    </w:p>
    <w:p>
      <w:pPr>
        <w:pStyle w:val="TextBody"/>
        <w:bidi w:val="0"/>
        <w:spacing w:before="200" w:after="283"/>
        <w:jc w:val="left"/>
        <w:rPr>
          <w:rFonts w:ascii="Times New Roman;serif" w:hAnsi="Times New Roman;serif"/>
          <w:b w:val="false"/>
          <w:sz w:val="20"/>
        </w:rPr>
      </w:pPr>
      <w:r>
        <w:rPr>
          <w:rFonts w:ascii="Times New Roman;serif" w:hAnsi="Times New Roman;serif"/>
          <w:b w:val="false"/>
          <w:sz w:val="20"/>
        </w:rPr>
        <w:t>general economic and political conditions in our domestic and international markets.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common stock could decline.</w:t>
      </w:r>
    </w:p>
    <w:p>
      <w:pPr>
        <w:pStyle w:val="TextBody"/>
        <w:bidi w:val="0"/>
        <w:spacing w:before="200" w:after="0"/>
        <w:jc w:val="left"/>
        <w:rPr>
          <w:rFonts w:ascii="Times New Roman;serif" w:hAnsi="Times New Roman;serif"/>
          <w:b/>
          <w:i/>
          <w:sz w:val="20"/>
        </w:rPr>
      </w:pPr>
      <w:r>
        <w:rPr>
          <w:rFonts w:ascii="Times New Roman;serif" w:hAnsi="Times New Roman;serif"/>
          <w:b/>
          <w:i/>
          <w:sz w:val="20"/>
        </w:rPr>
        <w:t>If we do not accurately predict subscription renewal rates or otherwise fail to forecast our revenue accurately, or if we fail to match our expenditures with corresponding revenue, our operating results could be adversely affected.</w:t>
      </w:r>
    </w:p>
    <w:p>
      <w:pPr>
        <w:pStyle w:val="TextBody"/>
        <w:bidi w:val="0"/>
        <w:spacing w:before="200" w:after="0"/>
        <w:jc w:val="left"/>
        <w:rPr>
          <w:rFonts w:ascii="Times New Roman" w:hAnsi="Times New Roman"/>
          <w:sz w:val="20"/>
        </w:rPr>
      </w:pPr>
      <w:r>
        <w:rPr>
          <w:rFonts w:ascii="Times New Roman;serif" w:hAnsi="Times New Roman;serif"/>
          <w:b w:val="false"/>
          <w:sz w:val="20"/>
        </w:rPr>
        <w:t>Because our recent growth has resulted in the rapid expansion of our business, we do not have a long history upon which to base forecasts of renewal rates with customers or future operating revenue. As a result, our operating results in future reporting periods may be significantly below the expectations of the public market, equity research analysts or investors, which could harm the price of our common stock.</w:t>
        <w:br/>
      </w:r>
      <w:r>
        <w:rPr>
          <w:rFonts w:ascii="Times New Roman" w:hAnsi="Times New Roman"/>
          <w:sz w:val="20"/>
        </w:rPr>
        <w:t> </w:t>
      </w:r>
    </w:p>
    <w:p>
      <w:pPr>
        <w:pStyle w:val="TextBody"/>
        <w:bidi w:val="0"/>
        <w:spacing w:before="0" w:after="0"/>
        <w:jc w:val="left"/>
        <w:rPr>
          <w:rFonts w:ascii="Times New Roman" w:hAnsi="Times New Roman"/>
          <w:sz w:val="20"/>
        </w:rPr>
      </w:pPr>
      <w:r>
        <w:rPr>
          <w:rFonts w:ascii="Times New Roman;serif" w:hAnsi="Times New Roman;serif"/>
          <w:b/>
          <w:i/>
          <w:sz w:val="20"/>
        </w:rPr>
        <w:t>Changes in accounting standards and subjective assumptions, estimates and judgments by management related to complex accounting matters could significantly affect our financial condition and results of operations.</w:t>
      </w:r>
      <w:r>
        <w:rPr>
          <w:rFonts w:ascii="Times New Roman" w:hAnsi="Times New Roman"/>
          <w:sz w:val="20"/>
        </w:rPr>
        <w:t xml:space="preserve">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We apply accounting principles and related pronouncements, implementation guidelines and interpretations to a wide range of matters that are relevant to our business, are highly complex and involve subjective assumptions, estimates and judgments by our management. Changes in these rules or their interpretation, or changes in underlying assumptions, estimates or judgments by our management, could significantly change our reported or expected financial performance.</w:t>
      </w:r>
    </w:p>
    <w:p>
      <w:pPr>
        <w:pStyle w:val="TextBody"/>
        <w:bidi w:val="0"/>
        <w:spacing w:before="200" w:after="0"/>
        <w:jc w:val="left"/>
        <w:rPr/>
      </w:pPr>
      <w:r>
        <w:rPr/>
        <w:t> </w:t>
      </w:r>
    </w:p>
    <w:p>
      <w:pPr>
        <w:pStyle w:val="TextBody"/>
        <w:bidi w:val="0"/>
        <w:spacing w:before="200" w:after="0"/>
        <w:jc w:val="left"/>
        <w:rPr>
          <w:rFonts w:ascii="Times New Roman;serif" w:hAnsi="Times New Roman;serif"/>
          <w:b/>
          <w:sz w:val="20"/>
        </w:rPr>
      </w:pPr>
      <w:r>
        <w:rPr>
          <w:rFonts w:ascii="Times New Roman;serif" w:hAnsi="Times New Roman;serif"/>
          <w:b/>
          <w:sz w:val="20"/>
        </w:rPr>
        <w:t>Risks Related to Our Notes</w:t>
      </w:r>
    </w:p>
    <w:p>
      <w:pPr>
        <w:pStyle w:val="TextBody"/>
        <w:bidi w:val="0"/>
        <w:spacing w:before="200" w:after="0"/>
        <w:jc w:val="left"/>
        <w:rPr>
          <w:rFonts w:ascii="Times New Roman;serif" w:hAnsi="Times New Roman;serif"/>
          <w:b/>
          <w:i/>
          <w:sz w:val="20"/>
        </w:rPr>
      </w:pPr>
      <w:r>
        <w:rPr>
          <w:rFonts w:ascii="Times New Roman;serif" w:hAnsi="Times New Roman;serif"/>
          <w:b/>
          <w:i/>
          <w:sz w:val="20"/>
        </w:rPr>
        <w:t>Servicing our debt may require a significant amount of cash. We may not have sufficient cash flow from our business to pay our indebtedness, and we may not have the ability to raise the funds necessary to settle for cash conversions of the Notes or to repurchase the Notes for cash upon a fundamental change, which could adversely affect our business and results of operations.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In June 2020, we incurred indebtedness in the aggregate principal amount of $460.0 million in connection with the issuance of our 0.375% convertible senior notes due June 1, 2025 (the “2025 Notes”). Our ability to make scheduled payments of the principal of,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In addition, holders of the Notes have the right to require us to repurchase their Notes upon the occurrence of a fundamental change at a fundamental change repurchase price equal to 100% of the principal amount of the Notes to be repurchased, plus accrued and unpaid interest, if any. Upon conversion of the Notes, unless we elect to deliver solely shares of our common stock to settle such conversion (other than paying cash in lieu of delivering any fractional share), we will be required to make cash payments in respect of the Notes being converted. We may not have enough available cash or be able to obtain financing at the time we are required to make repurchases of Notes surrendered therefor or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governing the notes or to pay any cash payable on future conversions of the Notes as required by such indenture would constitute a default under such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or make cash payments upon conversions thereof.</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In addition, our indebtedness, combined with our other financial obligations and contractual commitments, could have other important consequences. For example, it could: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make us more vulnerable to adverse changes in general U.S. and worldwide economic, industry and competitive conditions and adverse changes in government regulation;</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limit our flexibility in planning for, or reacting to, changes in our business and our industry;</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place us at a disadvantage compared to our competitors who have less debt; and</w:t>
      </w:r>
    </w:p>
    <w:p>
      <w:pPr>
        <w:pStyle w:val="TextBody"/>
        <w:bidi w:val="0"/>
        <w:spacing w:before="200" w:after="0"/>
        <w:jc w:val="left"/>
        <w:rPr/>
      </w:pPr>
      <w:r>
        <w:rPr/>
        <w:t>•</w:t>
      </w:r>
    </w:p>
    <w:p>
      <w:pPr>
        <w:pStyle w:val="TextBody"/>
        <w:bidi w:val="0"/>
        <w:spacing w:before="200" w:after="283"/>
        <w:jc w:val="left"/>
        <w:rPr>
          <w:rFonts w:ascii="Times New Roman;serif" w:hAnsi="Times New Roman;serif"/>
          <w:b w:val="false"/>
          <w:sz w:val="20"/>
        </w:rPr>
      </w:pPr>
      <w:r>
        <w:rPr>
          <w:rFonts w:ascii="Times New Roman;serif" w:hAnsi="Times New Roman;serif"/>
          <w:b w:val="false"/>
          <w:sz w:val="20"/>
        </w:rPr>
        <w:t>limit our ability to borrow additional amounts to fund acquisitions, for working capital and for other general corporate purposes.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Any of these factors could materially and adversely affect our business, financial condition and results of operations. In addition, if we incur additional indebtedness, the risks related to our business and our ability to service or repay our indebtedness would increase.</w:t>
      </w:r>
    </w:p>
    <w:p>
      <w:pPr>
        <w:pStyle w:val="TextBody"/>
        <w:bidi w:val="0"/>
        <w:spacing w:before="200" w:after="0"/>
        <w:jc w:val="left"/>
        <w:rPr>
          <w:rFonts w:ascii="Times New Roman;serif" w:hAnsi="Times New Roman;serif"/>
          <w:b/>
          <w:i/>
          <w:sz w:val="20"/>
        </w:rPr>
      </w:pPr>
      <w:r>
        <w:rPr>
          <w:rFonts w:ascii="Times New Roman;serif" w:hAnsi="Times New Roman;serif"/>
          <w:b/>
          <w:i/>
          <w:sz w:val="20"/>
        </w:rPr>
        <w:t>The conditional conversion feature of the Notes, if triggered, may adversely affect our financial condition and operating results.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In the event the conditional conversion feature of the 2025 Notes is triggered, the holders thereof will be entitled to convert the 2025 Notes respectively, at any time during specified periods at their option.</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Because the last reported sale price of the Company’s common stock for at least 20 trading days during the period of 30 consecutive trading days ending on the last trading day of the calendar quarter ended June 30, 2023 was equal to or greater than 130% of the applicable conversion price on each applicable trading day, the 2025 Notes are convertible at the option of the holders thereof during the calendar quarter ending September 30, 2023. As of July 28, 2023, the Company has not received any material conversion notices with respect to the 2025 Notes. Whether the Notes that remain outstanding will be convertible following the calendar quarter ended June 30, 2023 will depend on the continued satisfaction of this condition or another conversion condition in the future.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pStyle w:val="TextBody"/>
        <w:bidi w:val="0"/>
        <w:spacing w:before="200" w:after="0"/>
        <w:jc w:val="left"/>
        <w:rPr>
          <w:rFonts w:ascii="Times New Roman;serif" w:hAnsi="Times New Roman;serif"/>
          <w:b/>
          <w:i/>
          <w:sz w:val="20"/>
        </w:rPr>
      </w:pPr>
      <w:r>
        <w:rPr>
          <w:rFonts w:ascii="Times New Roman;serif" w:hAnsi="Times New Roman;serif"/>
          <w:b/>
          <w:i/>
          <w:sz w:val="20"/>
        </w:rPr>
        <w:t>The accounting method for convertible debt securities that may be settled in cash, such as the Notes, could have a material effect on our reported financial results.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In August 2020, the FASB issued guidance simplifying the accounting for convertible instruments by reducing the number of accounting models for convertible debt instruments and convertible preferred stock. The new standard eliminates requirements to separately account for liability and equity components of such convertible debt instruments and requires the use of the if-converted method for calculating the diluted earnings per share for convertible debt instruments. We adopted the guidance on January 1, 2022, using the modified retrospective method. Future interest expense of the convertible notes will be lower as a result of adoption of this guidance and net loss per share will be computed using the if-converted method for these securities.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if-converted method assumes that all of the Notes were converted solely into shares of common stock at the beginning of the reporting period, unless the result would be anti-dilutive. The application of the if-converted method may reduce our reported diluted net income per share to the extent we are profitable, and accounting standards may change in the future in a manner that may otherwise adversely affect our diluted net income per share.</w:t>
      </w:r>
    </w:p>
    <w:p>
      <w:pPr>
        <w:pStyle w:val="TextBody"/>
        <w:bidi w:val="0"/>
        <w:spacing w:before="200" w:after="0"/>
        <w:jc w:val="left"/>
        <w:rPr>
          <w:rFonts w:ascii="Times New Roman;serif" w:hAnsi="Times New Roman;serif"/>
          <w:b/>
          <w:i/>
          <w:sz w:val="20"/>
        </w:rPr>
      </w:pPr>
      <w:r>
        <w:rPr>
          <w:rFonts w:ascii="Times New Roman;serif" w:hAnsi="Times New Roman;serif"/>
          <w:b/>
          <w:i/>
          <w:sz w:val="20"/>
        </w:rPr>
        <w:t>We are subject to counterparty risk with respect to the Capped Call Options.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In connection with the offering of the 2025 Notes, we purchased capped call options (“Capped Call Options”) with respect to our common stock for $50.6 million. The counterparties to the Capped Call Options are financial institutions, and we will be subject to the risk that one or more of the counterparties may default, fail to perform or exercise their termination rights under the Capped Call Options. Global economic conditions have, from time to time, resulted in the actual or perceived failure or financial difficulties of many financial institutions. If a counterparty to the Capped Call Options becomes subject to insolvency proceedings, we will become an unsecured creditor in those proceedings with a claim equal to our exposure at the time under such transaction. In addition, upon a default, failure to perform or a termination of the Capped Call Options by a counterparty, we may suffer more dilution than we currently anticipate with respect to our common stock. We can provide no assurances as to the financial stability or viability of the counterparties.</w:t>
      </w:r>
    </w:p>
    <w:p>
      <w:pPr>
        <w:pStyle w:val="TextBody"/>
        <w:bidi w:val="0"/>
        <w:spacing w:before="200" w:after="0"/>
        <w:jc w:val="left"/>
        <w:rPr/>
      </w:pPr>
      <w:r>
        <w:rPr/>
        <w:t> </w:t>
      </w:r>
    </w:p>
    <w:p>
      <w:pPr>
        <w:pStyle w:val="TextBody"/>
        <w:bidi w:val="0"/>
        <w:spacing w:before="200" w:after="0"/>
        <w:jc w:val="left"/>
        <w:rPr>
          <w:rFonts w:ascii="Times New Roman;serif" w:hAnsi="Times New Roman;serif"/>
          <w:b/>
          <w:sz w:val="20"/>
        </w:rPr>
      </w:pPr>
      <w:r>
        <w:rPr>
          <w:rFonts w:ascii="Times New Roman;serif" w:hAnsi="Times New Roman;serif"/>
          <w:b/>
          <w:sz w:val="20"/>
        </w:rPr>
        <w:t>Risks Related to Our Common Stock</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serif" w:hAnsi="Times New Roman;serif"/>
          <w:b/>
          <w:i/>
          <w:sz w:val="20"/>
        </w:rPr>
      </w:pPr>
      <w:r>
        <w:rPr>
          <w:rFonts w:ascii="Times New Roman;serif" w:hAnsi="Times New Roman;serif"/>
          <w:b/>
          <w:i/>
          <w:sz w:val="20"/>
        </w:rPr>
        <w:t>Our stock price may be volatile and you may be unable to sell your shares at or above the price you purchased them.</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trading prices of the securities of technology companies, including providers of software via the cloud-based model, have been highly volatile. Since shares of our common stock were sold in our initial public offering in October 2014 at a price of $25.00 per share, our stock price has ranged from $25.79 to $866.00 through June 30, 2023. The market price of our common stock may fluctuate significantly in response to numerous factors, many of which are beyond our control, including:</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actual or anticipated fluctuations in our revenue and other operating results, including as a result of the addition or loss of any number of customers;</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announcements by us or our competitors of significant technical innovations, acquisitions, strategic partnerships, joint ventures or capital commitments;</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financial projections we may provide to the public, any changes in these projections or our failure to meet these projections;</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failure of securities analysts to initiate or maintain coverage of us, changes in ratings and financial estimates and the publication of other news by any securities analysts who follow our company, or our failure to meet these estimates or the expectations of investors;</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changes in operating performance and stock market valuations of cloud-based software or other technology companies, or those in our industry in particular;</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price and volume fluctuations in the trading of our common stock and in the overall stock market, including as a result of trends in the economy as a whole;</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sales of large blocks of our common stock or the dilutive effect of our Notes or any other equity or equity-linked financings;</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new laws or regulations or new interpretations of existing laws or regulations applicable to our business or industry, including data privacy and data security;</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lawsuits threatened or filed against us;</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changes in key personnel; and</w:t>
      </w:r>
    </w:p>
    <w:p>
      <w:pPr>
        <w:pStyle w:val="TextBody"/>
        <w:bidi w:val="0"/>
        <w:spacing w:before="200" w:after="0"/>
        <w:jc w:val="left"/>
        <w:rPr/>
      </w:pPr>
      <w:r>
        <w:rPr/>
        <w:t>•</w:t>
      </w:r>
    </w:p>
    <w:p>
      <w:pPr>
        <w:pStyle w:val="TextBody"/>
        <w:bidi w:val="0"/>
        <w:spacing w:before="200" w:after="283"/>
        <w:jc w:val="left"/>
        <w:rPr>
          <w:rFonts w:ascii="Times New Roman;serif" w:hAnsi="Times New Roman;serif"/>
          <w:b w:val="false"/>
          <w:sz w:val="20"/>
        </w:rPr>
      </w:pPr>
      <w:r>
        <w:rPr>
          <w:rFonts w:ascii="Times New Roman;serif" w:hAnsi="Times New Roman;serif"/>
          <w:b w:val="false"/>
          <w:sz w:val="20"/>
        </w:rPr>
        <w:t xml:space="preserve">other events or factors, including changes in general economic, industry and market conditions and trends, international disputes, wars (such as the conflict between Russia and Ukraine), and political stability.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In addition, the stock markets have experienced extreme price and volume fluctuations that have affected and continue to affect the market prices of equity securities of many technology companies. Stock prices of many technology companies have fluctuated in a manner unrelated or disproportionate to the operating performance of those companies.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pStyle w:val="TextBody"/>
        <w:bidi w:val="0"/>
        <w:spacing w:before="200" w:after="0"/>
        <w:jc w:val="left"/>
        <w:rPr>
          <w:rFonts w:ascii="Times New Roman" w:hAnsi="Times New Roman"/>
          <w:sz w:val="20"/>
        </w:rPr>
      </w:pPr>
      <w:r>
        <w:rPr>
          <w:rFonts w:ascii="Times New Roman;serif" w:hAnsi="Times New Roman;serif"/>
          <w:b/>
          <w:i/>
          <w:sz w:val="20"/>
        </w:rPr>
        <w:t>If we fail to maintain an effective system of disclosure controls and internal control over financial reporting, our ability to produce timely and accurate financial statements or comply with applicable regulations could be impaired.</w:t>
      </w:r>
      <w:r>
        <w:rPr>
          <w:rFonts w:ascii="Times New Roman" w:hAnsi="Times New Roman"/>
          <w:sz w:val="20"/>
        </w:rPr>
        <w:t xml:space="preserve">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As a public company we are subject to the reporting requirements of the Securities Exchange Act of 1934, as amended (the “Exchange Act”), the Sarbanes-Oxley Act of 2002 (the “Sarbanes-Oxley Act”), the Dodd-Frank Wall Street Reform and Consumer Protection Act (the “Dodd-Frank Act”), and the rules and regulations of the New York Stock Exchange (the “NYSE”). We expect that compliance with these rules and regulations will continue to increase our legal, accounting and financial compliance costs, make some activities more difficult, time consuming and costly, and place significant strain on our personnel, systems and resources.</w:t>
      </w:r>
    </w:p>
    <w:p>
      <w:pPr>
        <w:pStyle w:val="TextBody"/>
        <w:bidi w:val="0"/>
        <w:spacing w:before="200" w:after="0"/>
        <w:jc w:val="left"/>
        <w:rPr>
          <w:rFonts w:ascii="Times New Roman" w:hAnsi="Times New Roman"/>
          <w:sz w:val="20"/>
        </w:rPr>
      </w:pPr>
      <w:r>
        <w:rPr>
          <w:rFonts w:ascii="Times New Roman;serif" w:hAnsi="Times New Roman;serif"/>
          <w:b w:val="false"/>
          <w:sz w:val="20"/>
        </w:rPr>
        <w:t>The Sarbanes-Oxley Act requires, among other things, that we assess the effectiveness of our internal control over financial reporting annually and the effectiveness of our disclosure controls and procedures quarterly. In particular, Section 404 of the Sarbanes-Oxley Act (“Section 404”),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Our compliance with applicable provisions of Section 404 requires that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we incur substantial accounting expenses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 In addition, as a result of our hybrid culture, many of our employees – including those critical to maintaining an effective system of disclosure controls and internal control over financial reporting – are working, and are expected to continue to work, in a remote environment and not in the office environment from which they have historically performed their duties. We have limited experience maintaining effective control systems with our employees working in remote environments, and risks that we have not contemplated may arise and result in our failure to maintain effective disclosure controls or internal control over financial reporting.</w:t>
      </w:r>
    </w:p>
    <w:p>
      <w:pPr>
        <w:pStyle w:val="TextBody"/>
        <w:bidi w:val="0"/>
        <w:spacing w:before="200" w:after="0"/>
        <w:jc w:val="left"/>
        <w:rPr>
          <w:rFonts w:ascii="Times New Roman;serif" w:hAnsi="Times New Roman;serif"/>
          <w:b/>
          <w:i/>
          <w:sz w:val="20"/>
        </w:rPr>
      </w:pPr>
      <w:r>
        <w:rPr>
          <w:rFonts w:ascii="Times New Roman;serif" w:hAnsi="Times New Roman;serif"/>
          <w:b/>
          <w:i/>
          <w:sz w:val="20"/>
        </w:rPr>
        <w:t>Anti-takeover provisions in our charter documents and Delaware law may delay or prevent an acquisition of our company.</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authorize “blank check” preferred stock, which could be issued by the board without stockholder approval and may contain voting, liquidation, dividend and other rights superior to our common stock;</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provide for a classified board of directors whose members serve staggered three-year terms;</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specify that special meetings of our stockholders can be called only by our board of directors, the chairperson of the board, the chief executive officer or the president;</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prohibit stockholder action by written consent;</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establish an advance notice procedure for stockholder approvals to be brought before an annual meeting of our stockholders, including proposed nominations of persons for election to our board of directors;</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provide that our directors may be removed only for cause;</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provide that vacancies on our board of directors may be filled only by a majority of directors then in office, even though less than a quorum;</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specify that no stockholder is permitted to cumulate votes at any election of directors;</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authorize our board of directors to modify, alter or repeal our amended and restated bylaws; and</w:t>
      </w:r>
    </w:p>
    <w:p>
      <w:pPr>
        <w:pStyle w:val="TextBody"/>
        <w:bidi w:val="0"/>
        <w:spacing w:before="200" w:after="0"/>
        <w:jc w:val="left"/>
        <w:rPr/>
      </w:pPr>
      <w:r>
        <w:rPr/>
        <w:t>•</w:t>
      </w:r>
    </w:p>
    <w:p>
      <w:pPr>
        <w:pStyle w:val="TextBody"/>
        <w:bidi w:val="0"/>
        <w:spacing w:before="200" w:after="283"/>
        <w:jc w:val="left"/>
        <w:rPr>
          <w:rFonts w:ascii="Times New Roman;serif" w:hAnsi="Times New Roman;serif"/>
          <w:b w:val="false"/>
          <w:sz w:val="20"/>
        </w:rPr>
      </w:pPr>
      <w:r>
        <w:rPr>
          <w:rFonts w:ascii="Times New Roman;serif" w:hAnsi="Times New Roman;serif"/>
          <w:b w:val="false"/>
          <w:sz w:val="20"/>
        </w:rPr>
        <w:t>require supermajority votes of the holders of our common stock to amend specified provisions of our charter documents.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These provisions, alone or together, could delay or prevent hostile takeovers and changes in control or changes in our management.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In addition, because we are incorporated in Delaware, we are governed by the provisions of Section 203 of the Delaware General Corporation Law, which limits the ability of stockholders owning in excess of 15% of our outstanding voting stock to merge or combine with us in certain circumstances.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200" w:after="0"/>
        <w:jc w:val="left"/>
        <w:rPr/>
      </w:pPr>
      <w:r>
        <w:rPr/>
        <w:t> </w:t>
      </w:r>
    </w:p>
    <w:p>
      <w:pPr>
        <w:pStyle w:val="TextBody"/>
        <w:bidi w:val="0"/>
        <w:spacing w:before="200" w:after="0"/>
        <w:jc w:val="left"/>
        <w:rPr>
          <w:rFonts w:ascii="Times New Roman;serif" w:hAnsi="Times New Roman;serif"/>
          <w:b/>
          <w:sz w:val="20"/>
        </w:rPr>
      </w:pPr>
      <w:r>
        <w:rPr>
          <w:rFonts w:ascii="Times New Roman;serif" w:hAnsi="Times New Roman;serif"/>
          <w:b/>
          <w:sz w:val="20"/>
        </w:rPr>
        <w:t>General Risks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serif" w:hAnsi="Times New Roman;serif"/>
          <w:b/>
          <w:i/>
          <w:sz w:val="20"/>
        </w:rPr>
      </w:pPr>
      <w:r>
        <w:rPr>
          <w:rFonts w:ascii="Times New Roman;serif" w:hAnsi="Times New Roman;serif"/>
          <w:b/>
          <w:i/>
          <w:sz w:val="20"/>
        </w:rPr>
        <w:t>Catastrophic events could disrupt our business and adversely affect our financial condition and results of operations.</w:t>
      </w:r>
    </w:p>
    <w:p>
      <w:pPr>
        <w:pStyle w:val="TextBody"/>
        <w:bidi w:val="0"/>
        <w:spacing w:before="200" w:after="0"/>
        <w:jc w:val="left"/>
        <w:rPr>
          <w:rFonts w:ascii="Times New Roman" w:hAnsi="Times New Roman"/>
          <w:sz w:val="20"/>
        </w:rPr>
      </w:pPr>
      <w:r>
        <w:rPr>
          <w:rFonts w:ascii="Times New Roman;serif" w:hAnsi="Times New Roman;serif"/>
          <w:b w:val="false"/>
          <w:sz w:val="20"/>
        </w:rPr>
        <w:t>We rely on our network infrastructure and enterprise applications, internal technology systems and website for our development, marketing, operations, support, hosted services and sales activities. In addition, some of our businesses rely on third-party hosted services, and we do not control the operation of third-party data center facilities serving our customers from around the world, which increases our vulnerability. A disruption, infiltration or failure of these systems or third-party hosted services in the event of a major earthquake, fire, flood, tsunami or other weather event, power loss, telecommunications failure, software or hardware malfunctions, pandemics (including the COVID-19 pandemic), cyber-attack, war, terrorist attack or other catastrophic event that we do not adequately address, could cause system interruptions, reputational harm, loss of intellectual property, delays in our product development, lengthy interruptions in our services, breaches of data security and loss of critical data. Any of these events could prevent us from fulfilling our customer demands or could negatively impact a country or region in which we sell our products, which could in turn decrease that country’s or region’s demand for our products. A catastrophic event that results in the destruction or disruption of any of our data centers or our critical business or information technology systems could severely affect our ability to conduct normal business operations and, as a result, our future operating results could be adversely affected. The adverse effects of any such catastrophic event would be exacerbated if experienced at the same time as another unexpected and adverse event, such as the COVID-19 pandemic.</w:t>
      </w:r>
      <w:r>
        <w:rPr>
          <w:rFonts w:ascii="Times New Roman" w:hAnsi="Times New Roman"/>
          <w:sz w:val="20"/>
        </w:rPr>
        <w:t xml:space="preserve">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occurrence of regional epidemics or a global pandemic, such as COVID-19, may have an adverse effect on how we and our customers operate our businesses and our operating and financial results. Our operations may in the future be negatively affected by a range of external factors related to the pandemic that are not within our control, including the emergence and spread of more transmissible variants and the degree of transmissibility and severity thereof. The extent to which global pandemics, such as the COVID-19 pandemic, impact our financial condition or results of operations will depend on factors, such as the duration and scope of the pandemic, as well as whether there is a material impact on the businesses or productivity of our customers, partners, employee, suppliers and other partners. To the extent that a pandemic, such as COVID-19, harms our business and results of operations, many of the other risks described in this “Risk Factors” section, may be heightened.</w:t>
      </w:r>
    </w:p>
    <w:p>
      <w:pPr>
        <w:pStyle w:val="TextBody"/>
        <w:bidi w:val="0"/>
        <w:spacing w:before="200" w:after="0"/>
        <w:jc w:val="left"/>
        <w:rPr>
          <w:rFonts w:ascii="Times New Roman;serif" w:hAnsi="Times New Roman;serif"/>
          <w:b/>
          <w:i/>
          <w:sz w:val="20"/>
        </w:rPr>
      </w:pPr>
      <w:r>
        <w:rPr>
          <w:rFonts w:ascii="Times New Roman;serif" w:hAnsi="Times New Roman;serif"/>
          <w:b/>
          <w:i/>
          <w:sz w:val="20"/>
        </w:rPr>
        <w:t>Failure to comply with laws and regulations could harm our business.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Our business is subject to regulation by various federal, state, local and foreign governmental agencies, including agencies responsible for monitoring and enforcing employment and labor laws, workplace safety, environmental laws, consumer protection laws, anti-bribery laws, import/export controls, federal securities laws and tax laws and regulations. In certain jurisdictions, these regulatory requirements may be more stringent than those in the United States. Noncompliance with applicable regulations or requirements could subject us to investigations, sanctions, mandatory recalls, enforcement actions, disgorgement of profits, fines, damages, civil and criminal penalties or injunctions.</w:t>
      </w:r>
    </w:p>
    <w:p>
      <w:pPr>
        <w:pStyle w:val="TextBody"/>
        <w:bidi w:val="0"/>
        <w:spacing w:before="200" w:after="0"/>
        <w:jc w:val="left"/>
        <w:rPr>
          <w:rFonts w:ascii="Times New Roman;serif" w:hAnsi="Times New Roman;serif"/>
          <w:b/>
          <w:i/>
          <w:sz w:val="20"/>
        </w:rPr>
      </w:pPr>
      <w:r>
        <w:rPr>
          <w:rFonts w:ascii="Times New Roman;serif" w:hAnsi="Times New Roman;serif"/>
          <w:b/>
          <w:i/>
          <w:sz w:val="20"/>
        </w:rPr>
        <w:t>Our ability to raise capital in the future may be limited, and our failure to raise capital when needed could prevent us from growing.</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Our business and operations may consume resources faster than we anticipate. In the future, we may need to raise additional funds to invest in future growth opportunities. Additional financing may not be available on favorable terms, if at all. In addition, recent volatility in capital markets and lower market prices for many securities may affect our ability to access new capital through sales of shares of our common stock or issuance of indebtedness, which may materially harm our liquidity, limit our ability to grow our business, pursue acquisitions or improve our operating infrastructure and restrict our ability to compete in our markets.</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If adequate funds are not available on acceptable terms, we may be unable to invest in future growth opportunities, which could seriously harm our business and operating results. If we incur debt, the debt holders would have rights senior to common stockholders to make claims on our assets, and the terms of any debt could restrict our operations, including our ability to pay dividends on our common stock. Furthermore, if we issue equity securities, stockholders will experience dilution, and the new equity securities could have rights senior to those of our common stock. The Notes are and any additional equity or equity-linked financings would be dilutive to our stockholders. Because our decision to issue securities in any future offering will depend on market conditions and other factors beyond our control, we cannot predict or estimate the amount, timing or nature of our future offerings. As a result, our stockholders bear the risk of our future securities offerings reducing the market price of our common stock and diluting their interest.</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Climate change may have a long-term impact on our business</w:t>
      </w:r>
    </w:p>
    <w:p>
      <w:pPr>
        <w:pStyle w:val="TextBody"/>
        <w:bidi w:val="0"/>
        <w:spacing w:before="200" w:after="0"/>
        <w:jc w:val="left"/>
        <w:rPr>
          <w:rFonts w:ascii="Times New Roman" w:hAnsi="Times New Roman"/>
          <w:sz w:val="20"/>
        </w:rPr>
      </w:pPr>
      <w:r>
        <w:rPr>
          <w:rFonts w:ascii="Times New Roman;serif" w:hAnsi="Times New Roman;serif"/>
          <w:b w:val="false"/>
          <w:sz w:val="20"/>
        </w:rPr>
        <w:t>While we seek to partner with organizations that mitigate their business risks associated with climate change, we recognize that there are inherent risks wherever business is conducted. Any of our primary locations may be vulnerable to the adverse effects of climate change. For example, our offices globally may experience climate-related events at an increasing frequency, including drought, water scarcity, heat waves, cold waves, wildfires and resultant air quality impacts and power shutoffs associated with wildfire prevention. While this danger has a low-assessed risk of disrupting normal business operations, it has the potential to disrupt employees’ abilities to commute to work or to work from home and stay connected effectively. Furthermore, it is more difficult to mitigate the impact of these events on our employees to the extent they work from home. Climate-related events, including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increasing frequency of extreme weather events and their impact on the U.S.’s, Europe’s and other major regions’ critical infrastructure, have the potential to disrupt our business, our third-party suppliers and/or the business of our customers, and may cause us to experience higher attrition, losses and additional costs to maintain or resume operations. Regulatory developments, changing market dynamics and stakeholder expectations regarding climate change may impact our business, financial condition and results of operations. To inform our disclosures and take potential action as appropriate, we are working to align our reporting with emerging disclosure and accounting standards such as the Financial Stability Board’s Task Force on Climate-Related Financial Disclosures, the Sustainability Accounting Standards Board and the Global Reporting Initiative as well as potential new disclosure requirements from regulators such as the SEC.</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15" w:name="item_2_unregistered_sales_equity_securit"/>
      <w:bookmarkEnd w:id="15"/>
      <w:r>
        <w:rPr>
          <w:rFonts w:ascii="Times New Roman;serif" w:hAnsi="Times New Roman;serif"/>
          <w:b/>
          <w:sz w:val="20"/>
        </w:rPr>
        <w:t>Item 2. Unregistered Sales of Equity Securities and Use of Proceeds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6" w:name="item_3_defaults_on_senior_securities"/>
      <w:bookmarkEnd w:id="16"/>
      <w:r>
        <w:rPr>
          <w:rFonts w:ascii="Times New Roman;serif" w:hAnsi="Times New Roman;serif"/>
          <w:b/>
          <w:sz w:val="20"/>
        </w:rPr>
        <w:t>Item 3. Defaults on</w:t>
      </w:r>
      <w:r>
        <w:rPr>
          <w:rFonts w:ascii="Times New Roman" w:hAnsi="Times New Roman"/>
          <w:sz w:val="20"/>
        </w:rPr>
        <w:t xml:space="preserve"> </w:t>
      </w:r>
      <w:r>
        <w:rPr>
          <w:rFonts w:ascii="Times New Roman;serif" w:hAnsi="Times New Roman;serif"/>
          <w:b/>
          <w:sz w:val="20"/>
        </w:rPr>
        <w:t>Senior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17" w:name="item_4_mine_safety_disclosures"/>
      <w:bookmarkEnd w:id="17"/>
      <w:r>
        <w:rPr>
          <w:rFonts w:ascii="Times New Roman;serif" w:hAnsi="Times New Roman;serif"/>
          <w:b/>
          <w:sz w:val="20"/>
        </w:rPr>
        <w:t>Item 4. Mine Safety Disclosures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8" w:name="item_5_or_information"/>
      <w:bookmarkEnd w:id="18"/>
      <w:r>
        <w:rPr>
          <w:rFonts w:ascii="Times New Roman;serif" w:hAnsi="Times New Roman;serif"/>
          <w:b/>
          <w:sz w:val="20"/>
        </w:rPr>
        <w:t>Item 5. Other</w:t>
      </w:r>
      <w:r>
        <w:rPr>
          <w:rFonts w:ascii="Times New Roman" w:hAnsi="Times New Roman"/>
          <w:sz w:val="20"/>
        </w:rPr>
        <w:t xml:space="preserve"> </w:t>
      </w:r>
      <w:r>
        <w:rPr>
          <w:rFonts w:ascii="Times New Roman;serif" w:hAnsi="Times New Roman;serif"/>
          <w:b/>
          <w:sz w:val="20"/>
        </w:rPr>
        <w:t>Information</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following table describes contracts, instructions or written plans for the sale or purchase of our securities adopted</w:t>
      </w:r>
      <w:r>
        <w:rPr>
          <w:rFonts w:ascii="Times New Roman" w:hAnsi="Times New Roman"/>
          <w:sz w:val="20"/>
        </w:rPr>
        <w:t xml:space="preserve"> </w:t>
      </w:r>
      <w:r>
        <w:rPr>
          <w:rFonts w:ascii="Times New Roman;serif" w:hAnsi="Times New Roman;serif"/>
          <w:b w:val="false"/>
          <w:sz w:val="20"/>
        </w:rPr>
        <w:t>by our directors and certain officers during the second quarter of 2023, each of which is intended to satisfy the affirmative defense conditions of Exchange Act Rule 10b5-1(c), referred to as Rule 10b5-1 trading plans.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568"/>
        <w:gridCol w:w="1256"/>
        <w:gridCol w:w="3138"/>
        <w:gridCol w:w="1601"/>
        <w:gridCol w:w="1642"/>
      </w:tblGrid>
      <w:tr>
        <w:trPr/>
        <w:tc>
          <w:tcPr>
            <w:tcW w:w="2568"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3138"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r>
      <w:tr>
        <w:trPr/>
        <w:tc>
          <w:tcPr>
            <w:tcW w:w="25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Name</w:t>
            </w:r>
          </w:p>
        </w:tc>
        <w:tc>
          <w:tcPr>
            <w:tcW w:w="1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Action Taken</w:t>
            </w:r>
          </w:p>
        </w:tc>
        <w:tc>
          <w:tcPr>
            <w:tcW w:w="31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Nature of Trading Arrangement</w:t>
            </w:r>
          </w:p>
        </w:tc>
        <w:tc>
          <w:tcPr>
            <w:tcW w:w="1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Duration of Trading Arrangement</w:t>
            </w:r>
          </w:p>
        </w:tc>
        <w:tc>
          <w:tcPr>
            <w:tcW w:w="16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Aggregate Number of Securities</w:t>
            </w:r>
          </w:p>
        </w:tc>
      </w:tr>
      <w:tr>
        <w:trPr/>
        <w:tc>
          <w:tcPr>
            <w:tcW w:w="256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Dharmesh Shah</w:t>
            </w:r>
            <w:r>
              <w:rPr>
                <w:rFonts w:ascii="Times New Roman" w:hAnsi="Times New Roman"/>
                <w:sz w:val="20"/>
              </w:rPr>
              <w:t> </w:t>
            </w:r>
            <w:r>
              <w:rPr>
                <w:rFonts w:ascii="Times New Roman;serif" w:hAnsi="Times New Roman;serif"/>
                <w:b w:val="false"/>
                <w:sz w:val="20"/>
              </w:rPr>
              <w:t>(Co-Founder and Chief Technology Officer)</w:t>
            </w:r>
          </w:p>
        </w:tc>
        <w:tc>
          <w:tcPr>
            <w:tcW w:w="1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Adoption (May 17, 2023)</w:t>
            </w:r>
          </w:p>
        </w:tc>
        <w:tc>
          <w:tcPr>
            <w:tcW w:w="31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Trading plan intended to satisfy the affirmative defense conditions of Exchange Act Rule 10b5-1(c)</w:t>
            </w:r>
          </w:p>
        </w:tc>
        <w:tc>
          <w:tcPr>
            <w:tcW w:w="16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357 days</w:t>
            </w:r>
          </w:p>
        </w:tc>
        <w:tc>
          <w:tcPr>
            <w:tcW w:w="1642"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43,000</w:t>
            </w:r>
            <w:r>
              <w:rPr>
                <w:rFonts w:ascii="Times New Roman" w:hAnsi="Times New Roman"/>
                <w:sz w:val="20"/>
              </w:rPr>
              <w:t> </w:t>
            </w:r>
            <w:r>
              <w:rPr>
                <w:rFonts w:ascii="Times New Roman;serif" w:hAnsi="Times New Roman;serif"/>
                <w:b w:val="false"/>
                <w:sz w:val="20"/>
              </w:rPr>
              <w:t>shares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19" w:name="item_6_exhibits"/>
      <w:bookmarkEnd w:id="19"/>
      <w:r>
        <w:rPr>
          <w:rFonts w:ascii="Times New Roman;serif" w:hAnsi="Times New Roman;serif"/>
          <w:b/>
          <w:sz w:val="20"/>
        </w:rPr>
        <w:t>Item 6. Exhibits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exhibits listed below are filed or incorporated by reference into this Report.</w:t>
      </w:r>
    </w:p>
    <w:p>
      <w:pPr>
        <w:pStyle w:val="TextBody"/>
        <w:bidi w:val="0"/>
        <w:spacing w:before="120" w:after="0"/>
        <w:jc w:val="left"/>
        <w:rPr/>
      </w:pPr>
      <w:r>
        <w:rPr/>
        <w:t> </w:t>
      </w:r>
    </w:p>
    <w:tbl>
      <w:tblPr>
        <w:tblW w:w="10205" w:type="dxa"/>
        <w:jc w:val="left"/>
        <w:tblInd w:w="0" w:type="dxa"/>
        <w:tblLayout w:type="fixed"/>
        <w:tblCellMar>
          <w:top w:w="28" w:type="dxa"/>
          <w:left w:w="28" w:type="dxa"/>
          <w:bottom w:w="28" w:type="dxa"/>
          <w:right w:w="28" w:type="dxa"/>
        </w:tblCellMar>
      </w:tblPr>
      <w:tblGrid>
        <w:gridCol w:w="935"/>
        <w:gridCol w:w="146"/>
        <w:gridCol w:w="9124"/>
      </w:tblGrid>
      <w:tr>
        <w:trPr/>
        <w:tc>
          <w:tcPr>
            <w:tcW w:w="9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24"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124"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 Title</w:t>
            </w:r>
          </w:p>
        </w:tc>
      </w:tr>
      <w:tr>
        <w:trPr/>
        <w:tc>
          <w:tcPr>
            <w:tcW w:w="93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4" w:type="dxa"/>
            <w:tcBorders/>
            <w:vAlign w:val="center"/>
          </w:tcPr>
          <w:p>
            <w:pPr>
              <w:pStyle w:val="TableContents"/>
              <w:bidi w:val="0"/>
              <w:spacing w:before="0" w:after="0"/>
              <w:ind w:left="0" w:right="0" w:hanging="0"/>
              <w:jc w:val="left"/>
              <w:rPr/>
            </w:pPr>
            <w:r>
              <w:rPr/>
              <w:t> </w:t>
            </w:r>
          </w:p>
        </w:tc>
      </w:tr>
      <w:tr>
        <w:trPr/>
        <w:tc>
          <w:tcPr>
            <w:tcW w:w="935"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3.1(1)</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124" w:type="dxa"/>
            <w:tcBorders/>
            <w:vAlign w:val="center"/>
          </w:tcPr>
          <w:p>
            <w:pPr>
              <w:pStyle w:val="TableContents"/>
              <w:bidi w:val="0"/>
              <w:spacing w:before="0" w:after="0"/>
              <w:ind w:left="0" w:right="0" w:hanging="0"/>
              <w:jc w:val="left"/>
              <w:rPr/>
            </w:pPr>
            <w:hyperlink r:id="rId2">
              <w:r>
                <w:rPr>
                  <w:rStyle w:val="InternetLink"/>
                  <w:rFonts w:ascii="Times New Roman;serif" w:hAnsi="Times New Roman;serif"/>
                  <w:b w:val="false"/>
                  <w:sz w:val="20"/>
                  <w:u w:val="single"/>
                </w:rPr>
                <w:t>Amended and Restated Certificate of Incorporation of the Registrant</w:t>
              </w:r>
            </w:hyperlink>
          </w:p>
        </w:tc>
      </w:tr>
      <w:tr>
        <w:trPr/>
        <w:tc>
          <w:tcPr>
            <w:tcW w:w="93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24" w:type="dxa"/>
            <w:tcBorders/>
            <w:vAlign w:val="center"/>
          </w:tcPr>
          <w:p>
            <w:pPr>
              <w:pStyle w:val="TableContents"/>
              <w:bidi w:val="0"/>
              <w:spacing w:before="0" w:after="0"/>
              <w:ind w:left="0" w:right="0" w:hanging="0"/>
              <w:jc w:val="left"/>
              <w:rPr/>
            </w:pPr>
            <w:r>
              <w:rPr/>
              <w:t> </w:t>
            </w:r>
          </w:p>
        </w:tc>
      </w:tr>
      <w:tr>
        <w:trPr/>
        <w:tc>
          <w:tcPr>
            <w:tcW w:w="935"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3.2(2)</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124" w:type="dxa"/>
            <w:tcBorders/>
            <w:vAlign w:val="center"/>
          </w:tcPr>
          <w:p>
            <w:pPr>
              <w:pStyle w:val="TableContents"/>
              <w:bidi w:val="0"/>
              <w:spacing w:before="0" w:after="0"/>
              <w:ind w:left="0" w:right="0" w:hanging="0"/>
              <w:jc w:val="left"/>
              <w:rPr/>
            </w:pPr>
            <w:hyperlink r:id="rId3">
              <w:r>
                <w:rPr>
                  <w:rStyle w:val="InternetLink"/>
                  <w:rFonts w:ascii="Times New Roman;serif" w:hAnsi="Times New Roman;serif"/>
                  <w:b w:val="false"/>
                  <w:sz w:val="20"/>
                  <w:u w:val="single"/>
                </w:rPr>
                <w:t>Fourth Amended and Restated Bylaws of the Registrant</w:t>
              </w:r>
            </w:hyperlink>
            <w:hyperlink r:id="rId4">
              <w:r>
                <w:rPr>
                  <w:rStyle w:val="InternetLink"/>
                  <w:rFonts w:ascii="Times New Roman" w:hAnsi="Times New Roman"/>
                  <w:sz w:val="20"/>
                </w:rPr>
                <w:t xml:space="preserve"> </w:t>
              </w:r>
            </w:hyperlink>
          </w:p>
        </w:tc>
      </w:tr>
      <w:tr>
        <w:trPr/>
        <w:tc>
          <w:tcPr>
            <w:tcW w:w="93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24" w:type="dxa"/>
            <w:tcBorders/>
            <w:vAlign w:val="center"/>
          </w:tcPr>
          <w:p>
            <w:pPr>
              <w:pStyle w:val="TableContents"/>
              <w:bidi w:val="0"/>
              <w:spacing w:before="0" w:after="0"/>
              <w:ind w:left="0" w:right="0" w:hanging="0"/>
              <w:jc w:val="left"/>
              <w:rPr/>
            </w:pPr>
            <w:r>
              <w:rPr/>
              <w:t> </w:t>
            </w:r>
          </w:p>
        </w:tc>
      </w:tr>
      <w:tr>
        <w:trPr/>
        <w:tc>
          <w:tcPr>
            <w:tcW w:w="935"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4.1(3)</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124" w:type="dxa"/>
            <w:tcBorders/>
            <w:vAlign w:val="center"/>
          </w:tcPr>
          <w:p>
            <w:pPr>
              <w:pStyle w:val="TableContents"/>
              <w:bidi w:val="0"/>
              <w:spacing w:before="0" w:after="0"/>
              <w:ind w:left="0" w:right="0" w:hanging="0"/>
              <w:jc w:val="left"/>
              <w:rPr/>
            </w:pPr>
            <w:hyperlink r:id="rId5">
              <w:r>
                <w:rPr>
                  <w:rStyle w:val="InternetLink"/>
                  <w:rFonts w:ascii="Times New Roman;serif" w:hAnsi="Times New Roman;serif"/>
                  <w:b w:val="false"/>
                  <w:sz w:val="20"/>
                  <w:u w:val="single"/>
                </w:rPr>
                <w:t>Form of Common Stock certificate of the Registrant</w:t>
              </w:r>
            </w:hyperlink>
          </w:p>
        </w:tc>
      </w:tr>
      <w:tr>
        <w:trPr/>
        <w:tc>
          <w:tcPr>
            <w:tcW w:w="93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24" w:type="dxa"/>
            <w:tcBorders/>
            <w:vAlign w:val="center"/>
          </w:tcPr>
          <w:p>
            <w:pPr>
              <w:pStyle w:val="TableContents"/>
              <w:bidi w:val="0"/>
              <w:spacing w:before="0" w:after="0"/>
              <w:ind w:left="0" w:right="0" w:hanging="0"/>
              <w:jc w:val="left"/>
              <w:rPr/>
            </w:pPr>
            <w:r>
              <w:rPr/>
              <w:t> </w:t>
            </w:r>
          </w:p>
        </w:tc>
      </w:tr>
      <w:tr>
        <w:trPr/>
        <w:tc>
          <w:tcPr>
            <w:tcW w:w="935"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31.1**</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124" w:type="dxa"/>
            <w:tcBorders/>
            <w:vAlign w:val="center"/>
          </w:tcPr>
          <w:p>
            <w:pPr>
              <w:pStyle w:val="TableContents"/>
              <w:bidi w:val="0"/>
              <w:spacing w:before="0" w:after="0"/>
              <w:ind w:left="0" w:right="0" w:hanging="0"/>
              <w:jc w:val="left"/>
              <w:rPr/>
            </w:pPr>
            <w:hyperlink w:anchor="hubs-ex31_1.htm">
              <w:r>
                <w:rPr>
                  <w:rStyle w:val="InternetLink"/>
                  <w:rFonts w:ascii="Times New Roman;serif" w:hAnsi="Times New Roman;serif"/>
                  <w:b w:val="false"/>
                  <w:sz w:val="20"/>
                  <w:u w:val="single"/>
                </w:rPr>
                <w:t>Certification of Principal Executive Officer pursuant to Rule 13a-14(a) or Rule 15d-14(a) of the Securities Exchange Act of 1934, as amended</w:t>
              </w:r>
            </w:hyperlink>
          </w:p>
        </w:tc>
      </w:tr>
      <w:tr>
        <w:trPr/>
        <w:tc>
          <w:tcPr>
            <w:tcW w:w="93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24" w:type="dxa"/>
            <w:tcBorders/>
            <w:vAlign w:val="center"/>
          </w:tcPr>
          <w:p>
            <w:pPr>
              <w:pStyle w:val="TableContents"/>
              <w:bidi w:val="0"/>
              <w:spacing w:before="0" w:after="0"/>
              <w:ind w:left="0" w:right="0" w:hanging="0"/>
              <w:jc w:val="left"/>
              <w:rPr/>
            </w:pPr>
            <w:r>
              <w:rPr/>
              <w:t> </w:t>
            </w:r>
          </w:p>
        </w:tc>
      </w:tr>
      <w:tr>
        <w:trPr/>
        <w:tc>
          <w:tcPr>
            <w:tcW w:w="935"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31.2**</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124" w:type="dxa"/>
            <w:tcBorders/>
            <w:vAlign w:val="center"/>
          </w:tcPr>
          <w:p>
            <w:pPr>
              <w:pStyle w:val="TableContents"/>
              <w:bidi w:val="0"/>
              <w:spacing w:before="0" w:after="0"/>
              <w:ind w:left="0" w:right="0" w:hanging="0"/>
              <w:jc w:val="left"/>
              <w:rPr/>
            </w:pPr>
            <w:hyperlink w:anchor="hubs-ex31_2.htm">
              <w:r>
                <w:rPr>
                  <w:rStyle w:val="InternetLink"/>
                  <w:rFonts w:ascii="Times New Roman;serif" w:hAnsi="Times New Roman;serif"/>
                  <w:b w:val="false"/>
                  <w:sz w:val="20"/>
                  <w:u w:val="single"/>
                </w:rPr>
                <w:t>Certification of Principal Financial Officer pursuant to Rule 13a-14(a) or Rule 15d-14(a) of the Securities Exchange Act of 1934, as amended</w:t>
              </w:r>
            </w:hyperlink>
          </w:p>
        </w:tc>
      </w:tr>
      <w:tr>
        <w:trPr/>
        <w:tc>
          <w:tcPr>
            <w:tcW w:w="93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24" w:type="dxa"/>
            <w:tcBorders/>
            <w:vAlign w:val="center"/>
          </w:tcPr>
          <w:p>
            <w:pPr>
              <w:pStyle w:val="TableContents"/>
              <w:bidi w:val="0"/>
              <w:spacing w:before="0" w:after="0"/>
              <w:ind w:left="0" w:right="0" w:hanging="0"/>
              <w:jc w:val="left"/>
              <w:rPr/>
            </w:pPr>
            <w:r>
              <w:rPr/>
              <w:t> </w:t>
            </w:r>
          </w:p>
        </w:tc>
      </w:tr>
      <w:tr>
        <w:trPr/>
        <w:tc>
          <w:tcPr>
            <w:tcW w:w="935"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32.1*</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124" w:type="dxa"/>
            <w:tcBorders/>
            <w:vAlign w:val="center"/>
          </w:tcPr>
          <w:p>
            <w:pPr>
              <w:pStyle w:val="TableContents"/>
              <w:bidi w:val="0"/>
              <w:spacing w:before="0" w:after="0"/>
              <w:ind w:left="0" w:right="0" w:hanging="0"/>
              <w:jc w:val="left"/>
              <w:rPr/>
            </w:pPr>
            <w:hyperlink w:anchor="hubs-ex32_1.htm">
              <w:r>
                <w:rPr>
                  <w:rStyle w:val="InternetLink"/>
                  <w:rFonts w:ascii="Times New Roman;serif" w:hAnsi="Times New Roman;serif"/>
                  <w:b w:val="false"/>
                  <w:sz w:val="20"/>
                  <w:u w:val="single"/>
                </w:rPr>
                <w:t>Certification of Principal Executive Officer and Principal Financial Officer pursuant to Section 906 of the Sarbanes-Oxley Act</w:t>
              </w:r>
            </w:hyperlink>
          </w:p>
        </w:tc>
      </w:tr>
      <w:tr>
        <w:trPr/>
        <w:tc>
          <w:tcPr>
            <w:tcW w:w="93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24" w:type="dxa"/>
            <w:tcBorders/>
            <w:vAlign w:val="center"/>
          </w:tcPr>
          <w:p>
            <w:pPr>
              <w:pStyle w:val="TableContents"/>
              <w:bidi w:val="0"/>
              <w:spacing w:before="0" w:after="0"/>
              <w:ind w:left="0" w:right="0" w:hanging="0"/>
              <w:jc w:val="left"/>
              <w:rPr/>
            </w:pPr>
            <w:r>
              <w:rPr/>
              <w:t> </w:t>
            </w:r>
          </w:p>
        </w:tc>
      </w:tr>
      <w:tr>
        <w:trPr/>
        <w:tc>
          <w:tcPr>
            <w:tcW w:w="935"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101.INS**</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1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XBRL tags are embedded within the Inline XBRL document</w:t>
            </w:r>
          </w:p>
        </w:tc>
      </w:tr>
      <w:tr>
        <w:trPr/>
        <w:tc>
          <w:tcPr>
            <w:tcW w:w="93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24" w:type="dxa"/>
            <w:tcBorders/>
            <w:vAlign w:val="center"/>
          </w:tcPr>
          <w:p>
            <w:pPr>
              <w:pStyle w:val="TableContents"/>
              <w:bidi w:val="0"/>
              <w:spacing w:before="0" w:after="0"/>
              <w:ind w:left="0" w:right="0" w:hanging="0"/>
              <w:jc w:val="left"/>
              <w:rPr/>
            </w:pPr>
            <w:r>
              <w:rPr/>
              <w:t> </w:t>
            </w:r>
          </w:p>
        </w:tc>
      </w:tr>
      <w:tr>
        <w:trPr/>
        <w:tc>
          <w:tcPr>
            <w:tcW w:w="935"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101.SCH**</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1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93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24" w:type="dxa"/>
            <w:tcBorders/>
            <w:vAlign w:val="center"/>
          </w:tcPr>
          <w:p>
            <w:pPr>
              <w:pStyle w:val="TableContents"/>
              <w:bidi w:val="0"/>
              <w:spacing w:before="0" w:after="0"/>
              <w:ind w:left="0" w:right="0" w:hanging="0"/>
              <w:jc w:val="left"/>
              <w:rPr/>
            </w:pPr>
            <w:r>
              <w:rPr/>
              <w:t> </w:t>
            </w:r>
          </w:p>
        </w:tc>
      </w:tr>
      <w:tr>
        <w:trPr/>
        <w:tc>
          <w:tcPr>
            <w:tcW w:w="935"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101.CAL**</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1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93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24" w:type="dxa"/>
            <w:tcBorders/>
            <w:vAlign w:val="center"/>
          </w:tcPr>
          <w:p>
            <w:pPr>
              <w:pStyle w:val="TableContents"/>
              <w:bidi w:val="0"/>
              <w:spacing w:before="0" w:after="0"/>
              <w:ind w:left="0" w:right="0" w:hanging="0"/>
              <w:jc w:val="left"/>
              <w:rPr/>
            </w:pPr>
            <w:r>
              <w:rPr/>
              <w:t> </w:t>
            </w:r>
          </w:p>
        </w:tc>
      </w:tr>
      <w:tr>
        <w:trPr/>
        <w:tc>
          <w:tcPr>
            <w:tcW w:w="935"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101.DEF**</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1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93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24" w:type="dxa"/>
            <w:tcBorders/>
            <w:vAlign w:val="center"/>
          </w:tcPr>
          <w:p>
            <w:pPr>
              <w:pStyle w:val="TableContents"/>
              <w:bidi w:val="0"/>
              <w:spacing w:before="0" w:after="0"/>
              <w:ind w:left="0" w:right="0" w:hanging="0"/>
              <w:jc w:val="left"/>
              <w:rPr/>
            </w:pPr>
            <w:r>
              <w:rPr/>
              <w:t> </w:t>
            </w:r>
          </w:p>
        </w:tc>
      </w:tr>
      <w:tr>
        <w:trPr/>
        <w:tc>
          <w:tcPr>
            <w:tcW w:w="935"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101.LAB**</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1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93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24" w:type="dxa"/>
            <w:tcBorders/>
            <w:vAlign w:val="center"/>
          </w:tcPr>
          <w:p>
            <w:pPr>
              <w:pStyle w:val="TableContents"/>
              <w:bidi w:val="0"/>
              <w:spacing w:before="0" w:after="0"/>
              <w:ind w:left="0" w:right="0" w:hanging="0"/>
              <w:jc w:val="left"/>
              <w:rPr/>
            </w:pPr>
            <w:r>
              <w:rPr/>
              <w:t> </w:t>
            </w:r>
          </w:p>
        </w:tc>
      </w:tr>
      <w:tr>
        <w:trPr/>
        <w:tc>
          <w:tcPr>
            <w:tcW w:w="935"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101.PRE**</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1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93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24" w:type="dxa"/>
            <w:tcBorders/>
            <w:vAlign w:val="center"/>
          </w:tcPr>
          <w:p>
            <w:pPr>
              <w:pStyle w:val="TableContents"/>
              <w:bidi w:val="0"/>
              <w:spacing w:before="0" w:after="0"/>
              <w:ind w:left="0" w:right="0" w:hanging="0"/>
              <w:jc w:val="left"/>
              <w:rPr/>
            </w:pPr>
            <w:r>
              <w:rPr/>
              <w:t> </w:t>
            </w:r>
          </w:p>
        </w:tc>
      </w:tr>
      <w:tr>
        <w:trPr/>
        <w:tc>
          <w:tcPr>
            <w:tcW w:w="935"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104**</w:t>
            </w:r>
          </w:p>
        </w:tc>
        <w:tc>
          <w:tcPr>
            <w:tcW w:w="146" w:type="dxa"/>
            <w:tcBorders/>
            <w:vAlign w:val="center"/>
          </w:tcPr>
          <w:p>
            <w:pPr>
              <w:pStyle w:val="TableContents"/>
              <w:bidi w:val="0"/>
              <w:spacing w:before="0" w:after="0"/>
              <w:ind w:left="0" w:right="0" w:hanging="0"/>
              <w:jc w:val="left"/>
              <w:rPr/>
            </w:pPr>
            <w:r>
              <w:rPr/>
              <w:t> </w:t>
            </w:r>
          </w:p>
        </w:tc>
        <w:tc>
          <w:tcPr>
            <w:tcW w:w="91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(formatted as Inline XBRL with applicable taxonomy extension information contained in Exhibits 101.*)</w:t>
            </w:r>
          </w:p>
        </w:tc>
      </w:tr>
    </w:tbl>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Filed herewith.</w:t>
      </w:r>
    </w:p>
    <w:p>
      <w:pPr>
        <w:pStyle w:val="TextBody"/>
        <w:bidi w:val="0"/>
        <w:spacing w:before="4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(1) Incorporated by reference to Exhibit 3.1 to HubSpot, Inc.’s Annual Report on Form 10-K filed on February 24, 2016.</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(2) Incorporated by reference to Exhibit 3.1 to HubSpot Inc.’s Current Report on Form 8-K filed with the SEC January 27, 2023.</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(3) Incorporated by reference to Exhibit 4.1 to Amendment No. 1 to registrant’s Registration Statement on Form S-1 (SEC file No. 333-198333) filed on September 26, 2014.</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0" w:name="signatures"/>
      <w:bookmarkEnd w:id="20"/>
      <w:r>
        <w:rPr>
          <w:rFonts w:ascii="Times New Roman;serif" w:hAnsi="Times New Roman;serif"/>
          <w:b/>
          <w:sz w:val="20"/>
        </w:rPr>
        <w:t>SIGNATURES</w:t>
      </w:r>
    </w:p>
    <w:p>
      <w:pPr>
        <w:pStyle w:val="TextBody"/>
        <w:bidi w:val="0"/>
        <w:spacing w:before="120" w:after="0"/>
        <w:jc w:val="left"/>
        <w:rPr>
          <w:rFonts w:ascii="Times New Roman" w:hAnsi="Times New Roman"/>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r>
        <w:rPr>
          <w:rFonts w:ascii="Times New Roman" w:hAnsi="Times New Roman"/>
          <w:sz w:val="20"/>
        </w:rPr>
        <w:t xml:space="preserve"> </w:t>
      </w:r>
    </w:p>
    <w:tbl>
      <w:tblPr>
        <w:tblW w:w="4033" w:type="dxa"/>
        <w:jc w:val="left"/>
        <w:tblInd w:w="0" w:type="dxa"/>
        <w:tblLayout w:type="fixed"/>
        <w:tblCellMar>
          <w:top w:w="28" w:type="dxa"/>
          <w:left w:w="28" w:type="dxa"/>
          <w:bottom w:w="28" w:type="dxa"/>
          <w:right w:w="28" w:type="dxa"/>
        </w:tblCellMar>
      </w:tblPr>
      <w:tblGrid>
        <w:gridCol w:w="646"/>
        <w:gridCol w:w="146"/>
        <w:gridCol w:w="324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4033" w:type="dxa"/>
            <w:gridSpan w:val="3"/>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HUBSPOT, INC.</w:t>
            </w:r>
          </w:p>
        </w:tc>
      </w:tr>
      <w:tr>
        <w:trPr/>
        <w:tc>
          <w:tcPr>
            <w:tcW w:w="646" w:type="dxa"/>
            <w:tcBorders/>
            <w:vAlign w:val="center"/>
          </w:tcPr>
          <w:p>
            <w:pPr>
              <w:pStyle w:val="TableContents"/>
              <w:bidi w:val="0"/>
              <w:spacing w:before="0" w:after="0"/>
              <w:ind w:left="0" w:right="0" w:hanging="0"/>
              <w:jc w:val="left"/>
              <w:rPr/>
            </w:pPr>
            <w:r>
              <w:rPr/>
              <w:t> </w:t>
            </w:r>
          </w:p>
        </w:tc>
        <w:tc>
          <w:tcPr>
            <w:tcW w:w="3387" w:type="dxa"/>
            <w:gridSpan w:val="2"/>
            <w:tcBorders/>
            <w:vAlign w:val="center"/>
          </w:tcPr>
          <w:p>
            <w:pPr>
              <w:pStyle w:val="TableContents"/>
              <w:bidi w:val="0"/>
              <w:spacing w:before="0" w:after="0"/>
              <w:ind w:left="0" w:right="0" w:hanging="0"/>
              <w:jc w:val="left"/>
              <w:rPr/>
            </w:pPr>
            <w:r>
              <w:rPr/>
              <w:t> </w:t>
            </w:r>
          </w:p>
        </w:tc>
      </w:tr>
      <w:tr>
        <w:trPr/>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Kate Bueker</w:t>
            </w:r>
          </w:p>
        </w:tc>
      </w:tr>
      <w:tr>
        <w:trPr/>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146" w:type="dxa"/>
            <w:tcBorders/>
            <w:vAlign w:val="center"/>
          </w:tcPr>
          <w:p>
            <w:pPr>
              <w:pStyle w:val="TableContents"/>
              <w:bidi w:val="0"/>
              <w:spacing w:before="0" w:after="0"/>
              <w:ind w:left="0" w:right="0" w:hanging="0"/>
              <w:jc w:val="left"/>
              <w:rPr/>
            </w:pPr>
            <w:r>
              <w:rPr/>
              <w:t> </w:t>
            </w:r>
          </w:p>
        </w:tc>
        <w:tc>
          <w:tcPr>
            <w:tcW w:w="3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Kate Bueker</w:t>
            </w:r>
          </w:p>
        </w:tc>
      </w:tr>
      <w:tr>
        <w:trPr/>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146" w:type="dxa"/>
            <w:tcBorders/>
            <w:vAlign w:val="center"/>
          </w:tcPr>
          <w:p>
            <w:pPr>
              <w:pStyle w:val="TableContents"/>
              <w:bidi w:val="0"/>
              <w:spacing w:before="0" w:after="0"/>
              <w:ind w:left="0" w:right="0" w:hanging="0"/>
              <w:jc w:val="left"/>
              <w:rPr/>
            </w:pPr>
            <w:r>
              <w:rPr/>
              <w:t> </w:t>
            </w:r>
          </w:p>
        </w:tc>
        <w:tc>
          <w:tcPr>
            <w:tcW w:w="3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p>
            <w:pPr>
              <w:pStyle w:val="TableContents"/>
              <w:bidi w:val="0"/>
              <w:spacing w:before="0" w:after="0"/>
              <w:ind w:left="0" w:right="0" w:hanging="0"/>
              <w:jc w:val="left"/>
              <w:rPr>
                <w:rFonts w:ascii="Times New Roman" w:hAnsi="Times New Roman"/>
                <w:sz w:val="20"/>
              </w:rPr>
            </w:pPr>
            <w:r>
              <w:rPr>
                <w:rFonts w:ascii="Times New Roman;serif" w:hAnsi="Times New Roman;serif"/>
                <w:b w:val="false"/>
                <w:i/>
                <w:sz w:val="20"/>
              </w:rPr>
              <w:t>(Principal Financial and Accounting</w:t>
            </w:r>
            <w:r>
              <w:rPr>
                <w:rFonts w:ascii="Times New Roman" w:hAnsi="Times New Roman"/>
                <w:sz w:val="20"/>
              </w:rPr>
              <w:t xml:space="preserve"> </w:t>
            </w:r>
          </w:p>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Officer and Authorized Signatory)</w:t>
            </w:r>
          </w:p>
        </w:tc>
      </w:tr>
    </w:tbl>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August 2, 2023</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61</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1" w:name="hubs-ex31_1.htm"/>
      <w:bookmarkStart w:id="22" w:name="kshubsex31_1"/>
      <w:bookmarkEnd w:id="21"/>
      <w:bookmarkEnd w:id="22"/>
      <w:r>
        <w:rPr/>
        <w:t> </w:t>
      </w:r>
      <w:r>
        <w:br w:type="page"/>
      </w:r>
    </w:p>
    <w:p>
      <w:pPr>
        <w:pStyle w:val="TextBody"/>
        <w:bidi w:val="0"/>
        <w:spacing w:before="0" w:after="0"/>
        <w:jc w:val="right"/>
        <w:rPr>
          <w:rFonts w:ascii="Times New Roman" w:hAnsi="Times New Roman"/>
          <w:sz w:val="20"/>
        </w:rPr>
      </w:pPr>
      <w:r>
        <w:rPr>
          <w:rFonts w:ascii="Times New Roman;serif" w:hAnsi="Times New Roman;serif"/>
          <w:b/>
          <w:sz w:val="20"/>
        </w:rPr>
        <w:t>Exhibit 31.1</w:t>
      </w:r>
      <w:r>
        <w:rPr>
          <w:rFonts w:ascii="Times New Roman" w:hAnsi="Times New Roman"/>
          <w:sz w:val="20"/>
        </w:rPr>
        <w:t xml:space="preserve"> </w:t>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of Chief Executive Officer</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Exchange Act Rules 13a-14(a) and 15d-14(a),</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Yamini Rangan, certify that:</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 have reviewed this quarterly report on Form 10-Q of HubSpot, Inc.;</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left"/>
        <w:rPr>
          <w:rFonts w:ascii="Times New Roman" w:hAnsi="Times New Roman"/>
          <w:b w:val="false"/>
          <w:sz w:val="20"/>
        </w:rPr>
      </w:pPr>
      <w:r>
        <w:rPr>
          <w:rFonts w:ascii="Times New Roman" w:hAnsi="Times New Roman"/>
          <w:b w:val="false"/>
          <w:sz w:val="20"/>
        </w:rPr>
        <w:t>(c)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0"/>
        <w:jc w:val="left"/>
        <w:rPr>
          <w:rFonts w:ascii="Times New Roman" w:hAnsi="Times New Roman"/>
          <w:b w:val="false"/>
          <w:sz w:val="20"/>
        </w:rPr>
      </w:pPr>
      <w:r>
        <w:rPr>
          <w:rFonts w:ascii="Times New Roman" w:hAnsi="Times New Roman"/>
          <w:b w:val="false"/>
          <w:sz w:val="20"/>
        </w:rPr>
        <w:t>5.</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tbl>
      <w:tblPr>
        <w:tblW w:w="5020" w:type="dxa"/>
        <w:jc w:val="left"/>
        <w:tblInd w:w="0" w:type="dxa"/>
        <w:tblLayout w:type="fixed"/>
        <w:tblCellMar>
          <w:top w:w="28" w:type="dxa"/>
          <w:left w:w="28" w:type="dxa"/>
          <w:bottom w:w="28" w:type="dxa"/>
          <w:right w:w="28" w:type="dxa"/>
        </w:tblCellMar>
      </w:tblPr>
      <w:tblGrid>
        <w:gridCol w:w="1846"/>
        <w:gridCol w:w="146"/>
        <w:gridCol w:w="406"/>
        <w:gridCol w:w="146"/>
        <w:gridCol w:w="247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2, 2023</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0"/>
              <w:ind w:left="0" w:right="0" w:hanging="0"/>
              <w:jc w:val="left"/>
              <w:rPr/>
            </w:pPr>
            <w:r>
              <w:rPr/>
              <w:t> </w:t>
            </w:r>
          </w:p>
        </w:tc>
        <w:tc>
          <w:tcPr>
            <w:tcW w:w="247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Yamini Rangan</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Yamini Rangan</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p>
            <w:pPr>
              <w:pStyle w:val="TableContents"/>
              <w:bidi w:val="0"/>
              <w:spacing w:before="0" w:after="2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3" w:name="hubs-ex31_2.htm"/>
      <w:bookmarkStart w:id="24" w:name="kshubsex31_2"/>
      <w:bookmarkEnd w:id="23"/>
      <w:bookmarkEnd w:id="24"/>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31.2</w:t>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of Chief Financial Officer</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Exchange Act Rules 13a-14(a) and 15d-14(a),</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Kate Bueker, certify that:</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 have reviewed this quarterly report on Form 10-Q of HubSpot, Inc.;</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left"/>
        <w:rPr>
          <w:rFonts w:ascii="Times New Roman" w:hAnsi="Times New Roman"/>
          <w:b w:val="false"/>
          <w:sz w:val="20"/>
        </w:rPr>
      </w:pPr>
      <w:r>
        <w:rPr>
          <w:rFonts w:ascii="Times New Roman" w:hAnsi="Times New Roman"/>
          <w:b w:val="false"/>
          <w:sz w:val="20"/>
        </w:rPr>
        <w:t>(c)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0"/>
        <w:jc w:val="left"/>
        <w:rPr>
          <w:rFonts w:ascii="Times New Roman" w:hAnsi="Times New Roman"/>
          <w:b w:val="false"/>
          <w:sz w:val="20"/>
        </w:rPr>
      </w:pPr>
      <w:r>
        <w:rPr>
          <w:rFonts w:ascii="Times New Roman" w:hAnsi="Times New Roman"/>
          <w:b w:val="false"/>
          <w:sz w:val="20"/>
        </w:rPr>
        <w:t>5.</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tbl>
      <w:tblPr>
        <w:tblW w:w="4960" w:type="dxa"/>
        <w:jc w:val="left"/>
        <w:tblInd w:w="0" w:type="dxa"/>
        <w:tblLayout w:type="fixed"/>
        <w:tblCellMar>
          <w:top w:w="28" w:type="dxa"/>
          <w:left w:w="28" w:type="dxa"/>
          <w:bottom w:w="28" w:type="dxa"/>
          <w:right w:w="28" w:type="dxa"/>
        </w:tblCellMar>
      </w:tblPr>
      <w:tblGrid>
        <w:gridCol w:w="1846"/>
        <w:gridCol w:w="146"/>
        <w:gridCol w:w="406"/>
        <w:gridCol w:w="146"/>
        <w:gridCol w:w="24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2, 2023</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0"/>
              <w:ind w:left="0" w:right="0" w:hanging="0"/>
              <w:jc w:val="left"/>
              <w:rPr/>
            </w:pPr>
            <w:r>
              <w:rPr/>
              <w:t> </w:t>
            </w:r>
          </w:p>
        </w:tc>
        <w:tc>
          <w:tcPr>
            <w:tcW w:w="241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/s/ Kate Bueker</w:t>
            </w:r>
            <w:r>
              <w:rPr>
                <w:rFonts w:ascii="Times New Roman" w:hAnsi="Times New Roman"/>
                <w:sz w:val="20"/>
              </w:rPr>
              <w:t xml:space="preserve"> </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Kate Bueker</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Chief Financial Officer</w:t>
            </w:r>
            <w:r>
              <w:rPr>
                <w:rFonts w:ascii="Times New Roman" w:hAnsi="Times New Roman"/>
                <w:sz w:val="20"/>
              </w:rPr>
              <w:t xml:space="preserve"> </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5" w:name="hubs-ex32_1.htm"/>
      <w:bookmarkStart w:id="26" w:name="kshubsex32_1"/>
      <w:bookmarkEnd w:id="25"/>
      <w:bookmarkEnd w:id="26"/>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32.1</w:t>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OF CHIEF EXECUTIVE OFFICER AND CHIEF FINANCIAL OFFICER</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Yamini Rangan, certify, pursuant to 18 U.S.C. Section 1350, as adopted pursuant to Section 906 of the Sarbanes-Oxley Act of 2002, that, to my knowledge, the Quarterly Report on Form 10-Q of HubSpot, Inc. for the period ended June 30, 2023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tbl>
      <w:tblPr>
        <w:tblW w:w="5020" w:type="dxa"/>
        <w:jc w:val="left"/>
        <w:tblInd w:w="0" w:type="dxa"/>
        <w:tblLayout w:type="fixed"/>
        <w:tblCellMar>
          <w:top w:w="28" w:type="dxa"/>
          <w:left w:w="28" w:type="dxa"/>
          <w:bottom w:w="28" w:type="dxa"/>
          <w:right w:w="28" w:type="dxa"/>
        </w:tblCellMar>
      </w:tblPr>
      <w:tblGrid>
        <w:gridCol w:w="1846"/>
        <w:gridCol w:w="146"/>
        <w:gridCol w:w="406"/>
        <w:gridCol w:w="146"/>
        <w:gridCol w:w="247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2, 2023</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0"/>
              <w:ind w:left="0" w:right="0" w:hanging="0"/>
              <w:jc w:val="left"/>
              <w:rPr/>
            </w:pPr>
            <w:r>
              <w:rPr/>
              <w:t> </w:t>
            </w:r>
          </w:p>
        </w:tc>
        <w:tc>
          <w:tcPr>
            <w:tcW w:w="247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Yamini Rangan</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Yamini Rangan</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p>
            <w:pPr>
              <w:pStyle w:val="TableContents"/>
              <w:bidi w:val="0"/>
              <w:spacing w:before="0" w:after="2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bidi w:val="0"/>
        <w:spacing w:before="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I, Kate Bueker, certify, pursuant to 18 U.S.C. Section 1350, as adopted pursuant to Section 906 of the Sarbanes-Oxley Act of 2002, that, to my knowledge, the Quarterly Report on Form 10-Q of HubSpot, Inc. for the period ended June 30, 2023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tbl>
      <w:tblPr>
        <w:tblW w:w="4960" w:type="dxa"/>
        <w:jc w:val="left"/>
        <w:tblInd w:w="0" w:type="dxa"/>
        <w:tblLayout w:type="fixed"/>
        <w:tblCellMar>
          <w:top w:w="28" w:type="dxa"/>
          <w:left w:w="28" w:type="dxa"/>
          <w:bottom w:w="28" w:type="dxa"/>
          <w:right w:w="28" w:type="dxa"/>
        </w:tblCellMar>
      </w:tblPr>
      <w:tblGrid>
        <w:gridCol w:w="1846"/>
        <w:gridCol w:w="146"/>
        <w:gridCol w:w="406"/>
        <w:gridCol w:w="146"/>
        <w:gridCol w:w="24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2, 2023</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0"/>
              <w:ind w:left="0" w:right="0" w:hanging="0"/>
              <w:jc w:val="left"/>
              <w:rPr/>
            </w:pPr>
            <w:r>
              <w:rPr/>
              <w:t> </w:t>
            </w:r>
          </w:p>
        </w:tc>
        <w:tc>
          <w:tcPr>
            <w:tcW w:w="241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Kate Bueker</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Kate Bueker</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Chief Financial Officer</w:t>
            </w:r>
            <w:r>
              <w:rPr>
                <w:rFonts w:ascii="Times New Roman" w:hAnsi="Times New Roman"/>
                <w:sz w:val="20"/>
              </w:rPr>
              <w:t xml:space="preserve"> </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Officer)</w:t>
            </w:r>
          </w:p>
        </w:tc>
      </w:tr>
    </w:tbl>
    <w:p>
      <w:pPr>
        <w:pStyle w:val="TextBody"/>
        <w:bidi w:val="0"/>
        <w:spacing w:before="0" w:after="0"/>
        <w:jc w:val="left"/>
        <w:rPr/>
      </w:pPr>
      <w:r>
        <w:rPr/>
        <w:t> </w:t>
      </w:r>
    </w:p>
    <w:p>
      <w:pPr>
        <w:pStyle w:val="TextBody"/>
        <w:bidi w:val="0"/>
        <w:spacing w:before="40" w:after="0"/>
        <w:jc w:val="left"/>
        <w:rPr>
          <w:rFonts w:ascii="Times New Roman;serif" w:hAnsi="Times New Roman;serif"/>
          <w:b w:val="false"/>
          <w:i/>
          <w:sz w:val="20"/>
        </w:rPr>
      </w:pPr>
      <w:r>
        <w:rPr>
          <w:rFonts w:ascii="Times New Roman;serif" w:hAnsi="Times New Roman;serif"/>
          <w:b w:val="false"/>
          <w:i/>
          <w:sz w:val="20"/>
        </w:rPr>
        <w:t>The foregoing certifications are not deemed filed with the Securities and Exchange Commission for purposes of Section 18 of the Securities Exchange Act of 1934, as amended (Exchange Act), and are not to be incorporated by reference into any filing of HubSpot, Inc. under the Securities Act of 1933, as amended, or the Exchange Act, whether made before or after the date hereof, regardless of any general incorporation language in such filing.</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04655/000156459016013204/hubs-ex31_768.htm" TargetMode="External"/><Relationship Id="rId3" Type="http://schemas.openxmlformats.org/officeDocument/2006/relationships/hyperlink" Target="https://www.sec.gov/Archives/edgar/data/1404655/000095017023001309/hubs-ex3_1.htm" TargetMode="External"/><Relationship Id="rId4" Type="http://schemas.openxmlformats.org/officeDocument/2006/relationships/hyperlink" Target="https://www.sec.gov/Archives/edgar/data/1404655/000095017023001309/hubs-ex3_1.htm" TargetMode="External"/><Relationship Id="rId5" Type="http://schemas.openxmlformats.org/officeDocument/2006/relationships/hyperlink" Target="https://www.sec.gov/Archives/edgar/data/1404655/000119312514353746/d697256dex4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40196</Words>
  <Characters>220380</Characters>
  <CharactersWithSpaces>262170</CharactersWithSpaces>
  <Paragraphs>8082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