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5"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706120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723265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6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71120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2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86995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6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31" w:lineRule="exact"/>
        <w:rPr>
          <w:sz w:val="24"/>
          <w:szCs w:val="24"/>
          <w:color w:val="auto"/>
        </w:rPr>
      </w:pPr>
    </w:p>
    <w:p>
      <w:pPr>
        <w:ind w:left="480" w:hanging="459"/>
        <w:spacing w:after="0"/>
        <w:tabs>
          <w:tab w:leader="none" w:pos="48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ANNUAL REPORT PURSUANT TO SECTION 13 OR 15(d) OF THE SECURITIES EXCHANGE ACT OF 1934</w:t>
      </w:r>
    </w:p>
    <w:p>
      <w:pPr>
        <w:spacing w:after="0" w:line="74" w:lineRule="exact"/>
        <w:rPr>
          <w:rFonts w:ascii="MS PGothic" w:cs="MS PGothic" w:eastAsia="MS PGothic" w:hAnsi="MS PGothic"/>
          <w:sz w:val="18"/>
          <w:szCs w:val="18"/>
          <w:color w:val="auto"/>
          <w:highlight w:val="black"/>
        </w:rPr>
      </w:pPr>
    </w:p>
    <w:p>
      <w:pPr>
        <w:ind w:left="3580"/>
        <w:spacing w:after="0"/>
        <w:rPr>
          <w:rFonts w:ascii="MS PGothic" w:cs="MS PGothic" w:eastAsia="MS PGothic" w:hAnsi="MS PGothic"/>
          <w:sz w:val="18"/>
          <w:szCs w:val="18"/>
          <w:color w:val="auto"/>
          <w:highlight w:val="black"/>
        </w:rPr>
      </w:pPr>
      <w:r>
        <w:rPr>
          <w:rFonts w:ascii="Times New Roman" w:cs="Times New Roman" w:eastAsia="Times New Roman" w:hAnsi="Times New Roman"/>
          <w:sz w:val="16"/>
          <w:szCs w:val="16"/>
          <w:b w:val="1"/>
          <w:bCs w:val="1"/>
          <w:color w:val="auto"/>
        </w:rPr>
        <w:t>FOR THE FISCAL YEAR ENDED DECEMBER 31, 2023</w:t>
      </w:r>
    </w:p>
    <w:p>
      <w:pPr>
        <w:spacing w:after="0" w:line="7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80" w:lineRule="exact"/>
        <w:rPr>
          <w:sz w:val="24"/>
          <w:szCs w:val="24"/>
          <w:color w:val="auto"/>
        </w:rPr>
      </w:pPr>
    </w:p>
    <w:p>
      <w:pPr>
        <w:ind w:left="480" w:hanging="459"/>
        <w:spacing w:after="0"/>
        <w:tabs>
          <w:tab w:leader="none" w:pos="480"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83" w:lineRule="exact"/>
        <w:rPr>
          <w:sz w:val="24"/>
          <w:szCs w:val="24"/>
          <w:color w:val="auto"/>
        </w:rPr>
      </w:pPr>
    </w:p>
    <w:p>
      <w:pPr>
        <w:ind w:left="3140"/>
        <w:spacing w:after="0"/>
        <w:tabs>
          <w:tab w:leader="none" w:pos="7000" w:val="left"/>
        </w:tabs>
        <w:rPr>
          <w:sz w:val="20"/>
          <w:szCs w:val="20"/>
          <w:color w:val="auto"/>
        </w:rPr>
      </w:pPr>
      <w:r>
        <w:rPr>
          <w:rFonts w:ascii="Times New Roman" w:cs="Times New Roman" w:eastAsia="Times New Roman" w:hAnsi="Times New Roman"/>
          <w:sz w:val="16"/>
          <w:szCs w:val="16"/>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7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Commission File Number 001-36680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81915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27" w:lineRule="exact"/>
        <w:rPr>
          <w:sz w:val="24"/>
          <w:szCs w:val="24"/>
          <w:color w:val="auto"/>
        </w:rPr>
      </w:pPr>
    </w:p>
    <w:tbl>
      <w:tblPr>
        <w:tblLayout w:type="fixed"/>
        <w:tblInd w:w="1940" w:type="dxa"/>
        <w:tblCellMar>
          <w:top w:w="0" w:type="dxa"/>
          <w:left w:w="0" w:type="dxa"/>
          <w:bottom w:w="0" w:type="dxa"/>
          <w:right w:w="0" w:type="dxa"/>
        </w:tblCellMar>
      </w:tblPr>
      <w:tr>
        <w:trPr>
          <w:trHeight w:val="459"/>
        </w:trPr>
        <w:tc>
          <w:tcPr>
            <w:tcW w:w="1680" w:type="dxa"/>
            <w:vAlign w:val="bottom"/>
          </w:tcPr>
          <w:p>
            <w:pPr>
              <w:spacing w:after="0"/>
              <w:rPr>
                <w:sz w:val="24"/>
                <w:szCs w:val="24"/>
                <w:color w:val="auto"/>
              </w:rPr>
            </w:pPr>
          </w:p>
        </w:tc>
        <w:tc>
          <w:tcPr>
            <w:tcW w:w="5360" w:type="dxa"/>
            <w:vAlign w:val="bottom"/>
            <w:gridSpan w:val="3"/>
          </w:tcPr>
          <w:p>
            <w:pPr>
              <w:jc w:val="center"/>
              <w:ind w:right="1277"/>
              <w:spacing w:after="0"/>
              <w:rPr>
                <w:sz w:val="20"/>
                <w:szCs w:val="20"/>
                <w:color w:val="auto"/>
              </w:rPr>
            </w:pPr>
            <w:r>
              <w:rPr>
                <w:rFonts w:ascii="Times New Roman" w:cs="Times New Roman" w:eastAsia="Times New Roman" w:hAnsi="Times New Roman"/>
                <w:sz w:val="38"/>
                <w:szCs w:val="38"/>
                <w:b w:val="1"/>
                <w:bCs w:val="1"/>
                <w:color w:val="auto"/>
                <w:w w:val="99"/>
              </w:rPr>
              <w:t>HubSpot, Inc.</w:t>
            </w:r>
          </w:p>
        </w:tc>
      </w:tr>
      <w:tr>
        <w:trPr>
          <w:trHeight w:val="238"/>
        </w:trPr>
        <w:tc>
          <w:tcPr>
            <w:tcW w:w="1680" w:type="dxa"/>
            <w:vAlign w:val="bottom"/>
          </w:tcPr>
          <w:p>
            <w:pPr>
              <w:spacing w:after="0"/>
              <w:rPr>
                <w:sz w:val="20"/>
                <w:szCs w:val="20"/>
                <w:color w:val="auto"/>
              </w:rPr>
            </w:pPr>
          </w:p>
        </w:tc>
        <w:tc>
          <w:tcPr>
            <w:tcW w:w="5360" w:type="dxa"/>
            <w:vAlign w:val="bottom"/>
            <w:gridSpan w:val="3"/>
          </w:tcPr>
          <w:p>
            <w:pPr>
              <w:jc w:val="center"/>
              <w:ind w:right="1277"/>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tc>
      </w:tr>
      <w:tr>
        <w:trPr>
          <w:trHeight w:val="81"/>
        </w:trPr>
        <w:tc>
          <w:tcPr>
            <w:tcW w:w="1680" w:type="dxa"/>
            <w:vAlign w:val="bottom"/>
          </w:tcPr>
          <w:p>
            <w:pPr>
              <w:spacing w:after="0"/>
              <w:rPr>
                <w:sz w:val="7"/>
                <w:szCs w:val="7"/>
                <w:color w:val="auto"/>
              </w:rPr>
            </w:pPr>
          </w:p>
        </w:tc>
        <w:tc>
          <w:tcPr>
            <w:tcW w:w="880" w:type="dxa"/>
            <w:vAlign w:val="bottom"/>
          </w:tcPr>
          <w:p>
            <w:pPr>
              <w:spacing w:after="0"/>
              <w:rPr>
                <w:sz w:val="7"/>
                <w:szCs w:val="7"/>
                <w:color w:val="auto"/>
              </w:rPr>
            </w:pPr>
          </w:p>
        </w:tc>
        <w:tc>
          <w:tcPr>
            <w:tcW w:w="2240" w:type="dxa"/>
            <w:vAlign w:val="bottom"/>
            <w:tcBorders>
              <w:bottom w:val="single" w:sz="8" w:color="auto"/>
            </w:tcBorders>
          </w:tcPr>
          <w:p>
            <w:pPr>
              <w:spacing w:after="0"/>
              <w:rPr>
                <w:sz w:val="7"/>
                <w:szCs w:val="7"/>
                <w:color w:val="auto"/>
              </w:rPr>
            </w:pPr>
          </w:p>
        </w:tc>
        <w:tc>
          <w:tcPr>
            <w:tcW w:w="2240" w:type="dxa"/>
            <w:vAlign w:val="bottom"/>
          </w:tcPr>
          <w:p>
            <w:pPr>
              <w:spacing w:after="0"/>
              <w:rPr>
                <w:sz w:val="7"/>
                <w:szCs w:val="7"/>
                <w:color w:val="auto"/>
              </w:rPr>
            </w:pPr>
          </w:p>
        </w:tc>
      </w:tr>
      <w:tr>
        <w:trPr>
          <w:trHeight w:val="271"/>
        </w:trPr>
        <w:tc>
          <w:tcPr>
            <w:tcW w:w="16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Delaware</w:t>
            </w:r>
          </w:p>
        </w:tc>
        <w:tc>
          <w:tcPr>
            <w:tcW w:w="5360" w:type="dxa"/>
            <w:vAlign w:val="bottom"/>
            <w:gridSpan w:val="3"/>
          </w:tcPr>
          <w:p>
            <w:pPr>
              <w:jc w:val="center"/>
              <w:ind w:left="4260"/>
              <w:spacing w:after="0"/>
              <w:rPr>
                <w:sz w:val="20"/>
                <w:szCs w:val="20"/>
                <w:color w:val="auto"/>
              </w:rPr>
            </w:pPr>
            <w:r>
              <w:rPr>
                <w:rFonts w:ascii="Times New Roman" w:cs="Times New Roman" w:eastAsia="Times New Roman" w:hAnsi="Times New Roman"/>
                <w:sz w:val="16"/>
                <w:szCs w:val="16"/>
                <w:b w:val="1"/>
                <w:bCs w:val="1"/>
                <w:color w:val="auto"/>
              </w:rPr>
              <w:t>20-2632791</w:t>
            </w:r>
          </w:p>
        </w:tc>
      </w:tr>
      <w:tr>
        <w:trPr>
          <w:trHeight w:val="148"/>
        </w:trPr>
        <w:tc>
          <w:tcPr>
            <w:tcW w:w="1680" w:type="dxa"/>
            <w:vAlign w:val="bottom"/>
          </w:tcPr>
          <w:p>
            <w:pPr>
              <w:jc w:val="center"/>
              <w:spacing w:after="0" w:line="148" w:lineRule="exact"/>
              <w:rPr>
                <w:sz w:val="20"/>
                <w:szCs w:val="20"/>
                <w:color w:val="auto"/>
              </w:rPr>
            </w:pPr>
            <w:r>
              <w:rPr>
                <w:rFonts w:ascii="Times New Roman" w:cs="Times New Roman" w:eastAsia="Times New Roman" w:hAnsi="Times New Roman"/>
                <w:sz w:val="13"/>
                <w:szCs w:val="13"/>
                <w:b w:val="1"/>
                <w:bCs w:val="1"/>
                <w:color w:val="auto"/>
                <w:w w:val="95"/>
              </w:rPr>
              <w:t>(State or other jurisdiction of</w:t>
            </w:r>
          </w:p>
        </w:tc>
        <w:tc>
          <w:tcPr>
            <w:tcW w:w="88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2240" w:type="dxa"/>
            <w:vAlign w:val="bottom"/>
          </w:tcPr>
          <w:p>
            <w:pPr>
              <w:jc w:val="center"/>
              <w:ind w:left="1197"/>
              <w:spacing w:after="0" w:line="148" w:lineRule="exact"/>
              <w:rPr>
                <w:sz w:val="20"/>
                <w:szCs w:val="20"/>
                <w:color w:val="auto"/>
              </w:rPr>
            </w:pPr>
            <w:r>
              <w:rPr>
                <w:rFonts w:ascii="Times New Roman" w:cs="Times New Roman" w:eastAsia="Times New Roman" w:hAnsi="Times New Roman"/>
                <w:sz w:val="13"/>
                <w:szCs w:val="13"/>
                <w:b w:val="1"/>
                <w:bCs w:val="1"/>
                <w:color w:val="auto"/>
                <w:w w:val="95"/>
              </w:rPr>
              <w:t>(I.R.S. Employer</w:t>
            </w:r>
          </w:p>
        </w:tc>
      </w:tr>
      <w:tr>
        <w:trPr>
          <w:trHeight w:val="166"/>
        </w:trPr>
        <w:tc>
          <w:tcPr>
            <w:tcW w:w="16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incorporation or organization)</w:t>
            </w:r>
          </w:p>
        </w:tc>
        <w:tc>
          <w:tcPr>
            <w:tcW w:w="88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2240" w:type="dxa"/>
            <w:vAlign w:val="bottom"/>
          </w:tcPr>
          <w:p>
            <w:pPr>
              <w:jc w:val="center"/>
              <w:ind w:left="1197"/>
              <w:spacing w:after="0"/>
              <w:rPr>
                <w:sz w:val="20"/>
                <w:szCs w:val="20"/>
                <w:color w:val="auto"/>
              </w:rPr>
            </w:pPr>
            <w:r>
              <w:rPr>
                <w:rFonts w:ascii="Times New Roman" w:cs="Times New Roman" w:eastAsia="Times New Roman" w:hAnsi="Times New Roman"/>
                <w:sz w:val="13"/>
                <w:szCs w:val="13"/>
                <w:b w:val="1"/>
                <w:bCs w:val="1"/>
                <w:color w:val="auto"/>
                <w:w w:val="96"/>
              </w:rPr>
              <w:t>Identification No.)</w:t>
            </w:r>
          </w:p>
        </w:tc>
      </w:tr>
    </w:tbl>
    <w:p>
      <w:pPr>
        <w:spacing w:after="0" w:line="4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Two Canal Park</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Cambridge, Massachusetts, 02141</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(888) 482-7768</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97" w:lineRule="exact"/>
        <w:rPr>
          <w:sz w:val="24"/>
          <w:szCs w:val="24"/>
          <w:color w:val="auto"/>
        </w:rPr>
      </w:pPr>
    </w:p>
    <w:tbl>
      <w:tblPr>
        <w:tblLayout w:type="fixed"/>
        <w:tblInd w:w="0" w:type="dxa"/>
        <w:tblCellMar>
          <w:top w:w="0" w:type="dxa"/>
          <w:left w:w="0" w:type="dxa"/>
          <w:bottom w:w="0" w:type="dxa"/>
          <w:right w:w="0" w:type="dxa"/>
        </w:tblCellMar>
      </w:tblPr>
      <w:tr>
        <w:trPr>
          <w:trHeight w:val="225"/>
        </w:trPr>
        <w:tc>
          <w:tcPr>
            <w:tcW w:w="3280" w:type="dxa"/>
            <w:vAlign w:val="bottom"/>
            <w:tcBorders>
              <w:bottom w:val="single" w:sz="8" w:color="auto"/>
            </w:tcBorders>
          </w:tcPr>
          <w:p>
            <w:pPr>
              <w:jc w:val="center"/>
              <w:ind w:left="604"/>
              <w:spacing w:after="0"/>
              <w:rPr>
                <w:sz w:val="20"/>
                <w:szCs w:val="20"/>
                <w:color w:val="auto"/>
              </w:rPr>
            </w:pPr>
            <w:r>
              <w:rPr>
                <w:rFonts w:ascii="Times New Roman" w:cs="Times New Roman" w:eastAsia="Times New Roman" w:hAnsi="Times New Roman"/>
                <w:sz w:val="16"/>
                <w:szCs w:val="16"/>
                <w:b w:val="1"/>
                <w:bCs w:val="1"/>
                <w:color w:val="auto"/>
                <w:w w:val="99"/>
              </w:rPr>
              <w:t>Title of each class</w:t>
            </w:r>
          </w:p>
        </w:tc>
        <w:tc>
          <w:tcPr>
            <w:tcW w:w="66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2700" w:type="dxa"/>
            <w:vAlign w:val="bottom"/>
            <w:tcBorders>
              <w:bottom w:val="single" w:sz="8" w:color="auto"/>
            </w:tcBorders>
            <w:gridSpan w:val="2"/>
          </w:tcPr>
          <w:p>
            <w:pPr>
              <w:jc w:val="center"/>
              <w:ind w:right="359"/>
              <w:spacing w:after="0"/>
              <w:rPr>
                <w:sz w:val="20"/>
                <w:szCs w:val="20"/>
                <w:color w:val="auto"/>
              </w:rPr>
            </w:pPr>
            <w:r>
              <w:rPr>
                <w:rFonts w:ascii="Times New Roman" w:cs="Times New Roman" w:eastAsia="Times New Roman" w:hAnsi="Times New Roman"/>
                <w:sz w:val="16"/>
                <w:szCs w:val="16"/>
                <w:b w:val="1"/>
                <w:bCs w:val="1"/>
                <w:color w:val="auto"/>
              </w:rPr>
              <w:t>Trading symbol(s)</w:t>
            </w:r>
          </w:p>
        </w:tc>
        <w:tc>
          <w:tcPr>
            <w:tcW w:w="120" w:type="dxa"/>
            <w:vAlign w:val="bottom"/>
          </w:tcPr>
          <w:p>
            <w:pPr>
              <w:spacing w:after="0"/>
              <w:rPr>
                <w:sz w:val="19"/>
                <w:szCs w:val="19"/>
                <w:color w:val="auto"/>
              </w:rPr>
            </w:pPr>
          </w:p>
        </w:tc>
        <w:tc>
          <w:tcPr>
            <w:tcW w:w="39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c>
          <w:tcPr>
            <w:tcW w:w="0" w:type="dxa"/>
            <w:vAlign w:val="bottom"/>
          </w:tcPr>
          <w:p>
            <w:pPr>
              <w:spacing w:after="0"/>
              <w:rPr>
                <w:sz w:val="1"/>
                <w:szCs w:val="1"/>
                <w:color w:val="auto"/>
              </w:rPr>
            </w:pPr>
          </w:p>
        </w:tc>
      </w:tr>
      <w:tr>
        <w:trPr>
          <w:trHeight w:val="166"/>
        </w:trPr>
        <w:tc>
          <w:tcPr>
            <w:tcW w:w="3280" w:type="dxa"/>
            <w:vAlign w:val="bottom"/>
          </w:tcPr>
          <w:p>
            <w:pPr>
              <w:jc w:val="center"/>
              <w:ind w:left="604"/>
              <w:spacing w:after="0"/>
              <w:rPr>
                <w:sz w:val="20"/>
                <w:szCs w:val="20"/>
                <w:color w:val="auto"/>
              </w:rPr>
            </w:pPr>
            <w:r>
              <w:rPr>
                <w:rFonts w:ascii="Times New Roman" w:cs="Times New Roman" w:eastAsia="Times New Roman" w:hAnsi="Times New Roman"/>
                <w:sz w:val="13"/>
                <w:szCs w:val="13"/>
                <w:b w:val="1"/>
                <w:bCs w:val="1"/>
                <w:color w:val="auto"/>
                <w:w w:val="97"/>
              </w:rPr>
              <w:t>Common Stock, par value $0.001 per share</w:t>
            </w: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700" w:type="dxa"/>
            <w:vAlign w:val="bottom"/>
            <w:gridSpan w:val="2"/>
          </w:tcPr>
          <w:p>
            <w:pPr>
              <w:jc w:val="center"/>
              <w:ind w:right="359"/>
              <w:spacing w:after="0"/>
              <w:rPr>
                <w:sz w:val="20"/>
                <w:szCs w:val="20"/>
                <w:color w:val="auto"/>
              </w:rPr>
            </w:pPr>
            <w:r>
              <w:rPr>
                <w:rFonts w:ascii="Times New Roman" w:cs="Times New Roman" w:eastAsia="Times New Roman" w:hAnsi="Times New Roman"/>
                <w:sz w:val="13"/>
                <w:szCs w:val="13"/>
                <w:b w:val="1"/>
                <w:bCs w:val="1"/>
                <w:color w:val="auto"/>
                <w:w w:val="95"/>
              </w:rPr>
              <w:t>HUBS</w:t>
            </w: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960" w:type="dxa"/>
            <w:vAlign w:val="bottom"/>
            <w:gridSpan w:val="2"/>
          </w:tcPr>
          <w:p>
            <w:pPr>
              <w:jc w:val="center"/>
              <w:ind w:right="899"/>
              <w:spacing w:after="0"/>
              <w:rPr>
                <w:sz w:val="20"/>
                <w:szCs w:val="20"/>
                <w:color w:val="auto"/>
              </w:rPr>
            </w:pPr>
            <w:r>
              <w:rPr>
                <w:rFonts w:ascii="Times New Roman" w:cs="Times New Roman" w:eastAsia="Times New Roman" w:hAnsi="Times New Roman"/>
                <w:sz w:val="13"/>
                <w:szCs w:val="13"/>
                <w:b w:val="1"/>
                <w:bCs w:val="1"/>
                <w:color w:val="auto"/>
                <w:w w:val="95"/>
              </w:rPr>
              <w:t>New York Stock Exchange</w:t>
            </w:r>
          </w:p>
        </w:tc>
        <w:tc>
          <w:tcPr>
            <w:tcW w:w="0" w:type="dxa"/>
            <w:vAlign w:val="bottom"/>
          </w:tcPr>
          <w:p>
            <w:pPr>
              <w:spacing w:after="0"/>
              <w:rPr>
                <w:sz w:val="1"/>
                <w:szCs w:val="1"/>
                <w:color w:val="auto"/>
              </w:rPr>
            </w:pPr>
          </w:p>
        </w:tc>
      </w:tr>
      <w:tr>
        <w:trPr>
          <w:trHeight w:val="341"/>
        </w:trPr>
        <w:tc>
          <w:tcPr>
            <w:tcW w:w="3280" w:type="dxa"/>
            <w:vAlign w:val="bottom"/>
          </w:tcPr>
          <w:p>
            <w:pPr>
              <w:spacing w:after="0"/>
              <w:rPr>
                <w:sz w:val="24"/>
                <w:szCs w:val="24"/>
                <w:color w:val="auto"/>
              </w:rPr>
            </w:pPr>
          </w:p>
        </w:tc>
        <w:tc>
          <w:tcPr>
            <w:tcW w:w="5000" w:type="dxa"/>
            <w:vAlign w:val="bottom"/>
            <w:gridSpan w:val="7"/>
          </w:tcPr>
          <w:p>
            <w:pPr>
              <w:jc w:val="center"/>
              <w:ind w:right="239"/>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12(g) of the Act: None.</w:t>
            </w:r>
          </w:p>
        </w:tc>
        <w:tc>
          <w:tcPr>
            <w:tcW w:w="76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0"/>
        </w:trPr>
        <w:tc>
          <w:tcPr>
            <w:tcW w:w="4500" w:type="dxa"/>
            <w:vAlign w:val="bottom"/>
            <w:gridSpan w:val="4"/>
          </w:tcPr>
          <w:p>
            <w:pPr>
              <w:spacing w:after="0"/>
              <w:rPr>
                <w:sz w:val="8"/>
                <w:szCs w:val="8"/>
                <w:color w:val="auto"/>
              </w:rPr>
            </w:pPr>
          </w:p>
        </w:tc>
        <w:tc>
          <w:tcPr>
            <w:tcW w:w="2240" w:type="dxa"/>
            <w:vAlign w:val="bottom"/>
            <w:tcBorders>
              <w:bottom w:val="single" w:sz="8" w:color="auto"/>
            </w:tcBorders>
          </w:tcPr>
          <w:p>
            <w:pPr>
              <w:spacing w:after="0"/>
              <w:rPr>
                <w:sz w:val="8"/>
                <w:szCs w:val="8"/>
                <w:color w:val="auto"/>
              </w:rPr>
            </w:pPr>
          </w:p>
        </w:tc>
        <w:tc>
          <w:tcPr>
            <w:tcW w:w="154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color w:val="auto"/>
              </w:rPr>
              <w:t>of the Securities Act.</w:t>
            </w:r>
          </w:p>
        </w:tc>
        <w:tc>
          <w:tcPr>
            <w:tcW w:w="760" w:type="dxa"/>
            <w:vAlign w:val="bottom"/>
            <w:vMerge w:val="restart"/>
          </w:tcPr>
          <w:p>
            <w:pPr>
              <w:spacing w:after="0" w:line="184" w:lineRule="exact"/>
              <w:rPr>
                <w:sz w:val="20"/>
                <w:szCs w:val="20"/>
                <w:color w:val="auto"/>
              </w:rPr>
            </w:pPr>
            <w:r>
              <w:rPr>
                <w:rFonts w:ascii="Times New Roman" w:cs="Times New Roman" w:eastAsia="Times New Roman" w:hAnsi="Times New Roman"/>
                <w:sz w:val="16"/>
                <w:szCs w:val="16"/>
                <w:color w:val="auto"/>
              </w:rPr>
              <w:t xml:space="preserve">YES  </w:t>
            </w:r>
            <w:r>
              <w:rPr>
                <w:rFonts w:ascii="MS PGothic" w:cs="MS PGothic" w:eastAsia="MS PGothic" w:hAnsi="MS PGothic"/>
                <w:sz w:val="16"/>
                <w:szCs w:val="16"/>
                <w:color w:val="auto"/>
              </w:rPr>
              <w:t>☒</w:t>
            </w:r>
          </w:p>
        </w:tc>
        <w:tc>
          <w:tcPr>
            <w:tcW w:w="2200" w:type="dxa"/>
            <w:vAlign w:val="bottom"/>
            <w:vMerge w:val="restart"/>
          </w:tcPr>
          <w:p>
            <w:pPr>
              <w:ind w:left="20"/>
              <w:spacing w:after="0" w:line="184" w:lineRule="exact"/>
              <w:rPr>
                <w:sz w:val="20"/>
                <w:szCs w:val="20"/>
                <w:color w:val="auto"/>
              </w:rPr>
            </w:pPr>
            <w:r>
              <w:rPr>
                <w:rFonts w:ascii="Times New Roman" w:cs="Times New Roman" w:eastAsia="Times New Roman" w:hAnsi="Times New Roman"/>
                <w:sz w:val="16"/>
                <w:szCs w:val="16"/>
                <w:color w:val="auto"/>
              </w:rPr>
              <w:t xml:space="preserve">NO  </w:t>
            </w:r>
            <w:r>
              <w:rPr>
                <w:rFonts w:ascii="MS PGothic" w:cs="MS PGothic" w:eastAsia="MS PGothic" w:hAnsi="MS PGothic"/>
                <w:sz w:val="16"/>
                <w:szCs w:val="16"/>
                <w:color w:val="auto"/>
              </w:rPr>
              <w:t>☐</w:t>
            </w:r>
          </w:p>
        </w:tc>
        <w:tc>
          <w:tcPr>
            <w:tcW w:w="0" w:type="dxa"/>
            <w:vAlign w:val="bottom"/>
          </w:tcPr>
          <w:p>
            <w:pPr>
              <w:spacing w:after="0"/>
              <w:rPr>
                <w:sz w:val="1"/>
                <w:szCs w:val="1"/>
                <w:color w:val="auto"/>
              </w:rPr>
            </w:pPr>
          </w:p>
        </w:tc>
      </w:tr>
      <w:tr>
        <w:trPr>
          <w:trHeight w:val="146"/>
        </w:trPr>
        <w:tc>
          <w:tcPr>
            <w:tcW w:w="6740" w:type="dxa"/>
            <w:vAlign w:val="bottom"/>
            <w:gridSpan w:val="5"/>
          </w:tcPr>
          <w:p>
            <w:pPr>
              <w:ind w:left="520"/>
              <w:spacing w:after="0" w:line="146" w:lineRule="exact"/>
              <w:rPr>
                <w:sz w:val="20"/>
                <w:szCs w:val="20"/>
                <w:color w:val="auto"/>
              </w:rPr>
            </w:pPr>
            <w:r>
              <w:rPr>
                <w:rFonts w:ascii="Times New Roman" w:cs="Times New Roman" w:eastAsia="Times New Roman" w:hAnsi="Times New Roman"/>
                <w:sz w:val="16"/>
                <w:szCs w:val="16"/>
                <w:color w:val="auto"/>
              </w:rPr>
              <w:t>Indicate by check mark if the registrant is a well-known seasoned issuer, as defined in Rule 405</w:t>
            </w:r>
          </w:p>
        </w:tc>
        <w:tc>
          <w:tcPr>
            <w:tcW w:w="1540" w:type="dxa"/>
            <w:vAlign w:val="bottom"/>
            <w:gridSpan w:val="3"/>
            <w:vMerge w:val="continue"/>
          </w:tcPr>
          <w:p>
            <w:pPr>
              <w:spacing w:after="0"/>
              <w:rPr>
                <w:sz w:val="12"/>
                <w:szCs w:val="12"/>
                <w:color w:val="auto"/>
              </w:rPr>
            </w:pPr>
          </w:p>
        </w:tc>
        <w:tc>
          <w:tcPr>
            <w:tcW w:w="760" w:type="dxa"/>
            <w:vAlign w:val="bottom"/>
            <w:vMerge w:val="continue"/>
          </w:tcPr>
          <w:p>
            <w:pPr>
              <w:spacing w:after="0"/>
              <w:rPr>
                <w:sz w:val="12"/>
                <w:szCs w:val="12"/>
                <w:color w:val="auto"/>
              </w:rPr>
            </w:pPr>
          </w:p>
        </w:tc>
        <w:tc>
          <w:tcPr>
            <w:tcW w:w="22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56"/>
        </w:trPr>
        <w:tc>
          <w:tcPr>
            <w:tcW w:w="8280" w:type="dxa"/>
            <w:vAlign w:val="bottom"/>
            <w:gridSpan w:val="8"/>
          </w:tcPr>
          <w:p>
            <w:pPr>
              <w:ind w:left="520"/>
              <w:spacing w:after="0"/>
              <w:rPr>
                <w:sz w:val="20"/>
                <w:szCs w:val="20"/>
                <w:color w:val="auto"/>
              </w:rPr>
            </w:pPr>
            <w:r>
              <w:rPr>
                <w:rFonts w:ascii="Times New Roman" w:cs="Times New Roman" w:eastAsia="Times New Roman" w:hAnsi="Times New Roman"/>
                <w:sz w:val="16"/>
                <w:szCs w:val="16"/>
                <w:color w:val="auto"/>
              </w:rPr>
              <w:t>Indicate by check mark if the registrant is not required to file reports pursuant to Section 13 or Section 15(d) of the Act.</w:t>
            </w:r>
          </w:p>
        </w:tc>
        <w:tc>
          <w:tcPr>
            <w:tcW w:w="760" w:type="dxa"/>
            <w:vAlign w:val="bottom"/>
          </w:tcPr>
          <w:p>
            <w:pPr>
              <w:ind w:left="160"/>
              <w:spacing w:after="0" w:line="184" w:lineRule="exact"/>
              <w:rPr>
                <w:sz w:val="20"/>
                <w:szCs w:val="20"/>
                <w:color w:val="auto"/>
              </w:rPr>
            </w:pPr>
            <w:r>
              <w:rPr>
                <w:rFonts w:ascii="Times New Roman" w:cs="Times New Roman" w:eastAsia="Times New Roman" w:hAnsi="Times New Roman"/>
                <w:sz w:val="16"/>
                <w:szCs w:val="16"/>
                <w:color w:val="auto"/>
              </w:rPr>
              <w:t xml:space="preserve">YES  </w:t>
            </w:r>
            <w:r>
              <w:rPr>
                <w:rFonts w:ascii="MS PGothic" w:cs="MS PGothic" w:eastAsia="MS PGothic" w:hAnsi="MS PGothic"/>
                <w:sz w:val="16"/>
                <w:szCs w:val="16"/>
                <w:color w:val="auto"/>
              </w:rPr>
              <w:t>☐</w:t>
            </w:r>
          </w:p>
        </w:tc>
        <w:tc>
          <w:tcPr>
            <w:tcW w:w="2200" w:type="dxa"/>
            <w:vAlign w:val="bottom"/>
          </w:tcPr>
          <w:p>
            <w:pPr>
              <w:ind w:left="160"/>
              <w:spacing w:after="0" w:line="184" w:lineRule="exact"/>
              <w:rPr>
                <w:sz w:val="20"/>
                <w:szCs w:val="20"/>
                <w:color w:val="auto"/>
              </w:rPr>
            </w:pPr>
            <w:r>
              <w:rPr>
                <w:rFonts w:ascii="Times New Roman" w:cs="Times New Roman" w:eastAsia="Times New Roman" w:hAnsi="Times New Roman"/>
                <w:sz w:val="16"/>
                <w:szCs w:val="16"/>
                <w:color w:val="auto"/>
              </w:rPr>
              <w:t xml:space="preserve">NO  </w:t>
            </w:r>
            <w:r>
              <w:rPr>
                <w:rFonts w:ascii="MS PGothic" w:cs="MS PGothic" w:eastAsia="MS PGothic" w:hAnsi="MS PGothic"/>
                <w:sz w:val="16"/>
                <w:szCs w:val="16"/>
                <w:color w:val="auto"/>
              </w:rPr>
              <w:t>☒</w:t>
            </w:r>
          </w:p>
        </w:tc>
        <w:tc>
          <w:tcPr>
            <w:tcW w:w="0" w:type="dxa"/>
            <w:vAlign w:val="bottom"/>
          </w:tcPr>
          <w:p>
            <w:pPr>
              <w:spacing w:after="0"/>
              <w:rPr>
                <w:sz w:val="1"/>
                <w:szCs w:val="1"/>
                <w:color w:val="auto"/>
              </w:rPr>
            </w:pPr>
          </w:p>
        </w:tc>
      </w:tr>
    </w:tbl>
    <w:p>
      <w:pPr>
        <w:ind w:firstLine="509"/>
        <w:spacing w:after="0" w:line="203"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ind w:right="180" w:firstLine="509"/>
        <w:spacing w:after="0" w:line="203"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jc w:val="both"/>
        <w:ind w:right="240" w:firstLine="509"/>
        <w:spacing w:after="0" w:line="269"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5" w:lineRule="exact"/>
        <w:rPr>
          <w:sz w:val="24"/>
          <w:szCs w:val="24"/>
          <w:color w:val="auto"/>
        </w:rPr>
      </w:pPr>
    </w:p>
    <w:tbl>
      <w:tblPr>
        <w:tblLayout w:type="fixed"/>
        <w:tblInd w:w="20" w:type="dxa"/>
        <w:tblCellMar>
          <w:top w:w="0" w:type="dxa"/>
          <w:left w:w="0" w:type="dxa"/>
          <w:bottom w:w="0" w:type="dxa"/>
          <w:right w:w="0" w:type="dxa"/>
        </w:tblCellMar>
      </w:tblPr>
      <w:tr>
        <w:trPr>
          <w:trHeight w:val="242"/>
        </w:trPr>
        <w:tc>
          <w:tcPr>
            <w:tcW w:w="194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3640" w:type="dxa"/>
            <w:vAlign w:val="bottom"/>
          </w:tcPr>
          <w:p>
            <w:pPr>
              <w:ind w:left="660"/>
              <w:spacing w:after="0" w:line="141" w:lineRule="exact"/>
              <w:rPr>
                <w:sz w:val="20"/>
                <w:szCs w:val="20"/>
                <w:color w:val="auto"/>
              </w:rPr>
            </w:pPr>
            <w:r>
              <w:rPr>
                <w:rFonts w:ascii="MS PGothic" w:cs="MS PGothic" w:eastAsia="MS PGothic" w:hAnsi="MS PGothic"/>
                <w:sz w:val="14"/>
                <w:szCs w:val="14"/>
                <w:color w:val="auto"/>
              </w:rPr>
              <w:t>☒</w:t>
            </w:r>
          </w:p>
        </w:tc>
        <w:tc>
          <w:tcPr>
            <w:tcW w:w="4940" w:type="dxa"/>
            <w:vAlign w:val="bottom"/>
          </w:tcPr>
          <w:p>
            <w:pPr>
              <w:ind w:left="2860"/>
              <w:spacing w:after="0"/>
              <w:rPr>
                <w:sz w:val="20"/>
                <w:szCs w:val="20"/>
                <w:color w:val="auto"/>
              </w:rPr>
            </w:pPr>
            <w:r>
              <w:rPr>
                <w:rFonts w:ascii="Times New Roman" w:cs="Times New Roman" w:eastAsia="Times New Roman" w:hAnsi="Times New Roman"/>
                <w:sz w:val="14"/>
                <w:szCs w:val="14"/>
                <w:color w:val="auto"/>
              </w:rPr>
              <w:t>Accelerated filer</w:t>
            </w:r>
          </w:p>
        </w:tc>
        <w:tc>
          <w:tcPr>
            <w:tcW w:w="620" w:type="dxa"/>
            <w:vAlign w:val="bottom"/>
          </w:tcPr>
          <w:p>
            <w:pPr>
              <w:ind w:left="50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97"/>
        </w:trPr>
        <w:tc>
          <w:tcPr>
            <w:tcW w:w="194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3640" w:type="dxa"/>
            <w:vAlign w:val="bottom"/>
          </w:tcPr>
          <w:p>
            <w:pPr>
              <w:ind w:left="660"/>
              <w:spacing w:after="0" w:line="141" w:lineRule="exact"/>
              <w:rPr>
                <w:sz w:val="20"/>
                <w:szCs w:val="20"/>
                <w:color w:val="auto"/>
              </w:rPr>
            </w:pPr>
            <w:r>
              <w:rPr>
                <w:rFonts w:ascii="MS PGothic" w:cs="MS PGothic" w:eastAsia="MS PGothic" w:hAnsi="MS PGothic"/>
                <w:sz w:val="14"/>
                <w:szCs w:val="14"/>
                <w:color w:val="auto"/>
              </w:rPr>
              <w:t>☐</w:t>
            </w:r>
          </w:p>
        </w:tc>
        <w:tc>
          <w:tcPr>
            <w:tcW w:w="4940" w:type="dxa"/>
            <w:vAlign w:val="bottom"/>
          </w:tcPr>
          <w:p>
            <w:pPr>
              <w:ind w:left="286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620" w:type="dxa"/>
            <w:vAlign w:val="bottom"/>
          </w:tcPr>
          <w:p>
            <w:pPr>
              <w:ind w:left="50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97"/>
        </w:trPr>
        <w:tc>
          <w:tcPr>
            <w:tcW w:w="194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4940" w:type="dxa"/>
            <w:vAlign w:val="bottom"/>
          </w:tcPr>
          <w:p>
            <w:pPr>
              <w:ind w:left="2860"/>
              <w:spacing w:after="0"/>
              <w:rPr>
                <w:sz w:val="20"/>
                <w:szCs w:val="20"/>
                <w:color w:val="auto"/>
              </w:rPr>
            </w:pPr>
            <w:r>
              <w:rPr>
                <w:rFonts w:ascii="Times New Roman" w:cs="Times New Roman" w:eastAsia="Times New Roman" w:hAnsi="Times New Roman"/>
                <w:sz w:val="14"/>
                <w:szCs w:val="14"/>
                <w:color w:val="auto"/>
              </w:rPr>
              <w:t>Emerging growth company</w:t>
            </w:r>
          </w:p>
        </w:tc>
        <w:tc>
          <w:tcPr>
            <w:tcW w:w="620" w:type="dxa"/>
            <w:vAlign w:val="bottom"/>
          </w:tcPr>
          <w:p>
            <w:pPr>
              <w:ind w:left="50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42" w:lineRule="exact"/>
        <w:rPr>
          <w:sz w:val="24"/>
          <w:szCs w:val="24"/>
          <w:color w:val="auto"/>
        </w:rPr>
      </w:pPr>
    </w:p>
    <w:p>
      <w:pPr>
        <w:ind w:right="20" w:firstLine="509"/>
        <w:spacing w:after="0" w:line="211"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 w:lineRule="exact"/>
        <w:rPr>
          <w:sz w:val="24"/>
          <w:szCs w:val="24"/>
          <w:color w:val="auto"/>
        </w:rPr>
      </w:pPr>
    </w:p>
    <w:p>
      <w:pPr>
        <w:ind w:right="40" w:firstLine="509"/>
        <w:spacing w:after="0" w:line="257" w:lineRule="auto"/>
        <w:rPr>
          <w:sz w:val="20"/>
          <w:szCs w:val="20"/>
          <w:color w:val="auto"/>
        </w:rPr>
      </w:pPr>
      <w:r>
        <w:rPr>
          <w:rFonts w:ascii="Times New Roman" w:cs="Times New Roman" w:eastAsia="Times New Roman" w:hAnsi="Times New Roman"/>
          <w:sz w:val="16"/>
          <w:szCs w:val="16"/>
          <w:color w:val="auto"/>
        </w:rPr>
        <w:t>Indicate by check mark whether the registrant has filed a report on and attestation to its management’s assessment of the effectiveness of its internal controls over financial reporting under Section 404(b) of the Sarbanes-Oxley Act (15 U.S.C 7262(b)) by the registered public accounting firm that prepared or issued its audit report YES</w:t>
      </w:r>
    </w:p>
    <w:p>
      <w:pPr>
        <w:spacing w:after="0" w:line="1" w:lineRule="exact"/>
        <w:rPr>
          <w:sz w:val="24"/>
          <w:szCs w:val="24"/>
          <w:color w:val="auto"/>
        </w:rPr>
      </w:pPr>
    </w:p>
    <w:p>
      <w:pPr>
        <w:ind w:left="360" w:hanging="352"/>
        <w:spacing w:after="0" w:line="184" w:lineRule="exact"/>
        <w:tabs>
          <w:tab w:leader="none" w:pos="360" w:val="left"/>
        </w:tabs>
        <w:numPr>
          <w:ilvl w:val="0"/>
          <w:numId w:val="3"/>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 xml:space="preserve">NO  </w:t>
      </w:r>
      <w:r>
        <w:rPr>
          <w:rFonts w:ascii="MS PGothic" w:cs="MS PGothic" w:eastAsia="MS PGothic" w:hAnsi="MS PGothic"/>
          <w:sz w:val="16"/>
          <w:szCs w:val="16"/>
          <w:color w:val="auto"/>
        </w:rPr>
        <w:t>☐</w:t>
      </w:r>
    </w:p>
    <w:p>
      <w:pPr>
        <w:spacing w:after="0" w:line="29" w:lineRule="exact"/>
        <w:rPr>
          <w:sz w:val="24"/>
          <w:szCs w:val="24"/>
          <w:color w:val="auto"/>
        </w:rPr>
      </w:pPr>
    </w:p>
    <w:p>
      <w:pPr>
        <w:ind w:right="40" w:firstLine="509"/>
        <w:spacing w:after="0" w:line="203" w:lineRule="exact"/>
        <w:rPr>
          <w:sz w:val="20"/>
          <w:szCs w:val="20"/>
          <w:color w:val="auto"/>
        </w:rPr>
      </w:pPr>
      <w:r>
        <w:rPr>
          <w:rFonts w:ascii="Times New Roman" w:cs="Times New Roman" w:eastAsia="Times New Roman" w:hAnsi="Times New Roman"/>
          <w:sz w:val="16"/>
          <w:szCs w:val="16"/>
          <w:color w:val="auto"/>
        </w:rPr>
        <w:t xml:space="preserve">If securities are registered pursuant to Section 12(b) of the Act, indicate by check mark whether the financial statements of the registrant included in the filing reflect the correction of an error to previously issued financial statements. YES </w:t>
      </w:r>
      <w:r>
        <w:rPr>
          <w:rFonts w:ascii="MS PGothic" w:cs="MS PGothic" w:eastAsia="MS PGothic" w:hAnsi="MS PGothic"/>
          <w:sz w:val="14"/>
          <w:szCs w:val="14"/>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ind w:right="40" w:firstLine="509"/>
        <w:spacing w:after="0" w:line="200" w:lineRule="exact"/>
        <w:rPr>
          <w:sz w:val="20"/>
          <w:szCs w:val="20"/>
          <w:color w:val="auto"/>
        </w:rPr>
      </w:pPr>
      <w:r>
        <w:rPr>
          <w:rFonts w:ascii="Times New Roman" w:cs="Times New Roman" w:eastAsia="Times New Roman" w:hAnsi="Times New Roman"/>
          <w:sz w:val="16"/>
          <w:szCs w:val="16"/>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YES </w:t>
      </w:r>
      <w:r>
        <w:rPr>
          <w:rFonts w:ascii="MS PGothic" w:cs="MS PGothic" w:eastAsia="MS PGothic" w:hAnsi="MS PGothic"/>
          <w:sz w:val="14"/>
          <w:szCs w:val="14"/>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ind w:left="520"/>
        <w:spacing w:after="0" w:line="184" w:lineRule="exact"/>
        <w:tabs>
          <w:tab w:leader="none" w:pos="8020" w:val="left"/>
          <w:tab w:leader="none" w:pos="8780" w:val="left"/>
        </w:tabs>
        <w:rPr>
          <w:sz w:val="20"/>
          <w:szCs w:val="20"/>
          <w:color w:val="auto"/>
        </w:rPr>
      </w:pPr>
      <w:r>
        <w:rPr>
          <w:rFonts w:ascii="Times New Roman" w:cs="Times New Roman" w:eastAsia="Times New Roman" w:hAnsi="Times New Roman"/>
          <w:sz w:val="16"/>
          <w:szCs w:val="16"/>
          <w:color w:val="auto"/>
        </w:rPr>
        <w:t>Indicate by check mark whether the registrant is a shell company (as defined in Rule 12b-2 of the Exchange Act).</w:t>
        <w:tab/>
        <w:t xml:space="preserve">YES  </w:t>
      </w:r>
      <w:r>
        <w:rPr>
          <w:rFonts w:ascii="MS PGothic" w:cs="MS PGothic" w:eastAsia="MS PGothic" w:hAnsi="MS PGothic"/>
          <w:sz w:val="14"/>
          <w:szCs w:val="14"/>
          <w:color w:val="auto"/>
        </w:rPr>
        <w:t>☐</w:t>
      </w:r>
      <w:r>
        <w:rPr>
          <w:rFonts w:ascii="Times New Roman" w:cs="Times New Roman" w:eastAsia="Times New Roman" w:hAnsi="Times New Roman"/>
          <w:sz w:val="16"/>
          <w:szCs w:val="16"/>
          <w:color w:val="auto"/>
        </w:rPr>
        <w:tab/>
        <w:t xml:space="preserve">NO  </w:t>
      </w:r>
      <w:r>
        <w:rPr>
          <w:rFonts w:ascii="MS PGothic" w:cs="MS PGothic" w:eastAsia="MS PGothic" w:hAnsi="MS PGothic"/>
          <w:sz w:val="16"/>
          <w:szCs w:val="16"/>
          <w:color w:val="auto"/>
        </w:rPr>
        <w:t>☒</w:t>
      </w:r>
    </w:p>
    <w:p>
      <w:pPr>
        <w:spacing w:after="0" w:line="25" w:lineRule="exact"/>
        <w:rPr>
          <w:sz w:val="24"/>
          <w:szCs w:val="24"/>
          <w:color w:val="auto"/>
        </w:rPr>
      </w:pPr>
    </w:p>
    <w:p>
      <w:pPr>
        <w:ind w:right="140" w:firstLine="509"/>
        <w:spacing w:after="0" w:line="260" w:lineRule="auto"/>
        <w:rPr>
          <w:sz w:val="20"/>
          <w:szCs w:val="20"/>
          <w:color w:val="auto"/>
        </w:rPr>
      </w:pPr>
      <w:r>
        <w:rPr>
          <w:rFonts w:ascii="Times New Roman" w:cs="Times New Roman" w:eastAsia="Times New Roman" w:hAnsi="Times New Roman"/>
          <w:sz w:val="16"/>
          <w:szCs w:val="16"/>
          <w:color w:val="auto"/>
        </w:rPr>
        <w:t>The aggregate market value of common stock held by non-affiliates of the registrant, based on the closing price of the registrant’s common stock on June 30, 2023, as reported by the New York Stock Exchange on such date was approximately $25,412,807,293. Shares of the registrant’s common stock held by each executive officer, director and holder of 5% or more of the outstanding common stock have been excluded in that such persons may be deemed to be affiliates. This calculation does not reflect a determination that certain persons are affiliates of the registrant for any other purpose.</w:t>
      </w:r>
    </w:p>
    <w:p>
      <w:pPr>
        <w:spacing w:after="0" w:line="3" w:lineRule="exact"/>
        <w:rPr>
          <w:sz w:val="24"/>
          <w:szCs w:val="24"/>
          <w:color w:val="auto"/>
        </w:rPr>
      </w:pPr>
    </w:p>
    <w:p>
      <w:pPr>
        <w:ind w:left="520"/>
        <w:spacing w:after="0"/>
        <w:rPr>
          <w:sz w:val="20"/>
          <w:szCs w:val="20"/>
          <w:color w:val="auto"/>
        </w:rPr>
      </w:pPr>
      <w:r>
        <w:rPr>
          <w:rFonts w:ascii="Times New Roman" w:cs="Times New Roman" w:eastAsia="Times New Roman" w:hAnsi="Times New Roman"/>
          <w:sz w:val="16"/>
          <w:szCs w:val="16"/>
          <w:color w:val="auto"/>
        </w:rPr>
        <w:t>On February 9, 2024, the registrant had 50,674,493 shares of common stock outstanding.</w:t>
      </w:r>
    </w:p>
    <w:p>
      <w:pPr>
        <w:spacing w:after="0" w:line="22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DOCUMENTS INCORPORATED BY REFERENCE</w:t>
      </w:r>
    </w:p>
    <w:p>
      <w:pPr>
        <w:spacing w:after="0" w:line="28" w:lineRule="exact"/>
        <w:rPr>
          <w:sz w:val="20"/>
          <w:szCs w:val="20"/>
          <w:color w:val="auto"/>
        </w:rPr>
      </w:pPr>
    </w:p>
    <w:p>
      <w:pPr>
        <w:ind w:firstLine="509"/>
        <w:spacing w:after="0" w:line="276" w:lineRule="auto"/>
        <w:rPr>
          <w:sz w:val="20"/>
          <w:szCs w:val="20"/>
          <w:color w:val="auto"/>
        </w:rPr>
      </w:pPr>
      <w:r>
        <w:rPr>
          <w:rFonts w:ascii="Times New Roman" w:cs="Times New Roman" w:eastAsia="Times New Roman" w:hAnsi="Times New Roman"/>
          <w:sz w:val="16"/>
          <w:szCs w:val="16"/>
          <w:color w:val="auto"/>
        </w:rPr>
        <w:t>Portions of the registrant’s definitive Proxy Statement for its 2023 Annual Meeting of Stockholders are incorporated by reference in Part III of this Annual Report on Form 10-K. Such Proxy Statement will be filed with the U.S. Securities and Exchange Commission within 120 days after the end of the fiscal year to which this report relates. Except with respect to information specifically incorporated by reference in this Form 10-K, the Proxy Statement is not deemed to be filed as part of this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132080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149225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28" w:right="35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16"/>
        </w:trPr>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580" w:type="dxa"/>
            <w:vAlign w:val="bottom"/>
            <w:gridSpan w:val="13"/>
          </w:tcPr>
          <w:p>
            <w:pPr>
              <w:jc w:val="center"/>
              <w:ind w:right="4100"/>
              <w:spacing w:after="0"/>
              <w:rPr>
                <w:sz w:val="20"/>
                <w:szCs w:val="20"/>
                <w:color w:val="auto"/>
              </w:rPr>
            </w:pPr>
            <w:r>
              <w:rPr>
                <w:rFonts w:ascii="Times New Roman" w:cs="Times New Roman" w:eastAsia="Times New Roman" w:hAnsi="Times New Roman"/>
                <w:sz w:val="18"/>
                <w:szCs w:val="18"/>
                <w:b w:val="1"/>
                <w:bCs w:val="1"/>
                <w:color w:val="auto"/>
                <w:w w:val="99"/>
              </w:rPr>
              <w:t>HUBSPOT, INC.</w:t>
            </w:r>
          </w:p>
        </w:tc>
        <w:tc>
          <w:tcPr>
            <w:tcW w:w="780" w:type="dxa"/>
            <w:vAlign w:val="bottom"/>
          </w:tcPr>
          <w:p>
            <w:pPr>
              <w:spacing w:after="0"/>
              <w:rPr>
                <w:sz w:val="18"/>
                <w:szCs w:val="18"/>
                <w:color w:val="auto"/>
              </w:rPr>
            </w:pPr>
          </w:p>
        </w:tc>
      </w:tr>
      <w:tr>
        <w:trPr>
          <w:trHeight w:val="238"/>
        </w:trPr>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80" w:type="dxa"/>
            <w:vAlign w:val="bottom"/>
            <w:gridSpan w:val="17"/>
          </w:tcPr>
          <w:p>
            <w:pPr>
              <w:jc w:val="center"/>
              <w:ind w:right="360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780" w:type="dxa"/>
            <w:vAlign w:val="bottom"/>
          </w:tcPr>
          <w:p>
            <w:pPr>
              <w:spacing w:after="0"/>
              <w:rPr>
                <w:sz w:val="20"/>
                <w:szCs w:val="20"/>
                <w:color w:val="auto"/>
              </w:rPr>
            </w:pPr>
          </w:p>
        </w:tc>
      </w:tr>
      <w:tr>
        <w:trPr>
          <w:trHeight w:val="391"/>
        </w:trPr>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7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rPr>
              <w:t>Page No.</w:t>
            </w:r>
          </w:p>
        </w:tc>
      </w:tr>
      <w:tr>
        <w:trPr>
          <w:trHeight w:val="183"/>
        </w:trPr>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0" w:type="dxa"/>
            <w:vAlign w:val="bottom"/>
            <w:tcBorders>
              <w:bottom w:val="single" w:sz="8" w:color="0000EE"/>
            </w:tcBorders>
            <w:gridSpan w:val="3"/>
          </w:tcPr>
          <w:p>
            <w:pPr>
              <w:jc w:val="center"/>
              <w:spacing w:after="0" w:line="182" w:lineRule="exact"/>
              <w:rPr>
                <w:sz w:val="20"/>
                <w:szCs w:val="20"/>
                <w:color w:val="auto"/>
              </w:rPr>
            </w:pPr>
            <w:r>
              <w:rPr>
                <w:rFonts w:ascii="Times New Roman" w:cs="Times New Roman" w:eastAsia="Times New Roman" w:hAnsi="Times New Roman"/>
                <w:sz w:val="18"/>
                <w:szCs w:val="18"/>
                <w:b w:val="1"/>
                <w:bCs w:val="1"/>
                <w:color w:val="auto"/>
                <w:w w:val="99"/>
              </w:rPr>
              <w:t>PART I</w:t>
            </w:r>
          </w:p>
        </w:tc>
        <w:tc>
          <w:tcPr>
            <w:tcW w:w="4980" w:type="dxa"/>
            <w:vAlign w:val="bottom"/>
            <w:gridSpan w:val="10"/>
          </w:tcPr>
          <w:p>
            <w:pPr>
              <w:spacing w:after="0"/>
              <w:rPr>
                <w:sz w:val="15"/>
                <w:szCs w:val="15"/>
                <w:color w:val="auto"/>
              </w:rPr>
            </w:pPr>
          </w:p>
        </w:tc>
        <w:tc>
          <w:tcPr>
            <w:tcW w:w="780" w:type="dxa"/>
            <w:vAlign w:val="bottom"/>
          </w:tcPr>
          <w:p>
            <w:pPr>
              <w:spacing w:after="0"/>
              <w:rPr>
                <w:sz w:val="15"/>
                <w:szCs w:val="15"/>
                <w:color w:val="auto"/>
              </w:rPr>
            </w:pPr>
          </w:p>
        </w:tc>
      </w:tr>
      <w:tr>
        <w:trPr>
          <w:trHeight w:val="372"/>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9420" w:type="dxa"/>
            <w:vAlign w:val="bottom"/>
            <w:gridSpan w:val="32"/>
          </w:tcPr>
          <w:p>
            <w:pPr>
              <w:spacing w:after="0"/>
              <w:rPr>
                <w:sz w:val="20"/>
                <w:szCs w:val="20"/>
                <w:color w:val="auto"/>
              </w:rPr>
            </w:pPr>
            <w:r>
              <w:rPr>
                <w:rFonts w:ascii="Times New Roman" w:cs="Times New Roman" w:eastAsia="Times New Roman" w:hAnsi="Times New Roman"/>
                <w:sz w:val="18"/>
                <w:szCs w:val="18"/>
                <w:color w:val="auto"/>
              </w:rPr>
              <w:t>Business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0"/>
        </w:trPr>
        <w:tc>
          <w:tcPr>
            <w:tcW w:w="102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23"/>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ITEM 1A.</w:t>
            </w:r>
          </w:p>
        </w:tc>
        <w:tc>
          <w:tcPr>
            <w:tcW w:w="92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auto"/>
                <w:w w:val="99"/>
              </w:rPr>
              <w:t>Risk Factors</w:t>
            </w:r>
          </w:p>
        </w:tc>
        <w:tc>
          <w:tcPr>
            <w:tcW w:w="8500" w:type="dxa"/>
            <w:vAlign w:val="bottom"/>
            <w:gridSpan w:val="26"/>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23"/>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ITEM 1B.</w:t>
            </w:r>
          </w:p>
        </w:tc>
        <w:tc>
          <w:tcPr>
            <w:tcW w:w="2060" w:type="dxa"/>
            <w:vAlign w:val="bottom"/>
            <w:tcBorders>
              <w:bottom w:val="single" w:sz="8" w:color="0000EE"/>
            </w:tcBorders>
            <w:gridSpan w:val="12"/>
          </w:tcPr>
          <w:p>
            <w:pPr>
              <w:spacing w:after="0"/>
              <w:rPr>
                <w:sz w:val="20"/>
                <w:szCs w:val="20"/>
                <w:color w:val="auto"/>
              </w:rPr>
            </w:pPr>
            <w:r>
              <w:rPr>
                <w:rFonts w:ascii="Times New Roman" w:cs="Times New Roman" w:eastAsia="Times New Roman" w:hAnsi="Times New Roman"/>
                <w:sz w:val="18"/>
                <w:szCs w:val="18"/>
                <w:color w:val="auto"/>
                <w:w w:val="99"/>
              </w:rPr>
              <w:t>Unresolved Staff Comments</w:t>
            </w:r>
          </w:p>
        </w:tc>
        <w:tc>
          <w:tcPr>
            <w:tcW w:w="7360" w:type="dxa"/>
            <w:vAlign w:val="bottom"/>
            <w:gridSpan w:val="20"/>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64"/>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ITEM 1C.</w:t>
            </w:r>
          </w:p>
        </w:tc>
        <w:tc>
          <w:tcPr>
            <w:tcW w:w="9420" w:type="dxa"/>
            <w:vAlign w:val="bottom"/>
            <w:gridSpan w:val="32"/>
          </w:tcPr>
          <w:p>
            <w:pPr>
              <w:spacing w:after="0"/>
              <w:rPr>
                <w:sz w:val="20"/>
                <w:szCs w:val="20"/>
                <w:color w:val="auto"/>
              </w:rPr>
            </w:pPr>
            <w:r>
              <w:rPr>
                <w:rFonts w:ascii="Times New Roman" w:cs="Times New Roman" w:eastAsia="Times New Roman" w:hAnsi="Times New Roman"/>
                <w:sz w:val="18"/>
                <w:szCs w:val="18"/>
                <w:color w:val="auto"/>
              </w:rPr>
              <w:t>Cybersecurity</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02"/>
        </w:trPr>
        <w:tc>
          <w:tcPr>
            <w:tcW w:w="102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ITEM 2.</w:t>
            </w:r>
          </w:p>
        </w:tc>
        <w:tc>
          <w:tcPr>
            <w:tcW w:w="740" w:type="dxa"/>
            <w:vAlign w:val="bottom"/>
            <w:tcBorders>
              <w:bottom w:val="single" w:sz="8" w:color="0000EE"/>
            </w:tcBorders>
            <w:gridSpan w:val="4"/>
          </w:tcPr>
          <w:p>
            <w:pPr>
              <w:spacing w:after="0" w:line="202" w:lineRule="exact"/>
              <w:rPr>
                <w:sz w:val="20"/>
                <w:szCs w:val="20"/>
                <w:color w:val="auto"/>
              </w:rPr>
            </w:pPr>
            <w:r>
              <w:rPr>
                <w:rFonts w:ascii="Times New Roman" w:cs="Times New Roman" w:eastAsia="Times New Roman" w:hAnsi="Times New Roman"/>
                <w:sz w:val="18"/>
                <w:szCs w:val="18"/>
                <w:color w:val="auto"/>
                <w:w w:val="98"/>
              </w:rPr>
              <w:t>Properties</w:t>
            </w:r>
          </w:p>
        </w:tc>
        <w:tc>
          <w:tcPr>
            <w:tcW w:w="8680" w:type="dxa"/>
            <w:vAlign w:val="bottom"/>
            <w:gridSpan w:val="28"/>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44</w:t>
            </w:r>
          </w:p>
        </w:tc>
      </w:tr>
      <w:tr>
        <w:trPr>
          <w:trHeight w:val="223"/>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9420" w:type="dxa"/>
            <w:vAlign w:val="bottom"/>
            <w:gridSpan w:val="32"/>
          </w:tcPr>
          <w:p>
            <w:pPr>
              <w:spacing w:after="0"/>
              <w:rPr>
                <w:sz w:val="20"/>
                <w:szCs w:val="20"/>
                <w:color w:val="auto"/>
              </w:rPr>
            </w:pPr>
            <w:r>
              <w:rPr>
                <w:rFonts w:ascii="Times New Roman" w:cs="Times New Roman" w:eastAsia="Times New Roman" w:hAnsi="Times New Roman"/>
                <w:sz w:val="18"/>
                <w:szCs w:val="18"/>
                <w:color w:val="auto"/>
              </w:rPr>
              <w:t>Legal Proceedings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0"/>
        </w:trPr>
        <w:tc>
          <w:tcPr>
            <w:tcW w:w="102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23"/>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9420" w:type="dxa"/>
            <w:vAlign w:val="bottom"/>
            <w:gridSpan w:val="32"/>
          </w:tcPr>
          <w:p>
            <w:pPr>
              <w:spacing w:after="0"/>
              <w:rPr>
                <w:sz w:val="20"/>
                <w:szCs w:val="20"/>
                <w:color w:val="auto"/>
              </w:rPr>
            </w:pPr>
            <w:r>
              <w:rPr>
                <w:rFonts w:ascii="Times New Roman" w:cs="Times New Roman" w:eastAsia="Times New Roman" w:hAnsi="Times New Roman"/>
                <w:sz w:val="18"/>
                <w:szCs w:val="18"/>
                <w:color w:val="auto"/>
              </w:rPr>
              <w:t>Mine Safety Disclosures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372"/>
        </w:trPr>
        <w:tc>
          <w:tcPr>
            <w:tcW w:w="102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0" w:type="dxa"/>
            <w:vAlign w:val="bottom"/>
            <w:gridSpan w:val="14"/>
          </w:tcPr>
          <w:p>
            <w:pPr>
              <w:jc w:val="center"/>
              <w:ind w:right="4960"/>
              <w:spacing w:after="0"/>
              <w:rPr>
                <w:sz w:val="20"/>
                <w:szCs w:val="20"/>
                <w:color w:val="auto"/>
              </w:rPr>
            </w:pPr>
            <w:r>
              <w:rPr>
                <w:rFonts w:ascii="Times New Roman" w:cs="Times New Roman" w:eastAsia="Times New Roman" w:hAnsi="Times New Roman"/>
                <w:sz w:val="18"/>
                <w:szCs w:val="18"/>
                <w:b w:val="1"/>
                <w:bCs w:val="1"/>
                <w:color w:val="auto"/>
                <w:w w:val="94"/>
              </w:rPr>
              <w:t>PART II</w:t>
            </w:r>
          </w:p>
        </w:tc>
        <w:tc>
          <w:tcPr>
            <w:tcW w:w="780" w:type="dxa"/>
            <w:vAlign w:val="bottom"/>
          </w:tcPr>
          <w:p>
            <w:pPr>
              <w:spacing w:after="0"/>
              <w:rPr>
                <w:sz w:val="24"/>
                <w:szCs w:val="24"/>
                <w:color w:val="auto"/>
              </w:rPr>
            </w:pPr>
          </w:p>
        </w:tc>
      </w:tr>
      <w:tr>
        <w:trPr>
          <w:trHeight w:val="20"/>
        </w:trPr>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372"/>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ITEM 5.</w:t>
            </w:r>
          </w:p>
        </w:tc>
        <w:tc>
          <w:tcPr>
            <w:tcW w:w="7380" w:type="dxa"/>
            <w:vAlign w:val="bottom"/>
            <w:tcBorders>
              <w:bottom w:val="single" w:sz="8" w:color="0000EE"/>
            </w:tcBorders>
            <w:gridSpan w:val="31"/>
          </w:tcPr>
          <w:p>
            <w:pPr>
              <w:spacing w:after="0"/>
              <w:rPr>
                <w:sz w:val="20"/>
                <w:szCs w:val="20"/>
                <w:color w:val="auto"/>
              </w:rPr>
            </w:pPr>
            <w:r>
              <w:rPr>
                <w:rFonts w:ascii="Times New Roman" w:cs="Times New Roman" w:eastAsia="Times New Roman" w:hAnsi="Times New Roman"/>
                <w:sz w:val="18"/>
                <w:szCs w:val="18"/>
                <w:color w:val="auto"/>
              </w:rPr>
              <w:t>Market for Registrant’s Common Equity, Related Stockholder Matters and Issuer Purchases of Equity</w:t>
            </w:r>
          </w:p>
        </w:tc>
        <w:tc>
          <w:tcPr>
            <w:tcW w:w="204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96"/>
        </w:trPr>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Borders>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auto"/>
                <w:w w:val="98"/>
              </w:rPr>
              <w:t>Securities</w:t>
            </w:r>
          </w:p>
        </w:tc>
        <w:tc>
          <w:tcPr>
            <w:tcW w:w="8480" w:type="dxa"/>
            <w:vAlign w:val="bottom"/>
            <w:gridSpan w:val="25"/>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45</w:t>
            </w:r>
          </w:p>
        </w:tc>
      </w:tr>
      <w:tr>
        <w:trPr>
          <w:trHeight w:val="223"/>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ITEM 6.</w:t>
            </w:r>
          </w:p>
        </w:tc>
        <w:tc>
          <w:tcPr>
            <w:tcW w:w="80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auto"/>
                <w:w w:val="98"/>
              </w:rPr>
              <w:t>[Reserved]</w:t>
            </w:r>
          </w:p>
        </w:tc>
        <w:tc>
          <w:tcPr>
            <w:tcW w:w="8620" w:type="dxa"/>
            <w:vAlign w:val="bottom"/>
            <w:gridSpan w:val="27"/>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23"/>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ITEM 7.</w:t>
            </w:r>
          </w:p>
        </w:tc>
        <w:tc>
          <w:tcPr>
            <w:tcW w:w="9420" w:type="dxa"/>
            <w:vAlign w:val="bottom"/>
            <w:gridSpan w:val="32"/>
          </w:tcPr>
          <w:p>
            <w:pPr>
              <w:spacing w:after="0"/>
              <w:rPr>
                <w:sz w:val="20"/>
                <w:szCs w:val="20"/>
                <w:color w:val="auto"/>
              </w:rPr>
            </w:pPr>
            <w:r>
              <w:rPr>
                <w:rFonts w:ascii="Times New Roman" w:cs="Times New Roman" w:eastAsia="Times New Roman" w:hAnsi="Times New Roman"/>
                <w:sz w:val="18"/>
                <w:szCs w:val="18"/>
                <w:color w:val="auto"/>
              </w:rPr>
              <w:t>Management’s Discussion and Analysis of Financial Condition and Results of Operations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23"/>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ITEM 7A.</w:t>
            </w:r>
          </w:p>
        </w:tc>
        <w:tc>
          <w:tcPr>
            <w:tcW w:w="6460" w:type="dxa"/>
            <w:vAlign w:val="bottom"/>
            <w:tcBorders>
              <w:top w:val="single" w:sz="8" w:color="0000EE"/>
            </w:tcBorders>
            <w:gridSpan w:val="28"/>
          </w:tcPr>
          <w:p>
            <w:pPr>
              <w:spacing w:after="0"/>
              <w:rPr>
                <w:sz w:val="20"/>
                <w:szCs w:val="20"/>
                <w:color w:val="auto"/>
              </w:rPr>
            </w:pPr>
            <w:r>
              <w:rPr>
                <w:rFonts w:ascii="Times New Roman" w:cs="Times New Roman" w:eastAsia="Times New Roman" w:hAnsi="Times New Roman"/>
                <w:sz w:val="18"/>
                <w:szCs w:val="18"/>
                <w:color w:val="auto"/>
              </w:rPr>
              <w:t>Quantitative and Qualitative Disclosures About Market Risk</w:t>
            </w:r>
          </w:p>
        </w:tc>
        <w:tc>
          <w:tcPr>
            <w:tcW w:w="2960" w:type="dxa"/>
            <w:vAlign w:val="bottom"/>
            <w:gridSpan w:val="4"/>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23"/>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ITEM 8.</w:t>
            </w:r>
          </w:p>
        </w:tc>
        <w:tc>
          <w:tcPr>
            <w:tcW w:w="3340" w:type="dxa"/>
            <w:vAlign w:val="bottom"/>
            <w:tcBorders>
              <w:top w:val="single" w:sz="8" w:color="0000EE"/>
              <w:bottom w:val="single" w:sz="8" w:color="0000EE"/>
            </w:tcBorders>
            <w:gridSpan w:val="15"/>
          </w:tcPr>
          <w:p>
            <w:pPr>
              <w:spacing w:after="0"/>
              <w:rPr>
                <w:sz w:val="20"/>
                <w:szCs w:val="20"/>
                <w:color w:val="auto"/>
              </w:rPr>
            </w:pPr>
            <w:r>
              <w:rPr>
                <w:rFonts w:ascii="Times New Roman" w:cs="Times New Roman" w:eastAsia="Times New Roman" w:hAnsi="Times New Roman"/>
                <w:sz w:val="18"/>
                <w:szCs w:val="18"/>
                <w:color w:val="auto"/>
                <w:w w:val="99"/>
              </w:rPr>
              <w:t>Financial Statements and Supplementary Data</w:t>
            </w:r>
          </w:p>
        </w:tc>
        <w:tc>
          <w:tcPr>
            <w:tcW w:w="1020" w:type="dxa"/>
            <w:vAlign w:val="bottom"/>
            <w:tcBorders>
              <w:top w:val="single" w:sz="8" w:color="0000EE"/>
            </w:tcBorders>
            <w:gridSpan w:val="6"/>
          </w:tcPr>
          <w:p>
            <w:pPr>
              <w:spacing w:after="0"/>
              <w:rPr>
                <w:sz w:val="19"/>
                <w:szCs w:val="19"/>
                <w:color w:val="auto"/>
              </w:rPr>
            </w:pPr>
          </w:p>
        </w:tc>
        <w:tc>
          <w:tcPr>
            <w:tcW w:w="5060" w:type="dxa"/>
            <w:vAlign w:val="bottom"/>
            <w:gridSpan w:val="11"/>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223"/>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ITEM 9.</w:t>
            </w:r>
          </w:p>
        </w:tc>
        <w:tc>
          <w:tcPr>
            <w:tcW w:w="6560" w:type="dxa"/>
            <w:vAlign w:val="bottom"/>
            <w:tcBorders>
              <w:bottom w:val="single" w:sz="8" w:color="0000EE"/>
            </w:tcBorders>
            <w:gridSpan w:val="29"/>
          </w:tcPr>
          <w:p>
            <w:pPr>
              <w:spacing w:after="0"/>
              <w:rPr>
                <w:sz w:val="20"/>
                <w:szCs w:val="20"/>
                <w:color w:val="auto"/>
              </w:rPr>
            </w:pPr>
            <w:r>
              <w:rPr>
                <w:rFonts w:ascii="Times New Roman" w:cs="Times New Roman" w:eastAsia="Times New Roman" w:hAnsi="Times New Roman"/>
                <w:sz w:val="18"/>
                <w:szCs w:val="18"/>
                <w:color w:val="auto"/>
                <w:w w:val="99"/>
              </w:rPr>
              <w:t>Changes in and Disagreements with Accountants on Accounting and Financial Disclosures</w:t>
            </w:r>
          </w:p>
        </w:tc>
        <w:tc>
          <w:tcPr>
            <w:tcW w:w="2860" w:type="dxa"/>
            <w:vAlign w:val="bottom"/>
            <w:gridSpan w:val="3"/>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r>
      <w:tr>
        <w:trPr>
          <w:trHeight w:val="223"/>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ITEM 9A.</w:t>
            </w:r>
          </w:p>
        </w:tc>
        <w:tc>
          <w:tcPr>
            <w:tcW w:w="1780" w:type="dxa"/>
            <w:vAlign w:val="bottom"/>
            <w:tcBorders>
              <w:bottom w:val="single" w:sz="8" w:color="0000EE"/>
            </w:tcBorders>
            <w:gridSpan w:val="10"/>
          </w:tcPr>
          <w:p>
            <w:pPr>
              <w:spacing w:after="0"/>
              <w:rPr>
                <w:sz w:val="20"/>
                <w:szCs w:val="20"/>
                <w:color w:val="auto"/>
              </w:rPr>
            </w:pPr>
            <w:r>
              <w:rPr>
                <w:rFonts w:ascii="Times New Roman" w:cs="Times New Roman" w:eastAsia="Times New Roman" w:hAnsi="Times New Roman"/>
                <w:sz w:val="18"/>
                <w:szCs w:val="18"/>
                <w:color w:val="auto"/>
                <w:w w:val="99"/>
              </w:rPr>
              <w:t>Controls and Procedures</w:t>
            </w:r>
          </w:p>
        </w:tc>
        <w:tc>
          <w:tcPr>
            <w:tcW w:w="7640" w:type="dxa"/>
            <w:vAlign w:val="bottom"/>
            <w:gridSpan w:val="22"/>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r>
      <w:tr>
        <w:trPr>
          <w:trHeight w:val="223"/>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ITEM 9B.</w:t>
            </w:r>
          </w:p>
        </w:tc>
        <w:tc>
          <w:tcPr>
            <w:tcW w:w="9420" w:type="dxa"/>
            <w:vAlign w:val="bottom"/>
            <w:gridSpan w:val="32"/>
          </w:tcPr>
          <w:p>
            <w:pPr>
              <w:spacing w:after="0"/>
              <w:rPr>
                <w:sz w:val="20"/>
                <w:szCs w:val="20"/>
                <w:color w:val="auto"/>
              </w:rPr>
            </w:pPr>
            <w:r>
              <w:rPr>
                <w:rFonts w:ascii="Times New Roman" w:cs="Times New Roman" w:eastAsia="Times New Roman" w:hAnsi="Times New Roman"/>
                <w:sz w:val="18"/>
                <w:szCs w:val="18"/>
                <w:color w:val="auto"/>
              </w:rPr>
              <w:t>Other Information</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r>
      <w:tr>
        <w:trPr>
          <w:trHeight w:val="20"/>
        </w:trPr>
        <w:tc>
          <w:tcPr>
            <w:tcW w:w="102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40" w:type="dxa"/>
            <w:vAlign w:val="bottom"/>
            <w:gridSpan w:val="7"/>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23"/>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ITEM 9C.</w:t>
            </w:r>
          </w:p>
        </w:tc>
        <w:tc>
          <w:tcPr>
            <w:tcW w:w="4940" w:type="dxa"/>
            <w:vAlign w:val="bottom"/>
            <w:tcBorders>
              <w:bottom w:val="single" w:sz="8" w:color="0000EE"/>
            </w:tcBorders>
            <w:gridSpan w:val="26"/>
          </w:tcPr>
          <w:p>
            <w:pPr>
              <w:spacing w:after="0"/>
              <w:rPr>
                <w:sz w:val="20"/>
                <w:szCs w:val="20"/>
                <w:color w:val="auto"/>
              </w:rPr>
            </w:pPr>
            <w:r>
              <w:rPr>
                <w:rFonts w:ascii="Times New Roman" w:cs="Times New Roman" w:eastAsia="Times New Roman" w:hAnsi="Times New Roman"/>
                <w:sz w:val="18"/>
                <w:szCs w:val="18"/>
                <w:color w:val="0000FF"/>
              </w:rPr>
              <w:t>Disclosure Regarding Foreign Jurisdictions that Prevent Inspections</w:t>
            </w:r>
          </w:p>
        </w:tc>
        <w:tc>
          <w:tcPr>
            <w:tcW w:w="4480" w:type="dxa"/>
            <w:vAlign w:val="bottom"/>
            <w:gridSpan w:val="6"/>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r>
      <w:tr>
        <w:trPr>
          <w:trHeight w:val="371"/>
        </w:trPr>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40" w:type="dxa"/>
            <w:vAlign w:val="bottom"/>
            <w:tcBorders>
              <w:bottom w:val="single" w:sz="8" w:color="0000EE"/>
            </w:tcBorders>
            <w:gridSpan w:val="9"/>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6"/>
              </w:rPr>
              <w:t>PART III</w:t>
            </w:r>
          </w:p>
        </w:tc>
        <w:tc>
          <w:tcPr>
            <w:tcW w:w="4900" w:type="dxa"/>
            <w:vAlign w:val="bottom"/>
            <w:gridSpan w:val="7"/>
          </w:tcPr>
          <w:p>
            <w:pPr>
              <w:spacing w:after="0"/>
              <w:rPr>
                <w:sz w:val="24"/>
                <w:szCs w:val="24"/>
                <w:color w:val="auto"/>
              </w:rPr>
            </w:pPr>
          </w:p>
        </w:tc>
        <w:tc>
          <w:tcPr>
            <w:tcW w:w="780" w:type="dxa"/>
            <w:vAlign w:val="bottom"/>
          </w:tcPr>
          <w:p>
            <w:pPr>
              <w:spacing w:after="0"/>
              <w:rPr>
                <w:sz w:val="24"/>
                <w:szCs w:val="24"/>
                <w:color w:val="auto"/>
              </w:rPr>
            </w:pPr>
          </w:p>
        </w:tc>
      </w:tr>
      <w:tr>
        <w:trPr>
          <w:trHeight w:val="372"/>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ITEM 10.</w:t>
            </w:r>
          </w:p>
        </w:tc>
        <w:tc>
          <w:tcPr>
            <w:tcW w:w="9420" w:type="dxa"/>
            <w:vAlign w:val="bottom"/>
            <w:gridSpan w:val="32"/>
          </w:tcPr>
          <w:p>
            <w:pPr>
              <w:spacing w:after="0"/>
              <w:rPr>
                <w:sz w:val="20"/>
                <w:szCs w:val="20"/>
                <w:color w:val="auto"/>
              </w:rPr>
            </w:pPr>
            <w:r>
              <w:rPr>
                <w:rFonts w:ascii="Times New Roman" w:cs="Times New Roman" w:eastAsia="Times New Roman" w:hAnsi="Times New Roman"/>
                <w:sz w:val="18"/>
                <w:szCs w:val="18"/>
                <w:color w:val="auto"/>
              </w:rPr>
              <w:t>Directors, Executive Officers and Corporate Governance</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r>
      <w:tr>
        <w:trPr>
          <w:trHeight w:val="223"/>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ITEM 11.</w:t>
            </w:r>
          </w:p>
        </w:tc>
        <w:tc>
          <w:tcPr>
            <w:tcW w:w="1820" w:type="dxa"/>
            <w:vAlign w:val="bottom"/>
            <w:tcBorders>
              <w:top w:val="single" w:sz="8" w:color="0000EE"/>
              <w:bottom w:val="single" w:sz="8" w:color="0000EE"/>
            </w:tcBorders>
            <w:gridSpan w:val="11"/>
          </w:tcPr>
          <w:p>
            <w:pPr>
              <w:spacing w:after="0"/>
              <w:rPr>
                <w:sz w:val="20"/>
                <w:szCs w:val="20"/>
                <w:color w:val="auto"/>
              </w:rPr>
            </w:pPr>
            <w:r>
              <w:rPr>
                <w:rFonts w:ascii="Times New Roman" w:cs="Times New Roman" w:eastAsia="Times New Roman" w:hAnsi="Times New Roman"/>
                <w:sz w:val="18"/>
                <w:szCs w:val="18"/>
                <w:color w:val="auto"/>
                <w:w w:val="99"/>
              </w:rPr>
              <w:t>Executive Compensation</w:t>
            </w:r>
          </w:p>
        </w:tc>
        <w:tc>
          <w:tcPr>
            <w:tcW w:w="2280" w:type="dxa"/>
            <w:vAlign w:val="bottom"/>
            <w:tcBorders>
              <w:top w:val="single" w:sz="8" w:color="0000EE"/>
            </w:tcBorders>
            <w:gridSpan w:val="9"/>
          </w:tcPr>
          <w:p>
            <w:pPr>
              <w:spacing w:after="0"/>
              <w:rPr>
                <w:sz w:val="19"/>
                <w:szCs w:val="19"/>
                <w:color w:val="auto"/>
              </w:rPr>
            </w:pPr>
          </w:p>
        </w:tc>
        <w:tc>
          <w:tcPr>
            <w:tcW w:w="5320" w:type="dxa"/>
            <w:vAlign w:val="bottom"/>
            <w:gridSpan w:val="12"/>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r>
      <w:tr>
        <w:trPr>
          <w:trHeight w:val="223"/>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ITEM 12.</w:t>
            </w:r>
          </w:p>
        </w:tc>
        <w:tc>
          <w:tcPr>
            <w:tcW w:w="7300" w:type="dxa"/>
            <w:vAlign w:val="bottom"/>
            <w:tcBorders>
              <w:bottom w:val="single" w:sz="8" w:color="0000EE"/>
            </w:tcBorders>
            <w:gridSpan w:val="30"/>
          </w:tcPr>
          <w:p>
            <w:pPr>
              <w:spacing w:after="0"/>
              <w:rPr>
                <w:sz w:val="20"/>
                <w:szCs w:val="20"/>
                <w:color w:val="auto"/>
              </w:rPr>
            </w:pPr>
            <w:r>
              <w:rPr>
                <w:rFonts w:ascii="Times New Roman" w:cs="Times New Roman" w:eastAsia="Times New Roman" w:hAnsi="Times New Roman"/>
                <w:sz w:val="18"/>
                <w:szCs w:val="18"/>
                <w:color w:val="auto"/>
                <w:w w:val="99"/>
              </w:rPr>
              <w:t>Security Ownership of Certain Beneficial Owners and Management and Related Stockholder Matters</w:t>
            </w:r>
          </w:p>
        </w:tc>
        <w:tc>
          <w:tcPr>
            <w:tcW w:w="2120" w:type="dxa"/>
            <w:vAlign w:val="bottom"/>
            <w:gridSpan w:val="2"/>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r>
      <w:tr>
        <w:trPr>
          <w:trHeight w:val="223"/>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ITEM 13.</w:t>
            </w:r>
          </w:p>
        </w:tc>
        <w:tc>
          <w:tcPr>
            <w:tcW w:w="5460" w:type="dxa"/>
            <w:vAlign w:val="bottom"/>
            <w:tcBorders>
              <w:bottom w:val="single" w:sz="8" w:color="0000EE"/>
            </w:tcBorders>
            <w:gridSpan w:val="27"/>
          </w:tcPr>
          <w:p>
            <w:pPr>
              <w:spacing w:after="0"/>
              <w:rPr>
                <w:sz w:val="20"/>
                <w:szCs w:val="20"/>
                <w:color w:val="auto"/>
              </w:rPr>
            </w:pPr>
            <w:r>
              <w:rPr>
                <w:rFonts w:ascii="Times New Roman" w:cs="Times New Roman" w:eastAsia="Times New Roman" w:hAnsi="Times New Roman"/>
                <w:sz w:val="18"/>
                <w:szCs w:val="18"/>
                <w:color w:val="auto"/>
                <w:w w:val="99"/>
              </w:rPr>
              <w:t>Certain Relationships and Related Transactions, and Director Independence</w:t>
            </w:r>
          </w:p>
        </w:tc>
        <w:tc>
          <w:tcPr>
            <w:tcW w:w="3960" w:type="dxa"/>
            <w:vAlign w:val="bottom"/>
            <w:gridSpan w:val="5"/>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r>
      <w:tr>
        <w:trPr>
          <w:trHeight w:val="223"/>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ITEM 14.</w:t>
            </w:r>
          </w:p>
        </w:tc>
        <w:tc>
          <w:tcPr>
            <w:tcW w:w="9420" w:type="dxa"/>
            <w:vAlign w:val="bottom"/>
            <w:gridSpan w:val="32"/>
          </w:tcPr>
          <w:p>
            <w:pPr>
              <w:spacing w:after="0"/>
              <w:rPr>
                <w:sz w:val="20"/>
                <w:szCs w:val="20"/>
                <w:color w:val="auto"/>
              </w:rPr>
            </w:pPr>
            <w:r>
              <w:rPr>
                <w:rFonts w:ascii="Times New Roman" w:cs="Times New Roman" w:eastAsia="Times New Roman" w:hAnsi="Times New Roman"/>
                <w:sz w:val="18"/>
                <w:szCs w:val="18"/>
                <w:color w:val="auto"/>
              </w:rPr>
              <w:t>Principal Accounting Fees and Services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r>
      <w:tr>
        <w:trPr>
          <w:trHeight w:val="372"/>
        </w:trPr>
        <w:tc>
          <w:tcPr>
            <w:tcW w:w="102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Borders>
              <w:bottom w:val="single" w:sz="8" w:color="0000EE"/>
            </w:tcBorders>
            <w:gridSpan w:val="7"/>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PART IV</w:t>
            </w:r>
          </w:p>
        </w:tc>
        <w:tc>
          <w:tcPr>
            <w:tcW w:w="4920" w:type="dxa"/>
            <w:vAlign w:val="bottom"/>
            <w:gridSpan w:val="8"/>
          </w:tcPr>
          <w:p>
            <w:pPr>
              <w:spacing w:after="0"/>
              <w:rPr>
                <w:sz w:val="24"/>
                <w:szCs w:val="24"/>
                <w:color w:val="auto"/>
              </w:rPr>
            </w:pPr>
          </w:p>
        </w:tc>
        <w:tc>
          <w:tcPr>
            <w:tcW w:w="780" w:type="dxa"/>
            <w:vAlign w:val="bottom"/>
          </w:tcPr>
          <w:p>
            <w:pPr>
              <w:spacing w:after="0"/>
              <w:rPr>
                <w:sz w:val="24"/>
                <w:szCs w:val="24"/>
                <w:color w:val="auto"/>
              </w:rPr>
            </w:pPr>
          </w:p>
        </w:tc>
      </w:tr>
      <w:tr>
        <w:trPr>
          <w:trHeight w:val="371"/>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ITEM 15.</w:t>
            </w:r>
          </w:p>
        </w:tc>
        <w:tc>
          <w:tcPr>
            <w:tcW w:w="9420" w:type="dxa"/>
            <w:vAlign w:val="bottom"/>
            <w:gridSpan w:val="32"/>
          </w:tcPr>
          <w:p>
            <w:pPr>
              <w:spacing w:after="0"/>
              <w:rPr>
                <w:sz w:val="20"/>
                <w:szCs w:val="20"/>
                <w:color w:val="auto"/>
              </w:rPr>
            </w:pPr>
            <w:r>
              <w:rPr>
                <w:rFonts w:ascii="Times New Roman" w:cs="Times New Roman" w:eastAsia="Times New Roman" w:hAnsi="Times New Roman"/>
                <w:sz w:val="18"/>
                <w:szCs w:val="18"/>
                <w:color w:val="auto"/>
              </w:rPr>
              <w:t>Exhibits, Financial Statement Schedules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23"/>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ITEM 16.</w:t>
            </w:r>
          </w:p>
        </w:tc>
        <w:tc>
          <w:tcPr>
            <w:tcW w:w="2900" w:type="dxa"/>
            <w:vAlign w:val="bottom"/>
            <w:tcBorders>
              <w:top w:val="single" w:sz="8" w:color="0000EE"/>
            </w:tcBorders>
            <w:gridSpan w:val="14"/>
          </w:tcPr>
          <w:p>
            <w:pPr>
              <w:spacing w:after="0"/>
              <w:rPr>
                <w:sz w:val="20"/>
                <w:szCs w:val="20"/>
                <w:color w:val="auto"/>
              </w:rPr>
            </w:pPr>
            <w:r>
              <w:rPr>
                <w:rFonts w:ascii="Times New Roman" w:cs="Times New Roman" w:eastAsia="Times New Roman" w:hAnsi="Times New Roman"/>
                <w:sz w:val="18"/>
                <w:szCs w:val="18"/>
                <w:color w:val="auto"/>
              </w:rPr>
              <w:t>10-K Summary</w:t>
            </w:r>
          </w:p>
        </w:tc>
        <w:tc>
          <w:tcPr>
            <w:tcW w:w="6520" w:type="dxa"/>
            <w:vAlign w:val="bottom"/>
            <w:gridSpan w:val="18"/>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0"/>
        </w:trPr>
        <w:tc>
          <w:tcPr>
            <w:tcW w:w="102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40" w:type="dxa"/>
            <w:vAlign w:val="bottom"/>
            <w:gridSpan w:val="7"/>
            <w:shd w:val="clear" w:color="auto" w:fill="0000EE"/>
          </w:tcPr>
          <w:p>
            <w:pPr>
              <w:spacing w:after="0" w:line="20" w:lineRule="exact"/>
              <w:rPr>
                <w:sz w:val="1"/>
                <w:szCs w:val="1"/>
                <w:color w:val="auto"/>
              </w:rPr>
            </w:pPr>
          </w:p>
        </w:tc>
        <w:tc>
          <w:tcPr>
            <w:tcW w:w="8300" w:type="dxa"/>
            <w:vAlign w:val="bottom"/>
            <w:gridSpan w:val="24"/>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23"/>
        </w:trPr>
        <w:tc>
          <w:tcPr>
            <w:tcW w:w="10440" w:type="dxa"/>
            <w:vAlign w:val="bottom"/>
            <w:gridSpan w:val="33"/>
          </w:tcPr>
          <w:p>
            <w:pPr>
              <w:spacing w:after="0"/>
              <w:rPr>
                <w:sz w:val="20"/>
                <w:szCs w:val="20"/>
                <w:color w:val="auto"/>
              </w:rPr>
            </w:pPr>
            <w:r>
              <w:rPr>
                <w:rFonts w:ascii="Times New Roman" w:cs="Times New Roman" w:eastAsia="Times New Roman" w:hAnsi="Times New Roman"/>
                <w:sz w:val="18"/>
                <w:szCs w:val="18"/>
                <w:color w:val="auto"/>
              </w:rPr>
              <w:t>SIGNATURES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r>
      <w:tr>
        <w:trPr>
          <w:trHeight w:val="20"/>
        </w:trPr>
        <w:tc>
          <w:tcPr>
            <w:tcW w:w="10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484505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981" w:right="339" w:bottom="1440" w:gutter="0" w:footer="0" w:header="0"/>
        </w:sectPr>
      </w:pPr>
    </w:p>
    <w:bookmarkStart w:id="3" w:name="page4"/>
    <w:bookmarkEnd w:id="3"/>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189" w:lineRule="exact"/>
        <w:rPr>
          <w:sz w:val="20"/>
          <w:szCs w:val="20"/>
          <w:color w:val="auto"/>
        </w:rPr>
      </w:pPr>
    </w:p>
    <w:p>
      <w:pPr>
        <w:ind w:firstLine="509"/>
        <w:spacing w:after="0" w:line="273" w:lineRule="auto"/>
        <w:rPr>
          <w:sz w:val="20"/>
          <w:szCs w:val="20"/>
          <w:color w:val="auto"/>
        </w:rPr>
      </w:pPr>
      <w:r>
        <w:rPr>
          <w:rFonts w:ascii="Times New Roman" w:cs="Times New Roman" w:eastAsia="Times New Roman" w:hAnsi="Times New Roman"/>
          <w:sz w:val="17"/>
          <w:szCs w:val="17"/>
          <w:color w:val="auto"/>
        </w:rPr>
        <w:t>This Annual Report on Form 10-K contains forward-looking statements within the meaning of Section 27A of the Securities Act of 1933, as amended, and Section 21E of the Securities Exchange Act of 1934, as amended, and these statements involve substantial risks and uncertainties. All statements other than statements of historical fact contained in this Annual Report on Form 10-K are forward-looking statements. Forward-looking statements generally relate to future events or our future financial or operating performance. In some cases, you can identify forward-looking statements because they contain words such as “may,” “should,” “expects,” “plans,” “anticipates,” “could,” “intends,” “target,” “projects,” “contemplates,” “believes,” “estimates,” “predicts,” “potential” or “continue” or the negative of these words or other similar terms or expressions that concern our expectations, strategy, plans or intentions. Forward-looking statements contained in this Annual Report on Form 10-K include, but are not limited to, statements about:</w:t>
      </w:r>
    </w:p>
    <w:p>
      <w:pPr>
        <w:spacing w:after="0" w:line="144" w:lineRule="exact"/>
        <w:rPr>
          <w:sz w:val="20"/>
          <w:szCs w:val="20"/>
          <w:color w:val="auto"/>
        </w:rPr>
      </w:pPr>
    </w:p>
    <w:p>
      <w:pPr>
        <w:ind w:left="1020" w:right="340" w:hanging="503"/>
        <w:spacing w:after="0" w:line="282"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financial and operational performance and operational expenditures, including our expectations regarding our revenue, cost of revenue, gross margin and operating expenses;</w:t>
      </w:r>
    </w:p>
    <w:p>
      <w:pPr>
        <w:spacing w:after="0" w:line="12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and expanding our customer base and increasing our average subscription revenue per customer;</w:t>
      </w:r>
    </w:p>
    <w:p>
      <w:pPr>
        <w:spacing w:after="0" w:line="184" w:lineRule="exact"/>
        <w:rPr>
          <w:rFonts w:ascii="Times New Roman" w:cs="Times New Roman" w:eastAsia="Times New Roman" w:hAnsi="Times New Roman"/>
          <w:sz w:val="18"/>
          <w:szCs w:val="18"/>
          <w:color w:val="auto"/>
        </w:rPr>
      </w:pPr>
    </w:p>
    <w:p>
      <w:pPr>
        <w:ind w:left="1020" w:right="200" w:hanging="503"/>
        <w:spacing w:after="0" w:line="282"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competition in our industry and innovation by our competitors including as a result of new or better use of evolving artificial intelligence technologies;</w:t>
      </w:r>
    </w:p>
    <w:p>
      <w:pPr>
        <w:spacing w:after="0" w:line="13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anticipated growth and expectations regarding our ability to manage our future growth;</w:t>
      </w:r>
    </w:p>
    <w:p>
      <w:pPr>
        <w:spacing w:after="0" w:line="184"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potential impact of geo-political conflicts, inflationary pressures, foreign currency movement, macroeconomic stability, and catastrophic events, such as the COVID-19 pandemic, on our business, the broader economy, our workforce and operations, the markets in which we and our partners and customers operate, and our ability to forecast future financial performance;</w:t>
      </w:r>
    </w:p>
    <w:p>
      <w:pPr>
        <w:spacing w:after="0" w:line="135"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anticipated areas of investments, including sales and marketing, research and development including with respect to artificial intelligence and machine learning, customer service and support, data center infrastructure and service capabilities, and expectations relating to such investments;</w:t>
      </w:r>
    </w:p>
    <w:p>
      <w:pPr>
        <w:spacing w:after="0" w:line="14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predictions about industry and market trends;</w:t>
      </w:r>
    </w:p>
    <w:p>
      <w:pPr>
        <w:spacing w:after="0" w:line="184" w:lineRule="exact"/>
        <w:rPr>
          <w:rFonts w:ascii="Times New Roman" w:cs="Times New Roman" w:eastAsia="Times New Roman" w:hAnsi="Times New Roman"/>
          <w:sz w:val="18"/>
          <w:szCs w:val="18"/>
          <w:color w:val="auto"/>
        </w:rPr>
      </w:pPr>
    </w:p>
    <w:p>
      <w:pPr>
        <w:ind w:left="1020" w:right="300" w:hanging="503"/>
        <w:spacing w:after="0" w:line="266"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anticipate and address the evolution of technology and the technological needs of our customers, to roll-out upgrades to our existing software platform and to develop new and enhanced applications to meet the needs of our customers including with respect to artificial intelligence and machine learning;</w:t>
      </w:r>
    </w:p>
    <w:p>
      <w:pPr>
        <w:spacing w:after="0" w:line="13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our brand and inbound marketing, selling and servicing thought leadership position;</w:t>
      </w:r>
    </w:p>
    <w:p>
      <w:pPr>
        <w:spacing w:after="0" w:line="19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our corporate culture and our ability to attract, hire and retain necessary qualified employees to expand our operations;</w:t>
      </w:r>
    </w:p>
    <w:p>
      <w:pPr>
        <w:spacing w:after="0" w:line="18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anticipated effect on our business of litigation to which we are or may become a party;</w:t>
      </w:r>
    </w:p>
    <w:p>
      <w:pPr>
        <w:spacing w:after="0" w:line="18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acquire and integrate companies and assets;</w:t>
      </w:r>
    </w:p>
    <w:p>
      <w:pPr>
        <w:spacing w:after="0" w:line="19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regarding declaring or paying cash dividends in the foreseeable future; and</w:t>
      </w:r>
    </w:p>
    <w:p>
      <w:pPr>
        <w:spacing w:after="0" w:line="184" w:lineRule="exact"/>
        <w:rPr>
          <w:rFonts w:ascii="Times New Roman" w:cs="Times New Roman" w:eastAsia="Times New Roman" w:hAnsi="Times New Roman"/>
          <w:sz w:val="18"/>
          <w:szCs w:val="18"/>
          <w:color w:val="auto"/>
        </w:rPr>
      </w:pPr>
    </w:p>
    <w:p>
      <w:pPr>
        <w:ind w:left="1020" w:right="420" w:hanging="503"/>
        <w:spacing w:after="0" w:line="282"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stay abreast of new or modified laws and regulations that currently apply or become applicable to our business both in the United States and internationally.</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caution you that the foregoing list may not contain all of the forward-looking statements made in this Annual Report on Form 10-K.</w:t>
      </w:r>
    </w:p>
    <w:p>
      <w:pPr>
        <w:spacing w:after="0" w:line="198" w:lineRule="exact"/>
        <w:rPr>
          <w:sz w:val="20"/>
          <w:szCs w:val="20"/>
          <w:color w:val="auto"/>
        </w:rPr>
      </w:pPr>
    </w:p>
    <w:p>
      <w:pPr>
        <w:ind w:right="180" w:firstLine="509"/>
        <w:spacing w:after="0" w:line="256" w:lineRule="auto"/>
        <w:rPr>
          <w:sz w:val="20"/>
          <w:szCs w:val="20"/>
          <w:color w:val="auto"/>
        </w:rPr>
      </w:pPr>
      <w:r>
        <w:rPr>
          <w:rFonts w:ascii="Times New Roman" w:cs="Times New Roman" w:eastAsia="Times New Roman" w:hAnsi="Times New Roman"/>
          <w:sz w:val="18"/>
          <w:szCs w:val="18"/>
          <w:color w:val="auto"/>
        </w:rPr>
        <w:t>You should not rely upon forward-looking statements as predictions of future events. We have based the forward-looking statements contained in this Annual Report on Form 10-K primarily on our current expectations and projections about future events and trends that we believe may affect our business, financial condition, results of operations and prospects. The outcome of the events described in these forward-looking statements is subject to risks, uncertainties and other factors described in “Risk Factors” and elsewhere in this Annual Report on Form 10-K. Moreover, we operate in a very competitive and rapidly changing environment. New risks and uncertainties emerge from time to time, and it is not possible for us to predict all risks and uncertainties that could have an</w:t>
      </w:r>
    </w:p>
    <w:p>
      <w:pPr>
        <w:spacing w:after="0" w:line="1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1" w:right="379" w:bottom="1440" w:gutter="0" w:footer="0" w:header="0"/>
        </w:sectPr>
      </w:pPr>
    </w:p>
    <w:bookmarkStart w:id="4" w:name="page5"/>
    <w:bookmarkEnd w:id="4"/>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impact on the forward-looking statements contained in this Annual Report on Form 10-K. The results, events and circumstances reflected in the forward-looking statements may not be achieved or occur, and actual results, events or circumstances could differ materially from those described in the forward-looking statements.</w:t>
      </w:r>
    </w:p>
    <w:p>
      <w:pPr>
        <w:spacing w:after="0" w:line="149"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The forward-looking statements made in this Annual Report on Form 10-K relate only to events as of the date on which the statements are made. We undertake no obligation to update any forward-looking statements made in this Annual Report on Form 10-K to reflect events or circumstances after the date of this Annual Report on Form 10-K or to reflect new information or the occurrence of unanticipated events, except as required by law.</w:t>
      </w:r>
    </w:p>
    <w:p>
      <w:pPr>
        <w:spacing w:after="0" w:line="135" w:lineRule="exact"/>
        <w:rPr>
          <w:sz w:val="20"/>
          <w:szCs w:val="20"/>
          <w:color w:val="auto"/>
        </w:rPr>
      </w:pPr>
    </w:p>
    <w:p>
      <w:pPr>
        <w:ind w:right="480" w:firstLine="509"/>
        <w:spacing w:after="0" w:line="266" w:lineRule="auto"/>
        <w:rPr>
          <w:sz w:val="20"/>
          <w:szCs w:val="20"/>
          <w:color w:val="auto"/>
        </w:rPr>
      </w:pPr>
      <w:r>
        <w:rPr>
          <w:rFonts w:ascii="Times New Roman" w:cs="Times New Roman" w:eastAsia="Times New Roman" w:hAnsi="Times New Roman"/>
          <w:sz w:val="18"/>
          <w:szCs w:val="18"/>
          <w:color w:val="auto"/>
        </w:rPr>
        <w:t>We may not actually achieve the plans, intentions or expectations disclosed in our forward-looking statements and you should not place undue reliance on our forward-looking statements. Our forward-looking statements do not reflect the potential impact of any future acquisitions, mergers, dispositions, joint ventures, or investments we may make.</w:t>
      </w:r>
    </w:p>
    <w:p>
      <w:pPr>
        <w:spacing w:after="0" w:line="135" w:lineRule="exact"/>
        <w:rPr>
          <w:sz w:val="20"/>
          <w:szCs w:val="20"/>
          <w:color w:val="auto"/>
        </w:rPr>
      </w:pPr>
    </w:p>
    <w:p>
      <w:pPr>
        <w:ind w:right="400" w:firstLine="509"/>
        <w:spacing w:after="0" w:line="282" w:lineRule="auto"/>
        <w:rPr>
          <w:sz w:val="20"/>
          <w:szCs w:val="20"/>
          <w:color w:val="auto"/>
        </w:rPr>
      </w:pPr>
      <w:r>
        <w:rPr>
          <w:rFonts w:ascii="Times New Roman" w:cs="Times New Roman" w:eastAsia="Times New Roman" w:hAnsi="Times New Roman"/>
          <w:sz w:val="18"/>
          <w:szCs w:val="18"/>
          <w:color w:val="auto"/>
        </w:rPr>
        <w:t>In this Annual Report on Form 10-K, the terms “HubSpot,” “we,” “us,” and “our” refer to HubSpot, Inc. and its subsidiaries, unless the context indicates otherwise.</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Risk Factor Summary</w:t>
      </w:r>
    </w:p>
    <w:p>
      <w:pPr>
        <w:spacing w:after="0" w:line="200" w:lineRule="exact"/>
        <w:rPr>
          <w:sz w:val="20"/>
          <w:szCs w:val="20"/>
          <w:color w:val="auto"/>
        </w:rPr>
      </w:pPr>
    </w:p>
    <w:p>
      <w:pPr>
        <w:jc w:val="both"/>
        <w:ind w:right="280" w:firstLine="509"/>
        <w:spacing w:after="0" w:line="267" w:lineRule="auto"/>
        <w:rPr>
          <w:sz w:val="20"/>
          <w:szCs w:val="20"/>
          <w:color w:val="auto"/>
        </w:rPr>
      </w:pPr>
      <w:r>
        <w:rPr>
          <w:rFonts w:ascii="Times New Roman" w:cs="Times New Roman" w:eastAsia="Times New Roman" w:hAnsi="Times New Roman"/>
          <w:sz w:val="18"/>
          <w:szCs w:val="18"/>
          <w:i w:val="1"/>
          <w:iCs w:val="1"/>
          <w:color w:val="auto"/>
        </w:rPr>
        <w:t>The risk factors detailed in Item 1A entitled “Risk Factors” in this Annual Report on Form 10-K are the risks that we believe are material to our investors and a reader should carefully consider them. Those risks are not all of the risks we face and other factors not presently known to us or that we currently believe are immaterial may also affect our business if they occur. The following is a summary of the risk factors detailed in Item 1A:</w:t>
      </w:r>
    </w:p>
    <w:p>
      <w:pPr>
        <w:spacing w:after="0" w:line="135" w:lineRule="exact"/>
        <w:rPr>
          <w:sz w:val="20"/>
          <w:szCs w:val="20"/>
          <w:color w:val="auto"/>
        </w:rPr>
      </w:pPr>
    </w:p>
    <w:p>
      <w:pPr>
        <w:ind w:left="760" w:right="80" w:hanging="378"/>
        <w:spacing w:after="0" w:line="282" w:lineRule="auto"/>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dependent upon customer renewals, the addition of new customers, increased revenue from existing customers and the continued growth of the market for a customer platform.</w:t>
      </w:r>
    </w:p>
    <w:p>
      <w:pPr>
        <w:spacing w:after="0" w:line="121" w:lineRule="exact"/>
        <w:rPr>
          <w:rFonts w:ascii="Times New Roman" w:cs="Times New Roman" w:eastAsia="Times New Roman" w:hAnsi="Times New Roman"/>
          <w:sz w:val="18"/>
          <w:szCs w:val="18"/>
          <w:color w:val="auto"/>
        </w:rPr>
      </w:pPr>
    </w:p>
    <w:p>
      <w:pPr>
        <w:ind w:left="760" w:hanging="378"/>
        <w:spacing w:after="0" w:line="266" w:lineRule="auto"/>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significant competition from both established and new companies offering marketing, sales, customer service, operations and content management software and other related applications, as well as internally developed software, which may harm our ability to add new customers, retain existing customers and grow our business.</w:t>
      </w:r>
    </w:p>
    <w:p>
      <w:pPr>
        <w:spacing w:after="0" w:line="148" w:lineRule="exact"/>
        <w:rPr>
          <w:rFonts w:ascii="Times New Roman" w:cs="Times New Roman" w:eastAsia="Times New Roman" w:hAnsi="Times New Roman"/>
          <w:sz w:val="18"/>
          <w:szCs w:val="18"/>
          <w:color w:val="auto"/>
        </w:rPr>
      </w:pPr>
    </w:p>
    <w:p>
      <w:pPr>
        <w:ind w:left="760" w:right="220" w:hanging="378"/>
        <w:spacing w:after="0" w:line="282" w:lineRule="auto"/>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effectively develop and expand our marketing, sales, customer service, operations, and content management capabilities could harm our ability to increase our customer base and achieve broader market acceptance of our platform.</w:t>
      </w:r>
    </w:p>
    <w:p>
      <w:pPr>
        <w:spacing w:after="0" w:line="121" w:lineRule="exact"/>
        <w:rPr>
          <w:rFonts w:ascii="Times New Roman" w:cs="Times New Roman" w:eastAsia="Times New Roman" w:hAnsi="Times New Roman"/>
          <w:sz w:val="18"/>
          <w:szCs w:val="18"/>
          <w:color w:val="auto"/>
        </w:rPr>
      </w:pPr>
    </w:p>
    <w:p>
      <w:pPr>
        <w:ind w:left="760" w:right="740" w:hanging="378"/>
        <w:spacing w:after="0" w:line="282" w:lineRule="auto"/>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adapt and respond effectively to rapidly changing technology, evolving industry standards and changing customer needs or requirements, our customer platform may become less competitive.</w:t>
      </w:r>
    </w:p>
    <w:p>
      <w:pPr>
        <w:spacing w:after="0" w:line="121" w:lineRule="exact"/>
        <w:rPr>
          <w:rFonts w:ascii="Times New Roman" w:cs="Times New Roman" w:eastAsia="Times New Roman" w:hAnsi="Times New Roman"/>
          <w:sz w:val="18"/>
          <w:szCs w:val="18"/>
          <w:color w:val="auto"/>
        </w:rPr>
      </w:pPr>
    </w:p>
    <w:p>
      <w:pPr>
        <w:jc w:val="both"/>
        <w:ind w:left="760" w:right="580" w:hanging="378"/>
        <w:spacing w:after="0" w:line="266" w:lineRule="auto"/>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introduce new products and features, including new products and features that utilize artificial intelligence, is dependent on adequate research and development resources. If we do not adequately fund our research and development efforts, we may not be able to compete effectively and our business and operating results may be harmed.</w:t>
      </w:r>
    </w:p>
    <w:p>
      <w:pPr>
        <w:spacing w:after="0" w:line="14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exposed to fluctuations in currency exchange rates that could adversely affect our financial results.</w:t>
      </w:r>
    </w:p>
    <w:p>
      <w:pPr>
        <w:spacing w:after="0" w:line="184" w:lineRule="exact"/>
        <w:rPr>
          <w:rFonts w:ascii="Times New Roman" w:cs="Times New Roman" w:eastAsia="Times New Roman" w:hAnsi="Times New Roman"/>
          <w:sz w:val="18"/>
          <w:szCs w:val="18"/>
          <w:color w:val="auto"/>
        </w:rPr>
      </w:pPr>
    </w:p>
    <w:p>
      <w:pPr>
        <w:ind w:left="760" w:right="340" w:hanging="378"/>
        <w:spacing w:after="0" w:line="282" w:lineRule="auto"/>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current economic downturn may lead to decreased demand for our products and services and otherwise harm our business and results of operations.</w:t>
      </w:r>
    </w:p>
    <w:p>
      <w:pPr>
        <w:spacing w:after="0" w:line="121" w:lineRule="exact"/>
        <w:rPr>
          <w:rFonts w:ascii="Times New Roman" w:cs="Times New Roman" w:eastAsia="Times New Roman" w:hAnsi="Times New Roman"/>
          <w:sz w:val="18"/>
          <w:szCs w:val="18"/>
          <w:color w:val="auto"/>
        </w:rPr>
      </w:pPr>
    </w:p>
    <w:p>
      <w:pPr>
        <w:ind w:left="760" w:right="340" w:hanging="378"/>
        <w:spacing w:after="0" w:line="282" w:lineRule="auto"/>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Interruptions or delays in service from our third-party data center providers could impair our ability to deliver our platform to our customers, resulting in customer dissatisfaction, damage to our reputation, loss of customers, limited growth, and reduction in revenue.</w:t>
      </w:r>
    </w:p>
    <w:p>
      <w:pPr>
        <w:spacing w:after="0" w:line="134" w:lineRule="exact"/>
        <w:rPr>
          <w:rFonts w:ascii="Times New Roman" w:cs="Times New Roman" w:eastAsia="Times New Roman" w:hAnsi="Times New Roman"/>
          <w:sz w:val="18"/>
          <w:szCs w:val="18"/>
          <w:color w:val="auto"/>
        </w:rPr>
      </w:pPr>
    </w:p>
    <w:p>
      <w:pPr>
        <w:ind w:left="760" w:right="160" w:hanging="378"/>
        <w:spacing w:after="0" w:line="282" w:lineRule="auto"/>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customer platform has outages or fails due to defects or similar problems, and if we fail to correct any defect or other software problems, we could lose customers, become subject to service performance or warranty claims or incur significant costs.</w:t>
      </w:r>
    </w:p>
    <w:p>
      <w:pPr>
        <w:spacing w:after="0" w:line="121" w:lineRule="exact"/>
        <w:rPr>
          <w:rFonts w:ascii="Times New Roman" w:cs="Times New Roman" w:eastAsia="Times New Roman" w:hAnsi="Times New Roman"/>
          <w:sz w:val="18"/>
          <w:szCs w:val="18"/>
          <w:color w:val="auto"/>
        </w:rPr>
      </w:pPr>
    </w:p>
    <w:p>
      <w:pPr>
        <w:ind w:left="760" w:right="220" w:hanging="378"/>
        <w:spacing w:after="0" w:line="266" w:lineRule="auto"/>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or our customers’ security measures are compromised or unauthorized access to data of our customers or their customers is otherwise obtained, our customer platform may be perceived as not being secure, our customers may be harmed and may curtail or cease their use of our platform, our reputation may be damaged and we may incur significant liabilities.</w:t>
      </w:r>
    </w:p>
    <w:p>
      <w:pPr>
        <w:spacing w:after="0" w:line="13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history of losses and may not achieve profitability in the future.</w:t>
      </w:r>
    </w:p>
    <w:p>
      <w:pPr>
        <w:spacing w:after="0" w:line="198" w:lineRule="exact"/>
        <w:rPr>
          <w:rFonts w:ascii="Times New Roman" w:cs="Times New Roman" w:eastAsia="Times New Roman" w:hAnsi="Times New Roman"/>
          <w:sz w:val="18"/>
          <w:szCs w:val="18"/>
          <w:color w:val="auto"/>
        </w:rPr>
      </w:pPr>
    </w:p>
    <w:p>
      <w:pPr>
        <w:ind w:left="760" w:right="160" w:hanging="378"/>
        <w:spacing w:after="0" w:line="282" w:lineRule="auto"/>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experience quarterly fluctuations in our operating results due to a number of factors, which makes our future results difficult to predict and could cause our operating results to fall below expectations or our guidance.</w:t>
      </w:r>
    </w:p>
    <w:p>
      <w:pPr>
        <w:spacing w:after="0" w:line="121" w:lineRule="exact"/>
        <w:rPr>
          <w:rFonts w:ascii="Times New Roman" w:cs="Times New Roman" w:eastAsia="Times New Roman" w:hAnsi="Times New Roman"/>
          <w:sz w:val="18"/>
          <w:szCs w:val="18"/>
          <w:color w:val="auto"/>
        </w:rPr>
      </w:pPr>
    </w:p>
    <w:p>
      <w:pPr>
        <w:ind w:left="760" w:right="760" w:hanging="378"/>
        <w:spacing w:after="0" w:line="282" w:lineRule="auto"/>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do not accurately predict subscription renewal rates or otherwise fail to forecast our revenue accurately, or if we fail to match our expenditures with corresponding revenue, our operating results could be adversely affected.</w:t>
      </w:r>
    </w:p>
    <w:p>
      <w:pPr>
        <w:spacing w:after="0" w:line="12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raise capital in the future may be limited, and our failure to raise capital when needed could prevent us from growing.</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57" w:right="359" w:bottom="1440" w:gutter="0" w:footer="0" w:header="0"/>
        </w:sectPr>
      </w:pPr>
    </w:p>
    <w:bookmarkStart w:id="6" w:name="page7"/>
    <w:bookmarkEnd w:id="6"/>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PART 1</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I. BUSINESS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89"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We provide a customer platform that helps businesses connect and grow better. We deliver seamless connection for customer-facing teams with a unified platform that includes three layers: AI-powered engagement hubs, a Smart customer relationship management product (“CRM”), and a connected ecosystem supporting the customer platform with a marketplace of integrations, templates, and expert partners, a community network, and an academy of educational content.</w:t>
      </w:r>
    </w:p>
    <w:p>
      <w:pPr>
        <w:spacing w:after="0" w:line="139"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Our engagement hubs include Marketing Hub, Sales Hub, Service Hub, Operations Hub, content management system (“CMS”) Hub and Commerce Hub, that enable companies to attract, engage, and delight customers throughout the customer lifecycle. The Smart CRM is the foundational layer that combines customer data with AI to power the entire customer platform with unified customer profiles and tools to manage and govern your team and business processes.</w:t>
      </w:r>
    </w:p>
    <w:p>
      <w:pPr>
        <w:spacing w:after="0" w:line="153"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We focus on selling to mid-market business-to-business (“B2B”) companies, which we define as companies that have between 2 and 2,000 employees. We sell our customer platform on a subscription basis. In 2023, our total revenue was $2.2 billion and we incurred a net loss of $176.3 million. As of December 31, 2023, we had 7,663 full-time employees and 205,091 Customers, as defined in our Key Business Metrics in Item 7, of varying sizes in more than 135 countries.</w:t>
      </w:r>
    </w:p>
    <w:p>
      <w:pPr>
        <w:spacing w:after="0" w:line="139" w:lineRule="exact"/>
        <w:rPr>
          <w:sz w:val="20"/>
          <w:szCs w:val="20"/>
          <w:color w:val="auto"/>
        </w:rPr>
      </w:pPr>
    </w:p>
    <w:p>
      <w:pPr>
        <w:jc w:val="both"/>
        <w:ind w:right="160" w:firstLine="509"/>
        <w:spacing w:after="0" w:line="261" w:lineRule="auto"/>
        <w:rPr>
          <w:sz w:val="20"/>
          <w:szCs w:val="20"/>
          <w:color w:val="auto"/>
        </w:rPr>
      </w:pPr>
      <w:r>
        <w:rPr>
          <w:rFonts w:ascii="Times New Roman" w:cs="Times New Roman" w:eastAsia="Times New Roman" w:hAnsi="Times New Roman"/>
          <w:sz w:val="18"/>
          <w:szCs w:val="18"/>
          <w:color w:val="auto"/>
        </w:rPr>
        <w:t>Our company was formed as a limited liability company in Delaware on April 4, 2005. We converted to a Delaware corporation on June 7, 2007. Our principal executive offices are located at Two Canal Park, Cambridge, Massachusetts, and our main telephone number is 888-482-7768. Our website address is https://www.hubspot.com. Information contained on or that can be accessed through our website does not constitute part of this Annual Report on Form 10-K, and inclusions of our website address in this Annual Report on Form 10-K are inactive textual references only.</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HubSpot Approach</w:t>
      </w:r>
    </w:p>
    <w:p>
      <w:pPr>
        <w:spacing w:after="0" w:line="202" w:lineRule="exact"/>
        <w:rPr>
          <w:sz w:val="20"/>
          <w:szCs w:val="20"/>
          <w:color w:val="auto"/>
        </w:rPr>
      </w:pPr>
    </w:p>
    <w:p>
      <w:pPr>
        <w:jc w:val="both"/>
        <w:ind w:right="60" w:firstLine="509"/>
        <w:spacing w:after="0" w:line="266" w:lineRule="auto"/>
        <w:rPr>
          <w:sz w:val="20"/>
          <w:szCs w:val="20"/>
          <w:color w:val="auto"/>
        </w:rPr>
      </w:pPr>
      <w:r>
        <w:rPr>
          <w:rFonts w:ascii="Times New Roman" w:cs="Times New Roman" w:eastAsia="Times New Roman" w:hAnsi="Times New Roman"/>
          <w:sz w:val="18"/>
          <w:szCs w:val="18"/>
          <w:color w:val="auto"/>
        </w:rPr>
        <w:t>Our customer platform features a central database of lead and customer interactions and integrated applications designed to help businesses attract visitors to their websites, convert visitors into leads, close leads into customers, transact with those customers, and delight them so they become promoters of those businesses.</w:t>
      </w:r>
    </w:p>
    <w:p>
      <w:pPr>
        <w:spacing w:after="0" w:line="131" w:lineRule="exact"/>
        <w:rPr>
          <w:sz w:val="20"/>
          <w:szCs w:val="20"/>
          <w:color w:val="auto"/>
        </w:rPr>
      </w:pPr>
    </w:p>
    <w:p>
      <w:pPr>
        <w:ind w:right="60" w:firstLine="509"/>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Designed to Help Companies Grow Better. </w:t>
      </w:r>
      <w:r>
        <w:rPr>
          <w:rFonts w:ascii="Times New Roman" w:cs="Times New Roman" w:eastAsia="Times New Roman" w:hAnsi="Times New Roman"/>
          <w:sz w:val="18"/>
          <w:szCs w:val="18"/>
          <w:color w:val="auto"/>
        </w:rPr>
        <w:t>Our customer platform was architected from the ground up to enable businesses to transform their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marketing, sales, services, operations, commerce and content management playbook to meet the demands of customers today. Our customer platform includes a system of record for maintaining a unified view of the customer experience, a system of engagement for efficiently engaging customers through search engine optimization (“SEO”), web content, social, blogging, email, marketing automation, messaging, support ticketing, knowledge base, commerce, conversation routing, video hosting, deal progression, prospecting, data enrichment, and an end-to-end payment solution which enables customers to streamline their billing and payment process with fewer tools.</w:t>
      </w:r>
    </w:p>
    <w:p>
      <w:pPr>
        <w:spacing w:after="0" w:line="142" w:lineRule="exact"/>
        <w:rPr>
          <w:sz w:val="20"/>
          <w:szCs w:val="20"/>
          <w:color w:val="auto"/>
        </w:rPr>
      </w:pPr>
    </w:p>
    <w:p>
      <w:pPr>
        <w:ind w:right="20" w:firstLine="509"/>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Ease of Use of a Single, Extensible Platform. </w:t>
      </w:r>
      <w:r>
        <w:rPr>
          <w:rFonts w:ascii="Times New Roman" w:cs="Times New Roman" w:eastAsia="Times New Roman" w:hAnsi="Times New Roman"/>
          <w:sz w:val="18"/>
          <w:szCs w:val="18"/>
          <w:color w:val="auto"/>
        </w:rPr>
        <w:t>We provide a set of integrated applications on a common platform, which offers businesses ease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use and simplicity. Our customer platform has one login, one user interface, one database, and one team for support. Our customer platform starts free and grows with our customers. It is designed to scale its power and technical sophistication without losing its ease-of-use. In addition to being a comprehensive suite itself, our customer platform seamlessly integrates with hundreds of external applications, making it easy to extend the functionality of our customer platform and customize it for any business.</w:t>
      </w:r>
    </w:p>
    <w:p>
      <w:pPr>
        <w:spacing w:after="0" w:line="152" w:lineRule="exact"/>
        <w:rPr>
          <w:sz w:val="20"/>
          <w:szCs w:val="20"/>
          <w:color w:val="auto"/>
        </w:rPr>
      </w:pPr>
    </w:p>
    <w:p>
      <w:pPr>
        <w:ind w:right="140" w:firstLine="50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Power of a Unified Customer View. </w:t>
      </w:r>
      <w:r>
        <w:rPr>
          <w:rFonts w:ascii="Times New Roman" w:cs="Times New Roman" w:eastAsia="Times New Roman" w:hAnsi="Times New Roman"/>
          <w:sz w:val="18"/>
          <w:szCs w:val="18"/>
          <w:color w:val="auto"/>
        </w:rPr>
        <w:t>At the core of our customer platform is a unified data platform for each business that captures its lead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customer activity throughout the customer lifecycle – this is our Smart CRM. Our Smart CRM creates a unified timeline incorporating all the interactions with a particular customer. In contrast to many CRM suites which are cobbled together, we have crafted a set of core functionalities, including reporting, content, messaging, data, AI assistance and automation, which runs across our product lines, which we refer to as engagement Hubs.</w:t>
      </w:r>
    </w:p>
    <w:p>
      <w:pPr>
        <w:spacing w:after="0" w:line="136" w:lineRule="exact"/>
        <w:rPr>
          <w:sz w:val="20"/>
          <w:szCs w:val="20"/>
          <w:color w:val="auto"/>
        </w:rPr>
      </w:pPr>
    </w:p>
    <w:p>
      <w:pPr>
        <w:ind w:right="120" w:firstLine="509"/>
        <w:spacing w:after="0" w:line="275" w:lineRule="auto"/>
        <w:rPr>
          <w:sz w:val="20"/>
          <w:szCs w:val="20"/>
          <w:color w:val="auto"/>
        </w:rPr>
      </w:pPr>
      <w:r>
        <w:rPr>
          <w:rFonts w:ascii="Times New Roman" w:cs="Times New Roman" w:eastAsia="Times New Roman" w:hAnsi="Times New Roman"/>
          <w:sz w:val="17"/>
          <w:szCs w:val="17"/>
          <w:b w:val="1"/>
          <w:bCs w:val="1"/>
          <w:i w:val="1"/>
          <w:iCs w:val="1"/>
          <w:color w:val="auto"/>
        </w:rPr>
        <w:t xml:space="preserve">Scalability. </w:t>
      </w:r>
      <w:r>
        <w:rPr>
          <w:rFonts w:ascii="Times New Roman" w:cs="Times New Roman" w:eastAsia="Times New Roman" w:hAnsi="Times New Roman"/>
          <w:sz w:val="17"/>
          <w:szCs w:val="17"/>
          <w:color w:val="auto"/>
        </w:rPr>
        <w:t>Our customer platform was designed and built to serve a large number of customers with demanding use cases. Our customer platform</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currently processes billions of data points each week, and we use leading global cloud infrastructure providers and our own automation technology to dynamically allocate capacity to handle processing workloads of all sizes. We have built our customer platform on modern, scalable distributed technologies. We built the infrastructure to support hundreds of microservices and can easily add new features and capabilities to the customer platform. We utilize a variety of open-source distributed systems including HBase, Kafka, Vitess, and Elasticsearch to scale our data collection and processing. Our scalability gives us flexibility for future growth and enables us to service a large variety of businesses of different sizes across different industries.</w:t>
      </w:r>
    </w:p>
    <w:p>
      <w:pPr>
        <w:spacing w:after="0" w:line="17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1" w:right="379" w:bottom="1440" w:gutter="0" w:footer="0" w:header="0"/>
        </w:sectPr>
      </w:pPr>
    </w:p>
    <w:bookmarkStart w:id="7" w:name="page8"/>
    <w:bookmarkEnd w:id="7"/>
    <w:p>
      <w:pPr>
        <w:ind w:right="100" w:firstLine="50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Extensible and Open Architecture. </w:t>
      </w:r>
      <w:r>
        <w:rPr>
          <w:rFonts w:ascii="Times New Roman" w:cs="Times New Roman" w:eastAsia="Times New Roman" w:hAnsi="Times New Roman"/>
          <w:sz w:val="18"/>
          <w:szCs w:val="18"/>
          <w:color w:val="auto"/>
        </w:rPr>
        <w:t>Our customer platform features a variety of open application programming interfaces (“APIs”) that allows easy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integration of our platform with other applications. We enable our customers to connect our platform to their other applications, such as ecommerce, event management and videoconferencing applications. By connecting third-party applications, our customers can leverage our centralized inbound database to perform additional functions and analysis.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Competitive Strengths</w:t>
      </w:r>
    </w:p>
    <w:p>
      <w:pPr>
        <w:spacing w:after="0" w:line="18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believe that our market leadership position is based on the following key strengths:</w:t>
      </w:r>
    </w:p>
    <w:p>
      <w:pPr>
        <w:spacing w:after="0" w:line="181" w:lineRule="exact"/>
        <w:rPr>
          <w:sz w:val="20"/>
          <w:szCs w:val="20"/>
          <w:color w:val="auto"/>
        </w:rPr>
      </w:pPr>
    </w:p>
    <w:p>
      <w:pPr>
        <w:ind w:right="320" w:firstLine="50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Leading Platform. </w:t>
      </w:r>
      <w:r>
        <w:rPr>
          <w:rFonts w:ascii="Times New Roman" w:cs="Times New Roman" w:eastAsia="Times New Roman" w:hAnsi="Times New Roman"/>
          <w:sz w:val="18"/>
          <w:szCs w:val="18"/>
          <w:color w:val="auto"/>
        </w:rPr>
        <w:t>We have designed and built a world-class customer platform. We believe our customers choose our customer platform over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others because of its powerful, integrated, and easy-to-use applications. We built HubSpot on a single, unified, and intuitive platform, which we believe contrasts positively with many other CRM suites. We are also investing in powerful AI capabilities in order to strengthen the customer platform even further, ensuring that customers can work smarter by drafting content, streamlining workflows, and enhancing data analysis.</w:t>
      </w:r>
    </w:p>
    <w:p>
      <w:pPr>
        <w:spacing w:after="0" w:line="149" w:lineRule="exact"/>
        <w:rPr>
          <w:sz w:val="20"/>
          <w:szCs w:val="20"/>
          <w:color w:val="auto"/>
        </w:rPr>
      </w:pPr>
    </w:p>
    <w:p>
      <w:pPr>
        <w:jc w:val="both"/>
        <w:ind w:right="420" w:firstLine="50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Customer-centric DNA</w:t>
      </w:r>
      <w:r>
        <w:rPr>
          <w:rFonts w:ascii="Times New Roman" w:cs="Times New Roman" w:eastAsia="Times New Roman" w:hAnsi="Times New Roman"/>
          <w:sz w:val="18"/>
          <w:szCs w:val="18"/>
          <w:color w:val="auto"/>
        </w:rPr>
        <w:t>. We have a company culture that prioritizes serving customers and meeting their needs to help them grow better. This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informs the product features we offer, the way we go-to-market across marketing, sales, and customer service, and also how we price and package our offerings. This customer-centricity is a key differentiator and enables us to continuously innovate.</w:t>
      </w:r>
    </w:p>
    <w:p>
      <w:pPr>
        <w:spacing w:after="0" w:line="130" w:lineRule="exact"/>
        <w:rPr>
          <w:sz w:val="20"/>
          <w:szCs w:val="20"/>
          <w:color w:val="auto"/>
        </w:rPr>
      </w:pPr>
    </w:p>
    <w:p>
      <w:pPr>
        <w:ind w:firstLine="509"/>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Market Leadership and Strong Brand. </w:t>
      </w:r>
      <w:r>
        <w:rPr>
          <w:rFonts w:ascii="Times New Roman" w:cs="Times New Roman" w:eastAsia="Times New Roman" w:hAnsi="Times New Roman"/>
          <w:sz w:val="18"/>
          <w:szCs w:val="18"/>
          <w:color w:val="auto"/>
        </w:rPr>
        <w:t>We are a recognized thought leader in the cloud-based marketing, sales, customer service, operations,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content management software industry with a leading brand. Our founders, Brian Halligan and Dharmesh Shah, wrote the best-selling marketing book Inbound Marketing: Get Found Using Google, Social Media and Blogs. Our marketing, sales, service, operations, and content management experience attracts, engages, and delights customers by being more relevant, more helpful, more personalized, and less interruptive than traditional marketing and sales tactics. Our INBOUND event is one of the largest inbound industry conference events. In 2023, we had over 11,000 registered attendees.</w:t>
      </w:r>
    </w:p>
    <w:p>
      <w:pPr>
        <w:spacing w:after="0" w:line="139" w:lineRule="exact"/>
        <w:rPr>
          <w:sz w:val="20"/>
          <w:szCs w:val="20"/>
          <w:color w:val="auto"/>
        </w:rPr>
      </w:pPr>
    </w:p>
    <w:p>
      <w:pPr>
        <w:ind w:right="40" w:firstLine="509"/>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Large and Growing Solutions Partner Program. </w:t>
      </w:r>
      <w:r>
        <w:rPr>
          <w:rFonts w:ascii="Times New Roman" w:cs="Times New Roman" w:eastAsia="Times New Roman" w:hAnsi="Times New Roman"/>
          <w:sz w:val="18"/>
          <w:szCs w:val="18"/>
          <w:color w:val="212529"/>
        </w:rPr>
        <w:t>A Solutions Partner is a service provider that helps businesses with strategy, execution,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212529"/>
        </w:rPr>
        <w:t xml:space="preserve">implementation of go-to-market activities and technology solutions. </w:t>
      </w:r>
      <w:r>
        <w:rPr>
          <w:rFonts w:ascii="Times New Roman" w:cs="Times New Roman" w:eastAsia="Times New Roman" w:hAnsi="Times New Roman"/>
          <w:sz w:val="18"/>
          <w:szCs w:val="18"/>
          <w:color w:val="000000"/>
        </w:rPr>
        <w:t>Our Solutions Partners promote our brand and offer our customer platform to their</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clients. Solutions Partners and customers referred to us by our Solutions Partners represented approximately 31% of our Customers as of December 31, 2023, and approximately 46% of our revenue for the year ended December 31, 2023. These Solutions Partners help us to promote the vision of the inbound experience, efficiently reach new mid-market businesses at scale, and provide our mutual customers with more diverse and higher-touch services.</w:t>
      </w:r>
    </w:p>
    <w:p>
      <w:pPr>
        <w:spacing w:after="0" w:line="152" w:lineRule="exact"/>
        <w:rPr>
          <w:sz w:val="20"/>
          <w:szCs w:val="20"/>
          <w:color w:val="auto"/>
        </w:rPr>
      </w:pPr>
    </w:p>
    <w:p>
      <w:pPr>
        <w:jc w:val="both"/>
        <w:ind w:right="240" w:firstLine="50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Freemium Pricing Strategy. </w:t>
      </w:r>
      <w:r>
        <w:rPr>
          <w:rFonts w:ascii="Times New Roman" w:cs="Times New Roman" w:eastAsia="Times New Roman" w:hAnsi="Times New Roman"/>
          <w:sz w:val="18"/>
          <w:szCs w:val="18"/>
          <w:color w:val="auto"/>
        </w:rPr>
        <w:t>Our freemium model attracts customers who begin using our customer platform through our free products and then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upgrade to our paid Hubs. Through our freemium products, our customers are able to receive value from HubSpot before converting to a paid product or engaging with sales.</w:t>
      </w:r>
    </w:p>
    <w:p>
      <w:pPr>
        <w:spacing w:after="0" w:line="130" w:lineRule="exact"/>
        <w:rPr>
          <w:sz w:val="20"/>
          <w:szCs w:val="20"/>
          <w:color w:val="auto"/>
        </w:rPr>
      </w:pPr>
    </w:p>
    <w:p>
      <w:pPr>
        <w:ind w:right="34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Mid-Market Focus. </w:t>
      </w:r>
      <w:r>
        <w:rPr>
          <w:rFonts w:ascii="Times New Roman" w:cs="Times New Roman" w:eastAsia="Times New Roman" w:hAnsi="Times New Roman"/>
          <w:sz w:val="18"/>
          <w:szCs w:val="18"/>
          <w:color w:val="auto"/>
        </w:rPr>
        <w:t>We believe we have significant competitive advantages reaching mid-market businesses and efficiently reach this market at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scale as a result of our inbound methodology, freemium pricing strategy, and our Solutions Partner channel.</w:t>
      </w:r>
    </w:p>
    <w:p>
      <w:pPr>
        <w:spacing w:after="0" w:line="114" w:lineRule="exact"/>
        <w:rPr>
          <w:sz w:val="20"/>
          <w:szCs w:val="20"/>
          <w:color w:val="auto"/>
        </w:rPr>
      </w:pPr>
    </w:p>
    <w:p>
      <w:pPr>
        <w:ind w:right="200" w:firstLine="509"/>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Powerful Network Effects. </w:t>
      </w:r>
      <w:r>
        <w:rPr>
          <w:rFonts w:ascii="Times New Roman" w:cs="Times New Roman" w:eastAsia="Times New Roman" w:hAnsi="Times New Roman"/>
          <w:sz w:val="18"/>
          <w:szCs w:val="18"/>
          <w:color w:val="auto"/>
        </w:rPr>
        <w:t>We have built a large and growing ecosystem around our customer platform and company. Tens of thousands of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Customers integrate third-party applications with our customer platform. We believe this ecosystem drives more businesses and professionals to embrace the inbound playbook. As our engaged audience grows, more Solutions Partners collaborate with us, more third-party developers integrate their applications with our customer platform, and more professionals complete our certification programs, all of which generate increasing value to our customers and help to drive more businesses to adopt our customer platform.</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Growth Strategy</w:t>
      </w:r>
    </w:p>
    <w:p>
      <w:pPr>
        <w:spacing w:after="0" w:line="18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key elements to our growth strategy are:</w:t>
      </w:r>
    </w:p>
    <w:p>
      <w:pPr>
        <w:spacing w:after="0" w:line="181" w:lineRule="exact"/>
        <w:rPr>
          <w:sz w:val="20"/>
          <w:szCs w:val="20"/>
          <w:color w:val="auto"/>
        </w:rPr>
      </w:pPr>
    </w:p>
    <w:p>
      <w:pPr>
        <w:ind w:right="40" w:firstLine="509"/>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Grow Our Customer Base. </w:t>
      </w:r>
      <w:r>
        <w:rPr>
          <w:rFonts w:ascii="Times New Roman" w:cs="Times New Roman" w:eastAsia="Times New Roman" w:hAnsi="Times New Roman"/>
          <w:sz w:val="18"/>
          <w:szCs w:val="18"/>
          <w:color w:val="auto"/>
        </w:rPr>
        <w:t>The market for our customer platform is large and underserved. Mid-market businesses are particularly underserved by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existing point application vendors and often lack sufficient resources to implement complex solutions. Our all-in-one customer platform allows mid-market businesses to efficiently adopt and execute an effective inbound marketing, sales, customer service, operations, and content management strategy to help them expand and grow. We will continue to leverage our inbound go-to-market approach, freemium pricing strategy and our network of Solutions Partners to keep growing our business.</w:t>
      </w:r>
    </w:p>
    <w:p>
      <w:pPr>
        <w:spacing w:after="0" w:line="152" w:lineRule="exact"/>
        <w:rPr>
          <w:sz w:val="20"/>
          <w:szCs w:val="20"/>
          <w:color w:val="auto"/>
        </w:rPr>
      </w:pPr>
    </w:p>
    <w:p>
      <w:pPr>
        <w:jc w:val="both"/>
        <w:ind w:right="20" w:firstLine="50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Increase Revenue from Existing Customers. </w:t>
      </w:r>
      <w:r>
        <w:rPr>
          <w:rFonts w:ascii="Times New Roman" w:cs="Times New Roman" w:eastAsia="Times New Roman" w:hAnsi="Times New Roman"/>
          <w:sz w:val="18"/>
          <w:szCs w:val="18"/>
          <w:color w:val="auto"/>
        </w:rPr>
        <w:t>With 205,091 Customers in more than 135 countries spanning many industries, we believe we have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significant opportunity to increase revenue from our existing customers. We plan to increase revenue from our existing customers by expanding their use of our customer platform by upselling additional offerings and features, including our end-to-end payment solution, adding additional users, and cross-selling our marketing, sales, service, operations, commerce, and content</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7" w:right="339" w:bottom="1440" w:gutter="0" w:footer="0" w:header="0"/>
        </w:sectPr>
      </w:pPr>
    </w:p>
    <w:bookmarkStart w:id="8" w:name="page9"/>
    <w:bookmarkEnd w:id="8"/>
    <w:p>
      <w:pPr>
        <w:ind w:right="180"/>
        <w:spacing w:after="0" w:line="289" w:lineRule="auto"/>
        <w:rPr>
          <w:sz w:val="20"/>
          <w:szCs w:val="20"/>
          <w:color w:val="auto"/>
        </w:rPr>
      </w:pPr>
      <w:r>
        <w:rPr>
          <w:rFonts w:ascii="Times New Roman" w:cs="Times New Roman" w:eastAsia="Times New Roman" w:hAnsi="Times New Roman"/>
          <w:sz w:val="17"/>
          <w:szCs w:val="17"/>
          <w:color w:val="auto"/>
        </w:rPr>
        <w:t>management products to existing customers through touchless or low touch in-product purchases. Our scalable pricing model allows us to capture more spend as our customers grow, increase the number of their customers and prospects managed on our customer platform, and offer additional functionality available from our higher price tiers and add-ons, providing us with a substantial opportunity to increase the lifetime value of our customer relationships.</w:t>
      </w:r>
    </w:p>
    <w:p>
      <w:pPr>
        <w:spacing w:after="0" w:line="127" w:lineRule="exact"/>
        <w:rPr>
          <w:sz w:val="20"/>
          <w:szCs w:val="20"/>
          <w:color w:val="auto"/>
        </w:rPr>
      </w:pPr>
    </w:p>
    <w:p>
      <w:pPr>
        <w:ind w:right="20" w:firstLine="509"/>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Keep Expanding Internationally. </w:t>
      </w:r>
      <w:r>
        <w:rPr>
          <w:rFonts w:ascii="Times New Roman" w:cs="Times New Roman" w:eastAsia="Times New Roman" w:hAnsi="Times New Roman"/>
          <w:sz w:val="18"/>
          <w:szCs w:val="18"/>
          <w:color w:val="auto"/>
        </w:rPr>
        <w:t>There is a significant opportunity for our customer platform outside of the United States. As of December 31,</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2023, approximately 53% of our Customers were located outside of the United States and these Customers generated approximately 47% of our total revenue for the year ended December 31, 2023. We sell to those international Customers from our U.S., European, Asia Pacific, and South American based operations. We intend to grow our presence in international markets through additional investments in local sales, marketing and professional service capabilities, as well as by leveraging our Solutions Partner network. We have significant website traffic from regions outside the United States, and we believe that markets outside the United States represent a significant growth opportunity.</w:t>
      </w:r>
    </w:p>
    <w:p>
      <w:pPr>
        <w:spacing w:after="0" w:line="142" w:lineRule="exact"/>
        <w:rPr>
          <w:sz w:val="20"/>
          <w:szCs w:val="20"/>
          <w:color w:val="auto"/>
        </w:rPr>
      </w:pPr>
    </w:p>
    <w:p>
      <w:pPr>
        <w:ind w:right="80" w:firstLine="509"/>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Continue to Innovate and Expand Our Customer Platform. </w:t>
      </w:r>
      <w:r>
        <w:rPr>
          <w:rFonts w:ascii="Times New Roman" w:cs="Times New Roman" w:eastAsia="Times New Roman" w:hAnsi="Times New Roman"/>
          <w:sz w:val="18"/>
          <w:szCs w:val="18"/>
          <w:color w:val="auto"/>
        </w:rPr>
        <w:t>Mid-market businesses are increasingly realizing the value of having an integrated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marketing, sales, customer service, operations, commerce, and content management platform. We believe we are well positioned to capitalize on this opportunity by introducing new products and applications to extend the functionality of our customer platform. As data is becoming more important to our customers’ success and a differentiator for our business, there is a need to move quickly on data enrichment. Our acquisition of Clearbit, which we completed in December 2023, will allow us to build enriched B2B records directly into our customer platform.</w:t>
      </w:r>
    </w:p>
    <w:p>
      <w:pPr>
        <w:spacing w:after="0" w:line="139" w:lineRule="exact"/>
        <w:rPr>
          <w:sz w:val="20"/>
          <w:szCs w:val="20"/>
          <w:color w:val="auto"/>
        </w:rPr>
      </w:pPr>
    </w:p>
    <w:p>
      <w:pPr>
        <w:ind w:right="80" w:firstLine="50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Selectively Pursue Acquisitions. </w:t>
      </w:r>
      <w:r>
        <w:rPr>
          <w:rFonts w:ascii="Times New Roman" w:cs="Times New Roman" w:eastAsia="Times New Roman" w:hAnsi="Times New Roman"/>
          <w:sz w:val="18"/>
          <w:szCs w:val="18"/>
          <w:color w:val="auto"/>
        </w:rPr>
        <w:t>We plan to selectively pursue acquisitions of complementary businesses, technologies and teams that would allow</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us to add new features and functionalities to our customer platform and accelerate the pace of our innovation, while continuing to stay focused on the customer experience.</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Customer Platform</w:t>
      </w:r>
    </w:p>
    <w:p>
      <w:pPr>
        <w:spacing w:after="0" w:line="189" w:lineRule="exact"/>
        <w:rPr>
          <w:sz w:val="20"/>
          <w:szCs w:val="20"/>
          <w:color w:val="auto"/>
        </w:rPr>
      </w:pPr>
    </w:p>
    <w:p>
      <w:pPr>
        <w:ind w:right="160" w:firstLine="509"/>
        <w:spacing w:after="0" w:line="261" w:lineRule="auto"/>
        <w:rPr>
          <w:sz w:val="20"/>
          <w:szCs w:val="20"/>
          <w:color w:val="auto"/>
        </w:rPr>
      </w:pPr>
      <w:r>
        <w:rPr>
          <w:rFonts w:ascii="Times New Roman" w:cs="Times New Roman" w:eastAsia="Times New Roman" w:hAnsi="Times New Roman"/>
          <w:sz w:val="18"/>
          <w:szCs w:val="18"/>
          <w:color w:val="auto"/>
        </w:rPr>
        <w:t>Our customer platform, with engagement Hubs, our Smart CRM, and connected ecosystems enable companies to have a unified customer profile and connect with their customers at every part of their customer relationship lifecycle. Each Hub can be used standalone, with our Smart platform, a third party CRM, and/or in conjunction with any version of the other Hubs. Our Hubs are available in both free and paid tiers (i.e., Starter, Professional and Enterprise) with gradually increasing levels of functionality that support the needs of our customers as their businesses grow.</w:t>
      </w:r>
    </w:p>
    <w:p>
      <w:pPr>
        <w:spacing w:after="0" w:line="139"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Businesses that want to use software outside of our customer platform can leverage our ecosystem of third-party integrations from our platform application partners to have a single, integrated stack. We make it easy to find and install new or existing software solutions that complement our customer platform. Over 1,500 integrations and applications are available for our users, across a wide range of categories, including integrations with leading social media, email, sales, video, analytics, content and webinar tools. Customers can build custom applications and integrations on top of our customer platform themselves, or through third party developers in our ecosystem.</w:t>
      </w:r>
    </w:p>
    <w:p>
      <w:pPr>
        <w:spacing w:after="0" w:line="15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Smart CRM</w:t>
      </w:r>
    </w:p>
    <w:p>
      <w:pPr>
        <w:spacing w:after="0" w:line="189" w:lineRule="exact"/>
        <w:rPr>
          <w:sz w:val="20"/>
          <w:szCs w:val="20"/>
          <w:color w:val="auto"/>
        </w:rPr>
      </w:pPr>
    </w:p>
    <w:p>
      <w:pPr>
        <w:ind w:firstLine="569"/>
        <w:spacing w:after="0" w:line="256" w:lineRule="auto"/>
        <w:rPr>
          <w:sz w:val="20"/>
          <w:szCs w:val="20"/>
          <w:color w:val="auto"/>
        </w:rPr>
      </w:pPr>
      <w:r>
        <w:rPr>
          <w:rFonts w:ascii="Times New Roman" w:cs="Times New Roman" w:eastAsia="Times New Roman" w:hAnsi="Times New Roman"/>
          <w:sz w:val="18"/>
          <w:szCs w:val="18"/>
          <w:color w:val="auto"/>
        </w:rPr>
        <w:t>The core of our customer platform is our Smart CRM: a single, unified, data platform of lead and customer information that allows businesses to track their interactions with contacts and customers, manage their customer activities, report on their pipeline and sales, and manage and govern their team and business processes. This allows a complete view of lead and customer interactions across all of our integrated Hubs, giving our customer platform substantial power. This Smart CRM makes it possible to personalize every aspect of the customer interaction across web content, social media engagement, and email messages across devices, including mobile. The integrated Hubs and Smart CRM on our customer platform have a common user interface and are accessed through a single login.</w:t>
      </w:r>
    </w:p>
    <w:p>
      <w:pPr>
        <w:spacing w:after="0" w:line="14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Marketing Hub</w:t>
      </w:r>
    </w:p>
    <w:p>
      <w:pPr>
        <w:spacing w:after="0" w:line="202" w:lineRule="exact"/>
        <w:rPr>
          <w:sz w:val="20"/>
          <w:szCs w:val="20"/>
          <w:color w:val="auto"/>
        </w:rPr>
      </w:pPr>
    </w:p>
    <w:p>
      <w:pPr>
        <w:ind w:right="420" w:firstLine="569"/>
        <w:spacing w:after="0" w:line="282" w:lineRule="auto"/>
        <w:rPr>
          <w:sz w:val="20"/>
          <w:szCs w:val="20"/>
          <w:color w:val="auto"/>
        </w:rPr>
      </w:pPr>
      <w:r>
        <w:rPr>
          <w:rFonts w:ascii="Times New Roman" w:cs="Times New Roman" w:eastAsia="Times New Roman" w:hAnsi="Times New Roman"/>
          <w:sz w:val="18"/>
          <w:szCs w:val="18"/>
          <w:color w:val="auto"/>
        </w:rPr>
        <w:t>Marketing Hub is an all-in-one toolset for marketers to attract, engage, and nurture new leads towards sales readiness over the entire customer lifecycle. Features include: marketing automation and email, social media, SEO, and reporting and analytics.</w:t>
      </w:r>
    </w:p>
    <w:p>
      <w:pPr>
        <w:spacing w:after="0" w:line="11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i w:val="1"/>
          <w:iCs w:val="1"/>
          <w:color w:val="auto"/>
        </w:rPr>
        <w:t>Sales Hub</w:t>
      </w:r>
    </w:p>
    <w:p>
      <w:pPr>
        <w:spacing w:after="0" w:line="189" w:lineRule="exact"/>
        <w:rPr>
          <w:sz w:val="20"/>
          <w:szCs w:val="20"/>
          <w:color w:val="auto"/>
        </w:rPr>
      </w:pPr>
    </w:p>
    <w:p>
      <w:pPr>
        <w:ind w:right="240" w:firstLine="569"/>
        <w:spacing w:after="0" w:line="282" w:lineRule="auto"/>
        <w:rPr>
          <w:sz w:val="20"/>
          <w:szCs w:val="20"/>
          <w:color w:val="auto"/>
        </w:rPr>
      </w:pPr>
      <w:r>
        <w:rPr>
          <w:rFonts w:ascii="Times New Roman" w:cs="Times New Roman" w:eastAsia="Times New Roman" w:hAnsi="Times New Roman"/>
          <w:sz w:val="18"/>
          <w:szCs w:val="18"/>
          <w:color w:val="auto"/>
        </w:rPr>
        <w:t>Sales Hub is designed to enhance the productivity and effectiveness of sales teams. Businesses can empower their teams with tools that deliver a personalized experience for prospects with less work for sales representatives. Features include: email templates</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61" w:right="359" w:bottom="1440" w:gutter="0" w:footer="0" w:header="0"/>
        </w:sectPr>
      </w:pPr>
    </w:p>
    <w:bookmarkStart w:id="9" w:name="page10"/>
    <w:bookmarkEnd w:id="9"/>
    <w:p>
      <w:pPr>
        <w:ind w:right="180"/>
        <w:spacing w:after="0" w:line="282" w:lineRule="auto"/>
        <w:rPr>
          <w:sz w:val="20"/>
          <w:szCs w:val="20"/>
          <w:color w:val="auto"/>
        </w:rPr>
      </w:pPr>
      <w:r>
        <w:rPr>
          <w:rFonts w:ascii="Times New Roman" w:cs="Times New Roman" w:eastAsia="Times New Roman" w:hAnsi="Times New Roman"/>
          <w:sz w:val="18"/>
          <w:szCs w:val="18"/>
          <w:color w:val="auto"/>
        </w:rPr>
        <w:t>and tracking, conversations and live chat, meeting and call scheduling, lead and website visit alerts, lead scoring, sales automation, pipeline management, quoting, forecasting, and reporting.</w:t>
      </w:r>
    </w:p>
    <w:p>
      <w:pPr>
        <w:spacing w:after="0" w:line="13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Service Hub</w:t>
      </w:r>
    </w:p>
    <w:p>
      <w:pPr>
        <w:spacing w:after="0" w:line="189" w:lineRule="exact"/>
        <w:rPr>
          <w:sz w:val="20"/>
          <w:szCs w:val="20"/>
          <w:color w:val="auto"/>
        </w:rPr>
      </w:pPr>
    </w:p>
    <w:p>
      <w:pPr>
        <w:ind w:right="240" w:firstLine="509"/>
        <w:spacing w:after="0" w:line="266" w:lineRule="auto"/>
        <w:rPr>
          <w:sz w:val="20"/>
          <w:szCs w:val="20"/>
          <w:color w:val="auto"/>
        </w:rPr>
      </w:pPr>
      <w:r>
        <w:rPr>
          <w:rFonts w:ascii="Times New Roman" w:cs="Times New Roman" w:eastAsia="Times New Roman" w:hAnsi="Times New Roman"/>
          <w:sz w:val="18"/>
          <w:szCs w:val="18"/>
          <w:color w:val="auto"/>
        </w:rPr>
        <w:t>Service Hub is our customer service software designed to help businesses manage, respond and connect with customers. Features include: conversations and live chat functionality, conversational bots, tickets and help desk, automation and routing, knowledge base, team emails, feedback and reporting tools, and customer goals.</w:t>
      </w:r>
    </w:p>
    <w:p>
      <w:pPr>
        <w:spacing w:after="0" w:line="13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CMS Hub</w:t>
      </w:r>
    </w:p>
    <w:p>
      <w:pPr>
        <w:spacing w:after="0" w:line="202"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Our CMS Hub combines the power of customer relationship management and a content management system into one integrated platform. Our content tools enable businesses to create new and edit existing web content while also personalizing their websites for different visitors and optimizing their websites to convert more visitors into leads and customers. Features include: website pages, business blogging, smart content, landing pages and forms, SEO tools, forms and lead flow, web analytics reporting, calls-to-action, and file manager.</w:t>
      </w:r>
    </w:p>
    <w:p>
      <w:pPr>
        <w:spacing w:after="0" w:line="13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Operations Hub</w:t>
      </w:r>
    </w:p>
    <w:p>
      <w:pPr>
        <w:spacing w:after="0" w:line="189" w:lineRule="exact"/>
        <w:rPr>
          <w:sz w:val="20"/>
          <w:szCs w:val="20"/>
          <w:color w:val="auto"/>
        </w:rPr>
      </w:pPr>
    </w:p>
    <w:p>
      <w:pPr>
        <w:ind w:right="420" w:firstLine="509"/>
        <w:spacing w:after="0" w:line="266" w:lineRule="auto"/>
        <w:rPr>
          <w:sz w:val="20"/>
          <w:szCs w:val="20"/>
          <w:color w:val="auto"/>
        </w:rPr>
      </w:pPr>
      <w:r>
        <w:rPr>
          <w:rFonts w:ascii="Times New Roman" w:cs="Times New Roman" w:eastAsia="Times New Roman" w:hAnsi="Times New Roman"/>
          <w:sz w:val="18"/>
          <w:szCs w:val="18"/>
          <w:color w:val="auto"/>
        </w:rPr>
        <w:t>Operations Hub is designed to help businesses unify customer data in a connected platform, automate business processes, and eliminate time-consuming data cleanup, and query and transform data to enable customer insights and connections. Features include: programmable automation, data sync, data curation, and data quality tools.</w:t>
      </w:r>
    </w:p>
    <w:p>
      <w:pPr>
        <w:spacing w:after="0" w:line="14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Commerce Hub</w:t>
      </w:r>
    </w:p>
    <w:p>
      <w:pPr>
        <w:spacing w:after="0" w:line="189"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Commerce Hub is an easy-to-use B2B commerce suite that helps streamline the opportunity-to-cash process for businesses to get paid faster, increase revenue and save time. It includes an end-to-end payment solution, Payments, which enables customers to accept payments from their customers in less time and with fewer tools. With Payments, customers can buy and pay directly on a website, an email, or chat and native integration with the quotes feature in Sales Hub allows our customers to get paid immediately when a quote is accepted. Features include: payment links, invoices, quotes, subscription management, automation and revenue reporting.</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Services</w:t>
      </w:r>
    </w:p>
    <w:p>
      <w:pPr>
        <w:spacing w:after="0" w:line="202"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We complement our product offerings with professional services, customer success and support, which we view as critical elements of ensuring the long-term retention of our customers. The majority of our services and support is offered over email, phone, chat applications and via web meeting technology rather than in-person, which is a more efficient business model for us and our customers.</w:t>
      </w:r>
    </w:p>
    <w:p>
      <w:pPr>
        <w:spacing w:after="0" w:line="131" w:lineRule="exact"/>
        <w:rPr>
          <w:sz w:val="20"/>
          <w:szCs w:val="20"/>
          <w:color w:val="auto"/>
        </w:rPr>
      </w:pPr>
    </w:p>
    <w:p>
      <w:pPr>
        <w:ind w:right="80" w:firstLine="509"/>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Professional Services. </w:t>
      </w:r>
      <w:r>
        <w:rPr>
          <w:rFonts w:ascii="Times New Roman" w:cs="Times New Roman" w:eastAsia="Times New Roman" w:hAnsi="Times New Roman"/>
          <w:sz w:val="18"/>
          <w:szCs w:val="18"/>
          <w:color w:val="auto"/>
        </w:rPr>
        <w:t>We offer professional services to educate and train customers on how to leverage our customer platform to transform how</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their business attracts, engages and delights customers. Depending on which Hubs and services a customer purchases, they receive onboarding guidance or one-on-one training from one of our on-boarding, inbound consultants, or technical consultants by web meetings. They can purchase additional group training and education in online or in-person classes (when offered). We also offer in-app training modules that customers can use as part of their on-boarding. Our professional services are also available to customers who need additional assistance on a one-time or ongoing basis for an additional fee. Depending on the scope of work and the services a customer needs help with, we might recommend they work with our Solutions Partner ecosystem.</w:t>
      </w:r>
    </w:p>
    <w:p>
      <w:pPr>
        <w:spacing w:after="0" w:line="142"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Customer Success. </w:t>
      </w:r>
      <w:r>
        <w:rPr>
          <w:rFonts w:ascii="Times New Roman" w:cs="Times New Roman" w:eastAsia="Times New Roman" w:hAnsi="Times New Roman"/>
          <w:sz w:val="18"/>
          <w:szCs w:val="18"/>
          <w:color w:val="auto"/>
        </w:rPr>
        <w:t>Our customers have access to a Customer Success Manager (“CSM”), Channel Consultant ("CC"), Partner Development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Manager ("PDM") or Customer Success Team (“CST”) which are responsible for our customers’ long term success, retention and growth on our customer platform. Depending on the customer spend, they will either have a dedicated CSM, or be serviced by a CST in a team based approach. Our CSMs or CST address the unique needs and goals of our customers through a series of ongoing interactions and strategy calls on how to best use our customer platform. Our CCs or PDMs play a similar role as our CSMs and CST, but focus on the growth and success of our Solutions Partners. The Solutions Partner’s customers have oversight through CSM and work collaboratively with the CC or PDM to help the Solutions Partner’s customers get the most value from our platform and the Solutions Partner’s services.</w:t>
      </w:r>
    </w:p>
    <w:p>
      <w:pPr>
        <w:spacing w:after="0" w:line="156" w:lineRule="exact"/>
        <w:rPr>
          <w:sz w:val="20"/>
          <w:szCs w:val="20"/>
          <w:color w:val="auto"/>
        </w:rPr>
      </w:pPr>
    </w:p>
    <w:p>
      <w:pPr>
        <w:ind w:right="20" w:firstLine="50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Support. </w:t>
      </w:r>
      <w:r>
        <w:rPr>
          <w:rFonts w:ascii="Times New Roman" w:cs="Times New Roman" w:eastAsia="Times New Roman" w:hAnsi="Times New Roman"/>
          <w:sz w:val="18"/>
          <w:szCs w:val="18"/>
          <w:color w:val="auto"/>
        </w:rPr>
        <w:t>In addition to assistance provided by our online articles and customer discussion forums, we offer phone and/or email and chat based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support, which is included in the cost of a subscription for our Hubs. Phone, email and chat support is available starting at the Professional product level for all Hubs while email and chat based support is available for Starter Hubs. We strive to maintain an exceptional quality of customer service. We continuously monitor key customer service metrics such as phone hold time, ticket</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10" w:name="page11"/>
    <w:bookmarkEnd w:id="10"/>
    <w:p>
      <w:pPr>
        <w:spacing w:after="0" w:line="282" w:lineRule="auto"/>
        <w:rPr>
          <w:sz w:val="20"/>
          <w:szCs w:val="20"/>
          <w:color w:val="auto"/>
        </w:rPr>
      </w:pPr>
      <w:r>
        <w:rPr>
          <w:rFonts w:ascii="Times New Roman" w:cs="Times New Roman" w:eastAsia="Times New Roman" w:hAnsi="Times New Roman"/>
          <w:sz w:val="18"/>
          <w:szCs w:val="18"/>
          <w:color w:val="auto"/>
        </w:rPr>
        <w:t>response time and ticket resolution rates, and we monitor the customer satisfaction of our customer support interactions. We believe our customer support is an important reason why businesses choose our customer platform and recommend it to their colleagues.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Customers</w:t>
      </w:r>
    </w:p>
    <w:p>
      <w:pPr>
        <w:spacing w:after="0" w:line="189" w:lineRule="exact"/>
        <w:rPr>
          <w:sz w:val="20"/>
          <w:szCs w:val="20"/>
          <w:color w:val="auto"/>
        </w:rPr>
      </w:pPr>
    </w:p>
    <w:p>
      <w:pPr>
        <w:ind w:right="320" w:firstLine="509"/>
        <w:spacing w:after="0" w:line="282" w:lineRule="auto"/>
        <w:rPr>
          <w:sz w:val="20"/>
          <w:szCs w:val="20"/>
          <w:color w:val="auto"/>
        </w:rPr>
      </w:pPr>
      <w:r>
        <w:rPr>
          <w:rFonts w:ascii="Times New Roman" w:cs="Times New Roman" w:eastAsia="Times New Roman" w:hAnsi="Times New Roman"/>
          <w:sz w:val="18"/>
          <w:szCs w:val="18"/>
          <w:color w:val="auto"/>
        </w:rPr>
        <w:t>As of December 31, 2023, we had 205,091 Customers in more than 135 countries, representing many industries. No single customer represented more than ten percent of our revenue in 2023, 2022, or 2021.</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Technology</w:t>
      </w:r>
    </w:p>
    <w:p>
      <w:pPr>
        <w:spacing w:after="0" w:line="202"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Our Customers have chosen us as their customer platform, which we architected and built to be secure, highly distributed and highly scalable. Since our founding, we have embraced rapid, iterative product development lifecycles, cloud automation and open-source technologies, including big data platforms, to power marketing, sales, service, operations, commerce, and content management programs and provide insights not previously possible or available.</w:t>
      </w:r>
    </w:p>
    <w:p>
      <w:pPr>
        <w:spacing w:after="0" w:line="139"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Our customer platform is a multi-tenant, globally available software-as-a-service delivered through APIs, web browsers or mobile applications. Our commitment to a highly available, reliable, and scalable platform for businesses of all sizes is accomplished through the use of these technologies.</w:t>
      </w:r>
    </w:p>
    <w:p>
      <w:pPr>
        <w:spacing w:after="0" w:line="117" w:lineRule="exact"/>
        <w:rPr>
          <w:sz w:val="20"/>
          <w:szCs w:val="20"/>
          <w:color w:val="auto"/>
        </w:rPr>
      </w:pPr>
    </w:p>
    <w:p>
      <w:pPr>
        <w:ind w:firstLine="50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Platform Approach. </w:t>
      </w:r>
      <w:r>
        <w:rPr>
          <w:rFonts w:ascii="Times New Roman" w:cs="Times New Roman" w:eastAsia="Times New Roman" w:hAnsi="Times New Roman"/>
          <w:sz w:val="18"/>
          <w:szCs w:val="18"/>
          <w:color w:val="auto"/>
        </w:rPr>
        <w:t>We built HubSpot on a single platform with reusable and composable libraries, allowing us to rapidly address new feature areas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bring new products to market that have a consistent user experience and data model. We have built this platform with scale in mind, supporting thousands of components including hundreds of microservices,</w:t>
      </w:r>
    </w:p>
    <w:p>
      <w:pPr>
        <w:spacing w:after="0" w:line="144" w:lineRule="exact"/>
        <w:rPr>
          <w:sz w:val="20"/>
          <w:szCs w:val="20"/>
          <w:color w:val="auto"/>
        </w:rPr>
      </w:pPr>
    </w:p>
    <w:p>
      <w:pPr>
        <w:ind w:right="60" w:firstLine="50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Modern Database Architecture. </w:t>
      </w:r>
      <w:r>
        <w:rPr>
          <w:rFonts w:ascii="Times New Roman" w:cs="Times New Roman" w:eastAsia="Times New Roman" w:hAnsi="Times New Roman"/>
          <w:sz w:val="18"/>
          <w:szCs w:val="18"/>
          <w:color w:val="auto"/>
        </w:rPr>
        <w:t>We process billions of data points weekly across various channels, including social media, email, SEO and website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visits, and continue to drive nearly real-time analytics across these channels. This is possible because we built our database from the ground up using distributed big data technologies such as HBase, Elasticsearch and Kafka to both process and analyze the large amounts of data we collect. We also utilize Vitess to operate MySQL at scale, allowing our engineers to choose the best datastore for each task.</w:t>
      </w:r>
    </w:p>
    <w:p>
      <w:pPr>
        <w:spacing w:after="0" w:line="136" w:lineRule="exact"/>
        <w:rPr>
          <w:sz w:val="20"/>
          <w:szCs w:val="20"/>
          <w:color w:val="auto"/>
        </w:rPr>
      </w:pPr>
    </w:p>
    <w:p>
      <w:pPr>
        <w:ind w:right="180" w:firstLine="50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Agility. </w:t>
      </w:r>
      <w:r>
        <w:rPr>
          <w:rFonts w:ascii="Times New Roman" w:cs="Times New Roman" w:eastAsia="Times New Roman" w:hAnsi="Times New Roman"/>
          <w:sz w:val="18"/>
          <w:szCs w:val="18"/>
          <w:color w:val="auto"/>
        </w:rPr>
        <w:t>Our infrastructure and development and software release processes allow us to update our platform for specific groups of customers or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entire customer base at any time. This means we can rapidly innovate and deliver new functionality frequently, without waiting for quarterly or annual release cycles. We typically deploy updates to our software platform thousands of times a day, enabling us to gather immediate customer feedback and improve our product quickly and continuously.</w:t>
      </w:r>
    </w:p>
    <w:p>
      <w:pPr>
        <w:spacing w:after="0" w:line="136" w:lineRule="exact"/>
        <w:rPr>
          <w:sz w:val="20"/>
          <w:szCs w:val="20"/>
          <w:color w:val="auto"/>
        </w:rPr>
      </w:pPr>
    </w:p>
    <w:p>
      <w:pPr>
        <w:ind w:right="140" w:firstLine="50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Cost leverage. </w:t>
      </w:r>
      <w:r>
        <w:rPr>
          <w:rFonts w:ascii="Times New Roman" w:cs="Times New Roman" w:eastAsia="Times New Roman" w:hAnsi="Times New Roman"/>
          <w:sz w:val="18"/>
          <w:szCs w:val="18"/>
          <w:color w:val="auto"/>
        </w:rPr>
        <w:t>Our customer platform was built on an almost exclusive footprint of open-source software and designed to operate in cloud-based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data centers. As our processing volume continues to grow, we continue to receive larger volume discounts on a per-unit basis for costs such as storage, bandwidth and computing capacity. The shared infrastructure across our products also drives operational efficiencies. We believe that our extensive use of open-source software will provide additional leverage as we scale our customer platform and infrastructure.</w:t>
      </w:r>
    </w:p>
    <w:p>
      <w:pPr>
        <w:spacing w:after="0" w:line="149" w:lineRule="exact"/>
        <w:rPr>
          <w:sz w:val="20"/>
          <w:szCs w:val="20"/>
          <w:color w:val="auto"/>
        </w:rPr>
      </w:pPr>
    </w:p>
    <w:p>
      <w:pPr>
        <w:ind w:right="460" w:firstLine="50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Scalability. </w:t>
      </w:r>
      <w:r>
        <w:rPr>
          <w:rFonts w:ascii="Times New Roman" w:cs="Times New Roman" w:eastAsia="Times New Roman" w:hAnsi="Times New Roman"/>
          <w:sz w:val="18"/>
          <w:szCs w:val="18"/>
          <w:color w:val="auto"/>
        </w:rPr>
        <w:t>By leveraging leading cloud infrastructure providers along with our automated technology stack, we are able to scale workloads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varying sizes at any time. This allows us to handle customers of all sizes and demands without traditional operational limitations such as network bandwidth, computing cycles, or storage capacity as we can scale our platform on-demand.</w:t>
      </w:r>
    </w:p>
    <w:p>
      <w:pPr>
        <w:spacing w:after="0" w:line="130" w:lineRule="exact"/>
        <w:rPr>
          <w:sz w:val="20"/>
          <w:szCs w:val="20"/>
          <w:color w:val="auto"/>
        </w:rPr>
      </w:pPr>
    </w:p>
    <w:p>
      <w:pPr>
        <w:jc w:val="both"/>
        <w:ind w:right="280" w:firstLine="50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Reliability. </w:t>
      </w:r>
      <w:r>
        <w:rPr>
          <w:rFonts w:ascii="Times New Roman" w:cs="Times New Roman" w:eastAsia="Times New Roman" w:hAnsi="Times New Roman"/>
          <w:sz w:val="18"/>
          <w:szCs w:val="18"/>
          <w:color w:val="auto"/>
        </w:rPr>
        <w:t>Customer data is distributed and processed across multiple data centers within a region to provide redundancy. We built our customer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platform on a distributed computing architecture with reduced single points of failure and we operate across data center boundaries daily. In addition to datacenter level redundancy, this architecture supports multiple live copies of each data set along with snapshot capabilities for faster, point-in-time data recovery.</w:t>
      </w:r>
    </w:p>
    <w:p>
      <w:pPr>
        <w:spacing w:after="0" w:line="136" w:lineRule="exact"/>
        <w:rPr>
          <w:sz w:val="20"/>
          <w:szCs w:val="20"/>
          <w:color w:val="auto"/>
        </w:rPr>
      </w:pPr>
    </w:p>
    <w:p>
      <w:pPr>
        <w:ind w:right="80" w:firstLine="50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Security. </w:t>
      </w:r>
      <w:r>
        <w:rPr>
          <w:rFonts w:ascii="Times New Roman" w:cs="Times New Roman" w:eastAsia="Times New Roman" w:hAnsi="Times New Roman"/>
          <w:sz w:val="18"/>
          <w:szCs w:val="18"/>
          <w:color w:val="auto"/>
        </w:rPr>
        <w:t>We leverage industry standard network and perimeter defense technologies, distributed denial-of-service, protection systems (including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web application firewalls) and enterprise grade domain name system and services across multiple vendors. Our data-center providers operate and certify to high industry compliance levels. Due to the broad footprint of our customer base, we regularly test and evaluate our platform with trusted third-party vendors to ensure the security and integrity of our services.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Marketing and Sales</w:t>
      </w:r>
    </w:p>
    <w:p>
      <w:pPr>
        <w:spacing w:after="0" w:line="189"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We believe we are a global leader in implementing an inbound experience in marketing and sales. We believe that our marketing and sales model provides us with a competitive advantage, especially when targeting mid-market businesses, because we can attract and engage these businesses efficiently and at scale.</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11" w:name="page12"/>
    <w:bookmarkEnd w:id="11"/>
    <w:p>
      <w:pPr>
        <w:ind w:right="80" w:firstLine="509"/>
        <w:spacing w:after="0" w:line="291" w:lineRule="auto"/>
        <w:rPr>
          <w:sz w:val="20"/>
          <w:szCs w:val="20"/>
          <w:color w:val="auto"/>
        </w:rPr>
      </w:pPr>
      <w:r>
        <w:rPr>
          <w:rFonts w:ascii="Times New Roman" w:cs="Times New Roman" w:eastAsia="Times New Roman" w:hAnsi="Times New Roman"/>
          <w:sz w:val="17"/>
          <w:szCs w:val="17"/>
          <w:b w:val="1"/>
          <w:bCs w:val="1"/>
          <w:i w:val="1"/>
          <w:iCs w:val="1"/>
          <w:color w:val="auto"/>
        </w:rPr>
        <w:t>Inbound Marketing</w:t>
      </w:r>
      <w:r>
        <w:rPr>
          <w:rFonts w:ascii="Times New Roman" w:cs="Times New Roman" w:eastAsia="Times New Roman" w:hAnsi="Times New Roman"/>
          <w:sz w:val="17"/>
          <w:szCs w:val="17"/>
          <w:color w:val="auto"/>
        </w:rPr>
        <w:t>. Our marketing team attracts new leads and users each month through our industry-leading blog, podcast network, email</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newsletter and other content, free tools, large social media following, high search engine rankings and personalized website and email content. In addition, we are generating leads for new and add-on product purchases through content and offers delivered through our customer platform to existing customers.</w:t>
      </w:r>
    </w:p>
    <w:p>
      <w:pPr>
        <w:spacing w:after="0" w:line="126" w:lineRule="exact"/>
        <w:rPr>
          <w:sz w:val="20"/>
          <w:szCs w:val="20"/>
          <w:color w:val="auto"/>
        </w:rPr>
      </w:pPr>
    </w:p>
    <w:p>
      <w:pPr>
        <w:jc w:val="both"/>
        <w:ind w:right="40" w:firstLine="50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Inbound Direct Sales. </w:t>
      </w:r>
      <w:r>
        <w:rPr>
          <w:rFonts w:ascii="Times New Roman" w:cs="Times New Roman" w:eastAsia="Times New Roman" w:hAnsi="Times New Roman"/>
          <w:sz w:val="18"/>
          <w:szCs w:val="18"/>
          <w:color w:val="auto"/>
        </w:rPr>
        <w:t>Our sales representatives throughout the world use phone, email, and web meetings to interact with prospects and customers.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majority of revenue generated by our sales representatives originates with inbound leads produced by our marketing efforts. In addition, our freemium products and in-product cross-sell offerings help close new business with little or no interaction by our sales representatives.</w:t>
      </w:r>
    </w:p>
    <w:p>
      <w:pPr>
        <w:spacing w:after="0" w:line="130" w:lineRule="exact"/>
        <w:rPr>
          <w:sz w:val="20"/>
          <w:szCs w:val="20"/>
          <w:color w:val="auto"/>
        </w:rPr>
      </w:pPr>
    </w:p>
    <w:p>
      <w:pPr>
        <w:ind w:right="160" w:firstLine="50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Inbound Channel Sales. </w:t>
      </w:r>
      <w:r>
        <w:rPr>
          <w:rFonts w:ascii="Times New Roman" w:cs="Times New Roman" w:eastAsia="Times New Roman" w:hAnsi="Times New Roman"/>
          <w:sz w:val="18"/>
          <w:szCs w:val="18"/>
          <w:color w:val="auto"/>
        </w:rPr>
        <w:t>In addition to our direct sales team, we have sales representatives that manage relationships with our worldwide network</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Solutions Partners who both use our platform for their own businesses and also, on a commissioned basis, refer customers to us. These Solutions Partners collaborate with us not only to leverage our software platform and educational resources, but also to build their own business by offering new services and shifting their revenue mix to include recurring revenue streams.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Governmental Regulations</w:t>
      </w:r>
    </w:p>
    <w:p>
      <w:pPr>
        <w:spacing w:after="0" w:line="202"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We operate globally and are subject to numerous U.S. federal, state, and foreign laws and regulations covering a wide variety of subject matters. Our compliance with these laws and regulations may be onerous and could, individually or in the aggregate, increase our cost of doing business, impact our competitive position relative to our peers, and/or otherwise have an</w:t>
      </w:r>
    </w:p>
    <w:p>
      <w:pPr>
        <w:spacing w:after="0" w:line="176"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adverse impact on our business, reputation, financial condition, and operating results. For information about governmental regulations applicable to our business, refer to “Risk Factors” in Item 1A.</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 Management</w:t>
      </w:r>
    </w:p>
    <w:p>
      <w:pPr>
        <w:spacing w:after="0" w:line="189" w:lineRule="exact"/>
        <w:rPr>
          <w:sz w:val="20"/>
          <w:szCs w:val="20"/>
          <w:color w:val="auto"/>
        </w:rPr>
      </w:pPr>
    </w:p>
    <w:p>
      <w:pPr>
        <w:jc w:val="both"/>
        <w:ind w:right="160" w:firstLine="509"/>
        <w:spacing w:after="0" w:line="266" w:lineRule="auto"/>
        <w:rPr>
          <w:sz w:val="20"/>
          <w:szCs w:val="20"/>
          <w:color w:val="auto"/>
        </w:rPr>
      </w:pPr>
      <w:r>
        <w:rPr>
          <w:rFonts w:ascii="Times New Roman" w:cs="Times New Roman" w:eastAsia="Times New Roman" w:hAnsi="Times New Roman"/>
          <w:sz w:val="18"/>
          <w:szCs w:val="18"/>
          <w:color w:val="auto"/>
        </w:rPr>
        <w:t>Helping millions of organizations grow better requires a truly remarkable team. We take a thoughtful approach to talent attraction and retention in order to build a company culture where people can do their best work. That’s why our culture is rooted in what we think employees want from employers today: autonomy, flexibility, transparency, and a commitment to diversity.</w:t>
      </w:r>
    </w:p>
    <w:p>
      <w:pPr>
        <w:spacing w:after="0" w:line="149"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HubSpot is proud to be named a Best Place to Work by the Glassdoor Employees’ Choice Awards for the past nine years. Based on employees’ reviews and feedback, this recognition is a strong testament to the innovative culture we are building. We have also been recognized as a top workplace in 2022 and 2023 by Great Place to Work, and we have been named to many notable lists such as Fortune’s 100 Best Companies to Work For and Fortune’s Best Workplaces for Women. Additionally, we’re honored to be mentioned in a number of categories by Comparably's workplace awards in 2022 and 2023 including Best CEO for Women, Best Global Culture, and a Best Company for Employee Happiness.</w:t>
      </w:r>
    </w:p>
    <w:p>
      <w:pPr>
        <w:spacing w:after="0" w:line="143"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As of December 31, 2023, we had 7,663 full-time employees, or HubSpotters. Of these, 4,971 were in the Americas, 2,164 were in Europe, and 528 were in the Asia Pacific region.</w:t>
      </w:r>
    </w:p>
    <w:p>
      <w:pPr>
        <w:spacing w:after="0" w:line="117" w:lineRule="exact"/>
        <w:rPr>
          <w:sz w:val="20"/>
          <w:szCs w:val="20"/>
          <w:color w:val="auto"/>
        </w:rPr>
      </w:pPr>
    </w:p>
    <w:p>
      <w:pPr>
        <w:ind w:left="760" w:right="180" w:hanging="378"/>
        <w:spacing w:after="0" w:line="259" w:lineRule="auto"/>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Hybrid Culture and Enablement. </w:t>
      </w:r>
      <w:r>
        <w:rPr>
          <w:rFonts w:ascii="Times New Roman" w:cs="Times New Roman" w:eastAsia="Times New Roman" w:hAnsi="Times New Roman"/>
          <w:sz w:val="18"/>
          <w:szCs w:val="18"/>
          <w:color w:val="auto"/>
        </w:rPr>
        <w:t>We offer a hybrid working model, with employees choosing annually between three options: @home,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@office, @flex. @home employees work the majority of the time from home, @office employees go into a HubSpot office three or more days per week, and @flex employees go into a HubSpot office two or fewer days per week. We also provide resources and enablement materials to our managers and employees to help them work more effectively in a hybrid working model. As of December 31, 2023, 5,120 employees selected the @home option, 1,986 @flex, and 557 @office.</w:t>
      </w:r>
    </w:p>
    <w:p>
      <w:pPr>
        <w:spacing w:after="0" w:line="152" w:lineRule="exact"/>
        <w:rPr>
          <w:rFonts w:ascii="Times New Roman" w:cs="Times New Roman" w:eastAsia="Times New Roman" w:hAnsi="Times New Roman"/>
          <w:sz w:val="18"/>
          <w:szCs w:val="18"/>
          <w:color w:val="auto"/>
        </w:rPr>
      </w:pPr>
    </w:p>
    <w:p>
      <w:pPr>
        <w:ind w:left="760" w:right="100" w:hanging="378"/>
        <w:spacing w:after="0" w:line="259" w:lineRule="auto"/>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Culture and Values. </w:t>
      </w:r>
      <w:r>
        <w:rPr>
          <w:rFonts w:ascii="Times New Roman" w:cs="Times New Roman" w:eastAsia="Times New Roman" w:hAnsi="Times New Roman"/>
          <w:sz w:val="18"/>
          <w:szCs w:val="18"/>
          <w:color w:val="auto"/>
        </w:rPr>
        <w:t>As a company with a hybrid working model, connection is core to our culture. We are focused on fostering authentic</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connection by offering the tools, resources, and opportunities to help our employees grow both personally and professionally. Our Culture Code underpins our culture and outlines our core company values, including, autonomy, flexibility, high performance, and HEART. HEART is at the center of who we are and represents the five traits we value the most in HubSpotters: Humility, Empathy, Adaptability, Remarkableness and Transparency. A copy of our Culture Code can be found at: https://network.hubspot.com/slides/the-hubspot-culture-code.</w:t>
      </w:r>
    </w:p>
    <w:p>
      <w:pPr>
        <w:spacing w:after="0" w:line="138" w:lineRule="exact"/>
        <w:rPr>
          <w:rFonts w:ascii="Times New Roman" w:cs="Times New Roman" w:eastAsia="Times New Roman" w:hAnsi="Times New Roman"/>
          <w:sz w:val="18"/>
          <w:szCs w:val="18"/>
          <w:color w:val="auto"/>
        </w:rPr>
      </w:pPr>
    </w:p>
    <w:p>
      <w:pPr>
        <w:ind w:left="760" w:right="40" w:hanging="378"/>
        <w:spacing w:after="0" w:line="257" w:lineRule="auto"/>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Diversity, Inclusion, and Belonging. </w:t>
      </w:r>
      <w:r>
        <w:rPr>
          <w:rFonts w:ascii="Times New Roman" w:cs="Times New Roman" w:eastAsia="Times New Roman" w:hAnsi="Times New Roman"/>
          <w:sz w:val="18"/>
          <w:szCs w:val="18"/>
          <w:color w:val="auto"/>
        </w:rPr>
        <w:t>Diversity, inclusion, and belonging (DI&amp;B) is a core part of our mission. We are focused not just 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increasing representation, but on striving for equity in systems, resources, and access to opportunities. We have incorporated DI&amp;B into our policies and practices, education and events, and launched various initiatives to further our goal of being a more diverse, inclusive, and equitable workplace. Our DI&amp;B initiatives include, but are not limited to: programs to increase our slate of diverse candidates, anti-racism training for employees and managers, key external partnerships, employee resource groups, and programs and initiatives to enhance the diversity and inclusion experience for</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57" w:right="359" w:bottom="1440" w:gutter="0" w:footer="0" w:header="0"/>
        </w:sectPr>
      </w:pPr>
    </w:p>
    <w:bookmarkStart w:id="12" w:name="page13"/>
    <w:bookmarkEnd w:id="12"/>
    <w:p>
      <w:pPr>
        <w:ind w:left="760" w:right="20"/>
        <w:spacing w:after="0" w:line="266" w:lineRule="auto"/>
        <w:rPr>
          <w:sz w:val="20"/>
          <w:szCs w:val="20"/>
          <w:color w:val="auto"/>
        </w:rPr>
      </w:pPr>
      <w:r>
        <w:rPr>
          <w:rFonts w:ascii="Times New Roman" w:cs="Times New Roman" w:eastAsia="Times New Roman" w:hAnsi="Times New Roman"/>
          <w:sz w:val="18"/>
          <w:szCs w:val="18"/>
          <w:color w:val="auto"/>
        </w:rPr>
        <w:t>candidates and employees. In addition, our annual HubSpot Diversity, Inclusion, and Belonging Report is a detailed analysis of our gender, ethnicity, and age data, as well as self-reported identities including parents, military veterans, disabilities, first-generation identity, and those who are gender diverse. A copy of our DI&amp;B report can be found at: https://www.hubspot.com/diversity/report.</w:t>
      </w:r>
    </w:p>
    <w:p>
      <w:pPr>
        <w:spacing w:after="0" w:line="145" w:lineRule="exact"/>
        <w:rPr>
          <w:sz w:val="20"/>
          <w:szCs w:val="20"/>
          <w:color w:val="auto"/>
        </w:rPr>
      </w:pPr>
    </w:p>
    <w:p>
      <w:pPr>
        <w:ind w:left="760" w:hanging="378"/>
        <w:spacing w:after="0" w:line="256" w:lineRule="auto"/>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Compensation and Benefits. </w:t>
      </w:r>
      <w:r>
        <w:rPr>
          <w:rFonts w:ascii="Times New Roman" w:cs="Times New Roman" w:eastAsia="Times New Roman" w:hAnsi="Times New Roman"/>
          <w:sz w:val="18"/>
          <w:szCs w:val="18"/>
          <w:color w:val="auto"/>
        </w:rPr>
        <w:t>We provide competitive compensation and benefits for our employees globally. Our compensation packages may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include base salary, commission or semi-annual bonuses, and stock-based compensation. We also offer unlimited vacation and an annual global week of rest, an employee stock purchase plan, as well as benefit plans, such as employee medical, dental, life and disability insurance, and retirement and pension arrangements, that vary by geography that align with market norms. We evaluate both compensation and benefit offerings on an annual basis and we make adjustments as needed. We are also committed to continuing to make strides in moving from pay opacity to pay transparency. This currently includes providing access to compensation ranges for all of our employees, anchoring compensation to one predefined major city per country and publishing compensation ranges for all job postings in the U.S.</w:t>
      </w:r>
    </w:p>
    <w:p>
      <w:pPr>
        <w:spacing w:after="0" w:line="142" w:lineRule="exact"/>
        <w:rPr>
          <w:rFonts w:ascii="Times New Roman" w:cs="Times New Roman" w:eastAsia="Times New Roman" w:hAnsi="Times New Roman"/>
          <w:sz w:val="18"/>
          <w:szCs w:val="18"/>
          <w:color w:val="auto"/>
        </w:rPr>
      </w:pPr>
    </w:p>
    <w:p>
      <w:pPr>
        <w:ind w:left="760" w:hanging="378"/>
        <w:spacing w:after="0" w:line="257" w:lineRule="auto"/>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Learning and growth. </w:t>
      </w:r>
      <w:r>
        <w:rPr>
          <w:rFonts w:ascii="Times New Roman" w:cs="Times New Roman" w:eastAsia="Times New Roman" w:hAnsi="Times New Roman"/>
          <w:sz w:val="18"/>
          <w:szCs w:val="18"/>
          <w:color w:val="auto"/>
        </w:rPr>
        <w:t>We believe in life-long learning and invest in employee development at every stage. We offer interactive, regionalized on-boarding, one-on-one mentorship, year-round manager trainings and a mini-MBA Fellows program. We also offer several programs focused on BIPOC (Black, Indigenous, Person of Color) retention and career development, including a stay interview program, a global mentorship program for employees of color, and a structured mentoring and career coaching program for Black employees. In addition, we offer several live, self-paced and asynchronous resources to help employees develop their skill and capabilities through Learn@HubSpot, our internal, online learning management system.</w:t>
      </w:r>
    </w:p>
    <w:p>
      <w:pPr>
        <w:spacing w:after="0" w:line="141" w:lineRule="exact"/>
        <w:rPr>
          <w:rFonts w:ascii="Times New Roman" w:cs="Times New Roman" w:eastAsia="Times New Roman" w:hAnsi="Times New Roman"/>
          <w:sz w:val="18"/>
          <w:szCs w:val="18"/>
          <w:color w:val="auto"/>
        </w:rPr>
      </w:pPr>
    </w:p>
    <w:p>
      <w:pPr>
        <w:jc w:val="both"/>
        <w:ind w:left="760" w:right="240" w:hanging="378"/>
        <w:spacing w:after="0" w:line="268" w:lineRule="auto"/>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Mental Health and Well-Being. </w:t>
      </w:r>
      <w:r>
        <w:rPr>
          <w:rFonts w:ascii="Times New Roman" w:cs="Times New Roman" w:eastAsia="Times New Roman" w:hAnsi="Times New Roman"/>
          <w:sz w:val="18"/>
          <w:szCs w:val="18"/>
          <w:color w:val="auto"/>
        </w:rPr>
        <w:t>We offer a mental wellness platform as a global benefit for employees. In order to prevent and battle burnout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its root causes, we also offer a company holiday week for all employees to take time off and recharge, and programming for employees to listen, learn, and identify ways to prioritize their mental health at work.</w:t>
      </w:r>
    </w:p>
    <w:p>
      <w:pPr>
        <w:spacing w:after="0" w:line="143" w:lineRule="exact"/>
        <w:rPr>
          <w:rFonts w:ascii="Times New Roman" w:cs="Times New Roman" w:eastAsia="Times New Roman" w:hAnsi="Times New Roman"/>
          <w:sz w:val="18"/>
          <w:szCs w:val="18"/>
          <w:color w:val="auto"/>
        </w:rPr>
      </w:pPr>
    </w:p>
    <w:p>
      <w:pPr>
        <w:ind w:left="760" w:hanging="378"/>
        <w:spacing w:after="0" w:line="257" w:lineRule="auto"/>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Social Impact. </w:t>
      </w:r>
      <w:r>
        <w:rPr>
          <w:rFonts w:ascii="Times New Roman" w:cs="Times New Roman" w:eastAsia="Times New Roman" w:hAnsi="Times New Roman"/>
          <w:sz w:val="18"/>
          <w:szCs w:val="18"/>
          <w:color w:val="auto"/>
        </w:rPr>
        <w:t>We aim to bring the best of HubSpot to help nonprofits that are committed to improving education and entrepreneurship in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communities around the world. We provide a range of opportunities for our employees to get involved with nonprofit organizations through HubSpot Helps, our community impact program, including: a dedicated employee volunteering platform, dedicated time for employees to give back to their own local communities, financial and in-kind donations, and flagship events. We are also committed to closing the racial wealth gap and developing the next generation of Black business leaders by investing in partnerships and organizations that can drive real change for Black communities.</w:t>
      </w:r>
    </w:p>
    <w:p>
      <w:pPr>
        <w:spacing w:after="0" w:line="141"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Employee Engagement and Feedback. </w:t>
      </w:r>
      <w:r>
        <w:rPr>
          <w:rFonts w:ascii="Times New Roman" w:cs="Times New Roman" w:eastAsia="Times New Roman" w:hAnsi="Times New Roman"/>
          <w:sz w:val="17"/>
          <w:szCs w:val="17"/>
          <w:color w:val="auto"/>
        </w:rPr>
        <w:t>We administer an employee engagement survey, known as our eNPS, to assess and understand the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employee experience and engagement at the company level. The survey also enables us to provide data to leaders across the organization, empowering them to identify, address, and monitor feedback at the department level. Our eNPS process includes a Global Inclusion Index survey which we measure annually, allowing us to track progress and collect feedback on our diversity, inclusion, and belonging efforts over time.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02" w:lineRule="exact"/>
        <w:rPr>
          <w:sz w:val="20"/>
          <w:szCs w:val="20"/>
          <w:color w:val="auto"/>
        </w:rPr>
      </w:pPr>
    </w:p>
    <w:p>
      <w:pPr>
        <w:ind w:right="820" w:firstLine="509"/>
        <w:spacing w:after="0" w:line="282" w:lineRule="auto"/>
        <w:rPr>
          <w:sz w:val="20"/>
          <w:szCs w:val="20"/>
          <w:color w:val="auto"/>
        </w:rPr>
      </w:pPr>
      <w:r>
        <w:rPr>
          <w:rFonts w:ascii="Times New Roman" w:cs="Times New Roman" w:eastAsia="Times New Roman" w:hAnsi="Times New Roman"/>
          <w:sz w:val="18"/>
          <w:szCs w:val="18"/>
          <w:color w:val="auto"/>
        </w:rPr>
        <w:t>Our market is evolving, highly competitive and fragmented, and we expect competition to increase in the future. We believe the principal competitive factors in our market are:</w:t>
      </w:r>
    </w:p>
    <w:p>
      <w:pPr>
        <w:spacing w:after="0" w:line="121" w:lineRule="exact"/>
        <w:rPr>
          <w:sz w:val="20"/>
          <w:szCs w:val="20"/>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vision for the market, product strategy and pace of innovation;</w:t>
      </w:r>
    </w:p>
    <w:p>
      <w:pPr>
        <w:spacing w:after="0" w:line="18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inbound marketing focus and domain expertise;</w:t>
      </w:r>
    </w:p>
    <w:p>
      <w:pPr>
        <w:spacing w:after="0" w:line="19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integrated all-in-one customer platform;</w:t>
      </w:r>
    </w:p>
    <w:p>
      <w:pPr>
        <w:spacing w:after="0" w:line="18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breadth and depth of product functionality;</w:t>
      </w:r>
    </w:p>
    <w:p>
      <w:pPr>
        <w:spacing w:after="0" w:line="18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ease of use;</w:t>
      </w:r>
    </w:p>
    <w:p>
      <w:pPr>
        <w:spacing w:after="0" w:line="19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scalable, open architecture;</w:t>
      </w:r>
    </w:p>
    <w:p>
      <w:pPr>
        <w:spacing w:after="0" w:line="18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time to value and total cost of ownership;</w:t>
      </w:r>
    </w:p>
    <w:p>
      <w:pPr>
        <w:spacing w:after="0" w:line="18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integration with third-party applications and data sources;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61" w:right="359" w:bottom="1440" w:gutter="0" w:footer="0" w:header="0"/>
        </w:sectPr>
      </w:pPr>
    </w:p>
    <w:bookmarkStart w:id="13" w:name="page14"/>
    <w:bookmarkEnd w:id="13"/>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of CRM data to make strategic business decisions;</w:t>
      </w:r>
    </w:p>
    <w:p>
      <w:pPr>
        <w:spacing w:after="0" w:line="19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of evolving artificial intelligence technologies;</w:t>
      </w:r>
    </w:p>
    <w:p>
      <w:pPr>
        <w:spacing w:after="0" w:line="18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recognition and brand reputation; and</w:t>
      </w:r>
    </w:p>
    <w:p>
      <w:pPr>
        <w:spacing w:after="0" w:line="18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“freemium” go-to-market motion.</w:t>
      </w:r>
    </w:p>
    <w:p>
      <w:pPr>
        <w:spacing w:after="0" w:line="19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believe we compete favorably with respect to all of these factors.</w:t>
      </w:r>
    </w:p>
    <w:p>
      <w:pPr>
        <w:spacing w:after="0" w:line="185" w:lineRule="exact"/>
        <w:rPr>
          <w:sz w:val="20"/>
          <w:szCs w:val="20"/>
          <w:color w:val="auto"/>
        </w:rPr>
      </w:pPr>
    </w:p>
    <w:p>
      <w:pPr>
        <w:ind w:right="700" w:firstLine="509"/>
        <w:spacing w:after="0" w:line="282" w:lineRule="auto"/>
        <w:rPr>
          <w:sz w:val="20"/>
          <w:szCs w:val="20"/>
          <w:color w:val="auto"/>
        </w:rPr>
      </w:pPr>
      <w:r>
        <w:rPr>
          <w:rFonts w:ascii="Times New Roman" w:cs="Times New Roman" w:eastAsia="Times New Roman" w:hAnsi="Times New Roman"/>
          <w:sz w:val="18"/>
          <w:szCs w:val="18"/>
          <w:color w:val="auto"/>
        </w:rPr>
        <w:t>We face intense competition from other software companies that develop marketing, sales, service, and content management software. Our competitors offer various point applications that provide certain functions and features that we provide, including:</w:t>
      </w:r>
    </w:p>
    <w:p>
      <w:pPr>
        <w:spacing w:after="0" w:line="121" w:lineRule="exact"/>
        <w:rPr>
          <w:sz w:val="20"/>
          <w:szCs w:val="20"/>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cloud-based marketing automation providers;</w:t>
      </w:r>
    </w:p>
    <w:p>
      <w:pPr>
        <w:spacing w:after="0" w:line="19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content management systems;</w:t>
      </w:r>
    </w:p>
    <w:p>
      <w:pPr>
        <w:spacing w:after="0" w:line="18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email marketing software vendors;</w:t>
      </w:r>
    </w:p>
    <w:p>
      <w:pPr>
        <w:spacing w:after="0" w:line="18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force automation and CRM software vendors</w:t>
      </w:r>
    </w:p>
    <w:p>
      <w:pPr>
        <w:spacing w:after="0" w:line="19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 service platform vendors; and</w:t>
      </w:r>
    </w:p>
    <w:p>
      <w:pPr>
        <w:spacing w:after="0" w:line="18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large-scale enterprise suites.</w:t>
      </w:r>
    </w:p>
    <w:p>
      <w:pPr>
        <w:spacing w:after="0" w:line="185"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In addition, instead of using our customer platform, some prospective customers may elect to combine disparate point applications, such as content management, marketing automation, analytics, social media management, ticketing, and conversational bots. We expect that we will develop and introduce, or acquire, applications serving customer-facing and other front office functions.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189"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Our ability to protect our intellectual property, including our technology, will be an important factor in the success and continued growth of our business. We protect our intellectual property through trade secrets law, copyrights, trademarks, patents, and contracts. Some of our technology relies upon third-party licensed intellectual property. We have 18 issued U.S. Patents and 23 patents applications pending. We intend to pursue and are pursuing additional patent protection to the extent we believe it would be beneficial and cost-effective.</w:t>
      </w:r>
    </w:p>
    <w:p>
      <w:pPr>
        <w:spacing w:after="0" w:line="139" w:lineRule="exact"/>
        <w:rPr>
          <w:sz w:val="20"/>
          <w:szCs w:val="20"/>
          <w:color w:val="auto"/>
        </w:rPr>
      </w:pPr>
    </w:p>
    <w:p>
      <w:pPr>
        <w:jc w:val="both"/>
        <w:ind w:right="540" w:firstLine="509"/>
        <w:spacing w:after="0" w:line="266" w:lineRule="auto"/>
        <w:rPr>
          <w:sz w:val="20"/>
          <w:szCs w:val="20"/>
          <w:color w:val="auto"/>
        </w:rPr>
      </w:pPr>
      <w:r>
        <w:rPr>
          <w:rFonts w:ascii="Times New Roman" w:cs="Times New Roman" w:eastAsia="Times New Roman" w:hAnsi="Times New Roman"/>
          <w:sz w:val="18"/>
          <w:szCs w:val="18"/>
          <w:color w:val="auto"/>
        </w:rPr>
        <w:t>In addition to the foregoing, we have established business procedures designed to maintain the confidentiality of our proprietary information, including the use of confidentiality agreements and assignment of inventions agreements with employees, independent contractors, consultants, and companies with which we conduct business.</w:t>
      </w:r>
    </w:p>
    <w:p>
      <w:pPr>
        <w:spacing w:after="0" w:line="149"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Despite our efforts to protect our intellectual property, unauthorized parties may still copy or otherwise obtain and use our technology. In addition, we intend to continue to expand our international operations, and effective intellectual property, copyright, trademark and trade secret protection may not be available or may be limited in foreign countries. Any significant impairment of our intellectual property rights could harm our business or our ability to compete.</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Information About Segments</w:t>
      </w:r>
    </w:p>
    <w:p>
      <w:pPr>
        <w:spacing w:after="0" w:line="189"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We operate as one operating segment. Operating segments are defined as components of an enterprise for which separate financial information is regularly evaluated by the chief operating decision maker (“CODM”), which is our chief executive officer, in deciding how to allocate resources and assess performance. The CODM evaluates our financial information and resources and assesses the performance of these resources on a consolidated basis. Since we operate in one operating segment, all required financial segment information can be found in the consolidated financial statements. See Footnote 10 within the consolidated financial statements for information by geographic area.</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189"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Our website is located at http://www.hubspot.com, and our investor relations website is located at https://www.hubspot.com/investor-relations. Copies of our Annual Reports on Form 10-K, Quarterly Reports on Form 10-Q, Current Reports on Form 8-K, and amendments to these reports filed or furnished pursuant to Sections 13(a) and 15(d) of the Securities Exchange Act of 1934, as amended, are available, free of charge, on our investor relations website as soon as reasonably practicable</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61" w:right="359" w:bottom="1440" w:gutter="0" w:footer="0" w:header="0"/>
        </w:sectPr>
      </w:pPr>
    </w:p>
    <w:bookmarkStart w:id="14" w:name="page15"/>
    <w:bookmarkEnd w:id="14"/>
    <w:p>
      <w:pPr>
        <w:ind w:right="1100"/>
        <w:spacing w:after="0" w:line="282" w:lineRule="auto"/>
        <w:rPr>
          <w:sz w:val="20"/>
          <w:szCs w:val="20"/>
          <w:color w:val="auto"/>
        </w:rPr>
      </w:pPr>
      <w:r>
        <w:rPr>
          <w:rFonts w:ascii="Times New Roman" w:cs="Times New Roman" w:eastAsia="Times New Roman" w:hAnsi="Times New Roman"/>
          <w:sz w:val="18"/>
          <w:szCs w:val="18"/>
          <w:color w:val="auto"/>
        </w:rPr>
        <w:t>after such reports are filed with, or furnished to, the Securities and Exchange Commission, or the SEC. The SEC also maintains a website at http://www.sec.gov that contains our SEC filings and other information regarding issuers that file electronically with the SEC.</w:t>
      </w:r>
    </w:p>
    <w:p>
      <w:pPr>
        <w:spacing w:after="0" w:line="135"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We webcast our earnings calls and certain events we participate in or host with members of the investment community on our investor relations website. Additionally, we provide notifications of news or announcements regarding our financial performance, including SEC filings, investor events, press and earnings releases, and blogs as part of our investor relations website. We have used, and intend to continue to use, our investor relations website as means of disclosing material non-public information and for complying with our disclosure obligations under Regulation FD. Further corporate governance information, including our certificate of incorporation, bylaws, governance guidelines, board committee charters, and code of business conduct and ethics, is also available on our investor relations website under the heading “Corporate Governance.” The contents of our websites are not intended to be incorporated by reference into this Annual Report on Form 10-K or in any other report or document we file with the SEC, and any references to our websites are intended to be inactive textual references only.</w:t>
      </w:r>
    </w:p>
    <w:p>
      <w:pPr>
        <w:spacing w:after="0" w:line="19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61" w:right="39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00"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i w:val="1"/>
          <w:iCs w:val="1"/>
          <w:color w:val="auto"/>
        </w:rPr>
        <w:t>An investment in our common stock involves a high degree of risk. You should carefully consider the risks described below and the other information in this Annual Report on Form 10-K and in our other public filings before making an investment decision. Our business, prospects, financial condition, or operating results could be harmed by any of these risks, as well as other risks not currently known to us or that we currently consider immaterial. If any such risks and uncertainties actually occurs, our business, financial condition or operating results could differ materially from the plans, projections and other forward-looking statements included in the section titled “Management’s Discussion and Analysis of Financial Condition and Results of Operations” and elsewhere in this report and in our other public filings. The trading price of our common stock could decline due to any of these risks, and, as a result, you may lose all or part of your investment.</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and Strategy</w:t>
      </w:r>
    </w:p>
    <w:p>
      <w:pPr>
        <w:spacing w:after="0" w:line="185"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dependent upon customer renewals, the addition of new customers, increased revenue from existing customers and the continued growth of the market for a customer platform.</w:t>
      </w:r>
    </w:p>
    <w:p>
      <w:pPr>
        <w:spacing w:after="0" w:line="132"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We derive, and expect to continue to derive, a substantial portion of our revenue from the sale of subscriptions to our customer platform. The market for inbound marketing, sales, service, operations, commerce and customer management products is still evolving, and competitive dynamics may cause pricing levels to change as the market matures and as existing and new market participants introduce new types of point applications and different approaches to enable businesses to address their respective needs. As a result, we may be forced to reduce the prices we charge for our platform and may be unable to renew existing customer agreements or enter into new customer agreements at the same prices and upon the same terms that we have historically. In addition, our growth strategy involves a scalable pricing model (including freemium versions of our products) intended to provide us with an opportunity to increase the value of our customer relationships over time as we expand their use of our platform, sell to other parts of their organizations, cross-sell our sales products to existing marketing product customers and vice versa through touchless or low touch in product purchases, and upsell additional offerings and features. If our cross-selling efforts are unsuccessful or if our existing customers do not expand their use of our platform or adopt additional offerings and features, our operating results may suffer.</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subscription renewal rates may decrease, and any decrease could harm our future revenue and operating results.</w:t>
      </w:r>
    </w:p>
    <w:p>
      <w:pPr>
        <w:spacing w:after="0" w:line="189"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Our customers have no obligation to renew their subscriptions for our platform after the expiration of their subscription periods, substantially all of which are one year or less. In addition, our customers may seek to renew for lower subscription tiers, for fewer contacts or seats, or for shorter contract lengths. Also, customers may choose not to renew their subscriptions for a variety of reasons. Our renewal rates may decline or fluctuate as a result of a number of factors, including limited customer resources, pricing changes, the prices of services offered by our competitors, adoption and utilization of our platform and add-on applications by our customers, adoption of our new products, customer satisfaction with our platform, mergers and acquisitions affecting our customer base, reductions in our customers’ spending levels or declines in customer activity as a result of economic downturns or uncertainty in financial markets. If our customers do not renew their subscriptions for our platform or decrease the amount they spend with us, our revenue will decline and our business will suffer.</w:t>
      </w:r>
    </w:p>
    <w:p>
      <w:pPr>
        <w:spacing w:after="0" w:line="165" w:lineRule="exact"/>
        <w:rPr>
          <w:sz w:val="20"/>
          <w:szCs w:val="20"/>
          <w:color w:val="auto"/>
        </w:rPr>
      </w:pPr>
    </w:p>
    <w:p>
      <w:pPr>
        <w:ind w:right="160" w:firstLine="509"/>
        <w:spacing w:after="0" w:line="256" w:lineRule="auto"/>
        <w:rPr>
          <w:sz w:val="20"/>
          <w:szCs w:val="20"/>
          <w:color w:val="auto"/>
        </w:rPr>
      </w:pPr>
      <w:r>
        <w:rPr>
          <w:rFonts w:ascii="Times New Roman" w:cs="Times New Roman" w:eastAsia="Times New Roman" w:hAnsi="Times New Roman"/>
          <w:sz w:val="18"/>
          <w:szCs w:val="18"/>
          <w:color w:val="auto"/>
        </w:rPr>
        <w:t>In addition, a subscription model creates certain risks related to the timing of revenue recognition and potential reductions in cash flows. A portion of the subscription-based revenue we report each quarter results from the recognition of deferred revenue relating to subscription agreements entered into during previous quarters. In addition, we do not record deferred revenue beyond amounts invoiced as a liability on our balance sheet. A decline in new or renewed subscriptions in any period may not be immediately reflected in our reported financial results for that period, but may result in a decline in our revenue in future quarters. If we were to experience significant downturns in subscription sales and renewal rates, our reported financial results might not reflect such downturns until future periods.</w:t>
      </w:r>
    </w:p>
    <w:p>
      <w:pPr>
        <w:spacing w:after="0" w:line="143" w:lineRule="exact"/>
        <w:rPr>
          <w:sz w:val="20"/>
          <w:szCs w:val="20"/>
          <w:color w:val="auto"/>
        </w:rPr>
      </w:pPr>
    </w:p>
    <w:p>
      <w:pPr>
        <w:ind w:right="4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face significant competition from both established and new companies offering marketing, sales, customer service, operations, commerce, and content management software and other related applications, as well as internally developed software, which may harm our ability to add new customers, retain existing customers and grow our business.</w:t>
      </w:r>
    </w:p>
    <w:p>
      <w:pPr>
        <w:spacing w:after="0" w:line="134" w:lineRule="exact"/>
        <w:rPr>
          <w:sz w:val="20"/>
          <w:szCs w:val="20"/>
          <w:color w:val="auto"/>
        </w:rPr>
      </w:pPr>
    </w:p>
    <w:p>
      <w:pPr>
        <w:ind w:right="220" w:firstLine="509"/>
        <w:spacing w:after="0" w:line="266" w:lineRule="auto"/>
        <w:rPr>
          <w:sz w:val="20"/>
          <w:szCs w:val="20"/>
          <w:color w:val="auto"/>
        </w:rPr>
      </w:pPr>
      <w:r>
        <w:rPr>
          <w:rFonts w:ascii="Times New Roman" w:cs="Times New Roman" w:eastAsia="Times New Roman" w:hAnsi="Times New Roman"/>
          <w:sz w:val="18"/>
          <w:szCs w:val="18"/>
          <w:color w:val="auto"/>
        </w:rPr>
        <w:t>The marketing, sales, customer service, operations, commerce, and content management software market is evolving, highly competitive and significantly fragmented. With the introduction of new technologies and the potential entry of new competitors into the market, we expect competition to persist and intensify in the future, which could harm our ability to increase sales, maintain or increase renewals and maintain our prices.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7" w:right="339" w:bottom="1440" w:gutter="0" w:footer="0" w:header="0"/>
        </w:sectPr>
      </w:pPr>
    </w:p>
    <w:bookmarkStart w:id="16" w:name="page17"/>
    <w:bookmarkEnd w:id="16"/>
    <w:p>
      <w:pPr>
        <w:ind w:firstLine="509"/>
        <w:spacing w:after="0" w:line="255" w:lineRule="auto"/>
        <w:rPr>
          <w:sz w:val="20"/>
          <w:szCs w:val="20"/>
          <w:color w:val="auto"/>
        </w:rPr>
      </w:pPr>
      <w:r>
        <w:rPr>
          <w:rFonts w:ascii="Times New Roman" w:cs="Times New Roman" w:eastAsia="Times New Roman" w:hAnsi="Times New Roman"/>
          <w:sz w:val="18"/>
          <w:szCs w:val="18"/>
          <w:color w:val="auto"/>
        </w:rPr>
        <w:t>We face intense competition from other software companies that develop marketing, sales, customer service, operations, and content management software and from marketing services companies that provide interactive marketing services. Competition could significantly impede our ability to sell subscriptions to our customer platform on terms favorable to us. Our current and potential competitors may develop and market new technologies including as a result of new or better use of evolving artificial intelligence (“AI”) technologies that render our existing or future products less competitive, or obsolete. In addition, if these competitors develop products with similar or superior functionality to our platform, we may need to decrease the prices or accept less favorable terms for our platform subscriptions in order to remain competitive. If we are unable to maintain our pricing due to competitive pressures, our margins will be reduced and our operating results will be negatively affected.</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competitors include:</w:t>
      </w:r>
    </w:p>
    <w:p>
      <w:pPr>
        <w:spacing w:after="0" w:line="185" w:lineRule="exact"/>
        <w:rPr>
          <w:sz w:val="20"/>
          <w:szCs w:val="20"/>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cloud-based marketing automation providers;</w:t>
      </w:r>
    </w:p>
    <w:p>
      <w:pPr>
        <w:spacing w:after="0" w:line="18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email marketing software vendors;</w:t>
      </w:r>
    </w:p>
    <w:p>
      <w:pPr>
        <w:spacing w:after="0" w:line="19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force automation and CRM software vendors;</w:t>
      </w:r>
    </w:p>
    <w:p>
      <w:pPr>
        <w:spacing w:after="0" w:line="18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large-scale enterprise suites;</w:t>
      </w:r>
    </w:p>
    <w:p>
      <w:pPr>
        <w:spacing w:after="0" w:line="18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 service software providers; and</w:t>
      </w:r>
    </w:p>
    <w:p>
      <w:pPr>
        <w:spacing w:after="0" w:line="19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content management systems.</w:t>
      </w:r>
    </w:p>
    <w:p>
      <w:pPr>
        <w:spacing w:after="0" w:line="185"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In addition, instead of using our platform, some prospective customers may elect to combine disparate point applications, such as content management, marketing automation, CRM, analytics and social media management. We expect that new competitors, such as enterprise software vendors that have traditionally focused on enterprise resource planning or other applications supporting back office functions, will develop and introduce applications serving customer-facing and other front office functions. This development could have an adverse effect on our business, operating results and financial condition. In addition, sales force automation and CRM vendors could acquire or develop applications that compete with our sales and CRM offerings. Some of these companies have acquired social media marketing and other marketing software providers to integrate with their broader offerings.</w:t>
      </w:r>
    </w:p>
    <w:p>
      <w:pPr>
        <w:spacing w:after="0" w:line="147"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Our current and potential competitors may have significantly more financial, technical, marketing and other resources than we have, be able to devote greater resources to the development, promotion, sale and support of their products and services, may have more extensive customer bases and broader customer relationships than we have, and may have longer operating histories and greater name recognition than we have. As a result, these competitors may respond faster to new technologies and undertake more extensive marketing campaigns for their products. In a few cases, these vendors may also be able to offer marketing, sales, customer service and content management software at little or no additional cost by bundling it with their existing suite of applications. To the extent any of our competitors has existing relationships with potential customers for either marketing software or other applications, those customers may be unwilling to purchase our platform because of their existing relationships with our competitor. If we are unable to compete with such companies, the demand for our customer platform could substantially decline.</w:t>
      </w:r>
    </w:p>
    <w:p>
      <w:pPr>
        <w:spacing w:after="0" w:line="165"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In addition, if one or more of our competitors were to merge or partner with another of our competitors, our ability to compete effectively could be adversely affected. Our competitors may also establish or strengthen cooperative relationships with our current or future strategic distribution and technology partners or other parties with whom we have relationships, thereby limiting our ability to promote and implement our platform. We may not be able to compete successfully against current or future competitors, and competitive pressures may harm our business, operating results and financial condition.</w:t>
      </w:r>
    </w:p>
    <w:p>
      <w:pPr>
        <w:spacing w:after="0" w:line="139" w:lineRule="exact"/>
        <w:rPr>
          <w:sz w:val="20"/>
          <w:szCs w:val="20"/>
          <w:color w:val="auto"/>
        </w:rPr>
      </w:pPr>
    </w:p>
    <w:p>
      <w:pPr>
        <w:ind w:right="1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have experienced rapid growth and organizational change in recent periods and expect growth of headcount and operations over the long-term. If we fail to manage growth and organizational change effectively, we may be unable to execute our business plan, maintain high levels of service or address competitive challenges adequately.</w:t>
      </w:r>
    </w:p>
    <w:p>
      <w:pPr>
        <w:spacing w:after="0" w:line="134"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After the implementation of our Restructuring Plan in January 2023, our headcount and operations continued to grow. For example, we had 7,663 full-time employees as of December 31, 2023 and 7,433 as of December 31, 2022. To date, we have opened several international offices. This growth has placed, and will continue to place, a significant strain on our management, administrative, operational and financial infrastructure. We expect to continue to grow headcount and operations over the long-term. We anticipate future growth will be required over the long term to address increases in our product offerings and continued expansion. Our success will depend in part upon our ability to recruit, hire, train, manage and integrate qualified managers, technical personnel and employees in specialized roles within our company, including in technology, sales and marketing. Furthermore, as more of our employees work remotely from geographic areas across the globe on a permanent basis pursuant to our hybrid workplace model, which provides our employees with the option to be fully remote, work full-time from one of our offices, or have the flexibility to</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61" w:right="359" w:bottom="1440" w:gutter="0" w:footer="0" w:header="0"/>
        </w:sectPr>
      </w:pPr>
    </w:p>
    <w:bookmarkStart w:id="17" w:name="page18"/>
    <w:bookmarkEnd w:id="17"/>
    <w:p>
      <w:pPr>
        <w:ind w:right="240"/>
        <w:spacing w:after="0" w:line="277" w:lineRule="auto"/>
        <w:rPr>
          <w:sz w:val="20"/>
          <w:szCs w:val="20"/>
          <w:color w:val="auto"/>
        </w:rPr>
      </w:pPr>
      <w:r>
        <w:rPr>
          <w:rFonts w:ascii="Times New Roman" w:cs="Times New Roman" w:eastAsia="Times New Roman" w:hAnsi="Times New Roman"/>
          <w:sz w:val="17"/>
          <w:szCs w:val="17"/>
          <w:color w:val="auto"/>
        </w:rPr>
        <w:t>work both in the office and remotely, we may need to reallocate our investment of resources and closely monitor a variety of local regulations and requirements, including local tax laws. We may experience unpredictability in our expenses and employee work culture. If we experience any of these effects in connection with future growth, if our new employees perform poorly, or if we are unsuccessful in recruiting, hiring, training, managing and integrating new employees, or retaining our existing employees, it could materially impair our ability to attract new customers, retain existing customers and expand their use of our platform, all of which would materially and adversely affect our business, financial condition and results of operations.</w:t>
      </w:r>
    </w:p>
    <w:p>
      <w:pPr>
        <w:spacing w:after="0" w:line="137"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effectively develop and expand our marketing, sales, customer service, operations, commerce and content management capabilities could harm our ability to increase our customer base and achieve broader market acceptance of our platform.</w:t>
      </w:r>
    </w:p>
    <w:p>
      <w:pPr>
        <w:spacing w:after="0" w:line="118"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To increase Customers and achieve broader market acceptance of our customer platform, we will need to continue to expand our marketing, sales, customer service, operations, and content management capabilities, including our sales force and third-party channel partners. We will continue to dedicate significant resources to inbound sales and marketing programs. The effectiveness of our inbound sales and marketing and third-party channel partners has varied over time and may vary in the future and depends on our ability to maintain and improve our customer platform including with respect to AI and machine learning. All of these efforts will require us to invest significant financial and other resources. Our business will be seriously harmed if our efforts do not generate a correspondingly significant increase in revenue. We may not achieve anticipated revenue growth from expanding our sales force if we are unable to hire, develop and retain talented sales personnel, if our new sales personnel are unable to achieve desired productivity levels in a reasonable period of time or if our sales and marketing programs are not effective.</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12529"/>
        </w:rPr>
        <w:t>The rate of growth of our business depends on the continued participation and level of service of our Solutions Partners.</w:t>
      </w:r>
    </w:p>
    <w:p>
      <w:pPr>
        <w:spacing w:after="0" w:line="202"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We rely on our Solutions Partners to provide certain services to our customers, as well as pursue sales of our customer platform to customers. To the extent we do not attract new Solutions Partners, or existing or new Solutions Partners do not refer a growing number of customers to us, our revenue and operating results would be harmed. In addition, if our Solutions Partners do not continue to provide services to our customers, we would be required to provide such services ourselves either by expanding our internal team or engaging other third-party providers, which would increase our operating costs.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fail to maintain our inbound thought leadership position, our business may suffer.</w:t>
      </w:r>
    </w:p>
    <w:p>
      <w:pPr>
        <w:spacing w:after="0" w:line="189"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We believe that maintaining our thought leadership position in inbound marketing, sales, services, operations, commerce and content management is an important element in attracting new customers. We devote significant resources to develop and maintain our thought leadership position, with a focus on identifying and interpreting emerging trends in the inbound experience, shaping and guiding industry dialog and creating and sharing the best inbound practices. Our activities related to developing and maintaining our thought leadership may not yield increased revenue, and even if they do, any increased revenue may not offset the expenses we incurred in such effort. We rely upon the continued services of our management and employees with domain expertise with inbound marketing, sales, services, operations, and content management, and the loss of any key employees in this area could harm our competitive position and reputation. If we fail to successfully grow and maintain our thought leadership position, we may not attract enough new customers or retain our existing customers, and our business could suffer.</w:t>
      </w:r>
    </w:p>
    <w:p>
      <w:pPr>
        <w:spacing w:after="0" w:line="161"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further enhance our brand and maintain our existing strong brand awareness, our ability to expand our customer base will be impaired and our financial condition may suffer.</w:t>
      </w:r>
    </w:p>
    <w:p>
      <w:pPr>
        <w:spacing w:after="0" w:line="118"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We believe that our development of the HubSpot brand is critical to achieving widespread awareness of our existing and future inbound experience solutions, and, as a result, is important to attracting new customers and maintaining existing customers. In the past, our efforts to build our brand have involved significant expenses, and we believe that this investment has resulted in strong brand recognition in the B2B market. Successful promotion and maintenance of our brands will depend largely on the effectiveness of our marketing efforts and on our ability to provide a reliable and useful customer platform at competitive prices. Brand promotion activities may not yield increased revenue, and even if they do, any increased revenue may not offset the expenses we incurred in building our brand. If we fail to successfully promote and maintain our brand, our business could suffer.</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61" w:right="359" w:bottom="1440" w:gutter="0" w:footer="0" w:header="0"/>
        </w:sectPr>
      </w:pPr>
    </w:p>
    <w:bookmarkStart w:id="18" w:name="page19"/>
    <w:bookmarkEnd w:id="18"/>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adapt and respond effectively to rapidly changing technology, evolving industry standards and changing customer needs or requirements, our customer platform may become less competitive.</w:t>
      </w:r>
    </w:p>
    <w:p>
      <w:pPr>
        <w:spacing w:after="0" w:line="132"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Our future success depends on our ability to adapt and innovate our customer platform. To attract new customers and increase revenue from existing customers, we need to continue to enhance and improve our offerings to meet customer needs at prices that our customers are willing to pay. Such efforts will require adding new functionality and responding to technological advancements, including AI and machine learning, which will increase our research and development costs. If we are unable to develop new applications that address our customers’ needs, or to enhance and improve our platform in a timely manner, we may not be able to maintain or increase market acceptance of our platform. Our ability to grow is also subject to the risk of future disruptive technologies. Access and use of our customer platform is provided via the cloud, which, itself, was disruptive to the previous enterprise software model. If new technologies emerge that are able to deliver inbound marketing software and related applications at lower prices, more efficiently, more conveniently or more securely, such technologies could adversely affect our ability to compete.</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fail to offer high-quality customer support, our business and reputation may suffer.</w:t>
      </w:r>
    </w:p>
    <w:p>
      <w:pPr>
        <w:spacing w:after="0" w:line="189" w:lineRule="exact"/>
        <w:rPr>
          <w:sz w:val="20"/>
          <w:szCs w:val="20"/>
          <w:color w:val="auto"/>
        </w:rPr>
      </w:pPr>
    </w:p>
    <w:p>
      <w:pPr>
        <w:ind w:right="100" w:firstLine="509"/>
        <w:spacing w:after="0" w:line="255" w:lineRule="auto"/>
        <w:rPr>
          <w:sz w:val="20"/>
          <w:szCs w:val="20"/>
          <w:color w:val="auto"/>
        </w:rPr>
      </w:pPr>
      <w:r>
        <w:rPr>
          <w:rFonts w:ascii="Times New Roman" w:cs="Times New Roman" w:eastAsia="Times New Roman" w:hAnsi="Times New Roman"/>
          <w:sz w:val="18"/>
          <w:szCs w:val="18"/>
          <w:color w:val="auto"/>
        </w:rPr>
        <w:t>High-quality education, training and customer support are important for the successful marketing, sale and use of our customer platform and for the renewal of existing customers. Providing this education, training and support requires that our personnel who manage our online training resource, HubSpot Academy, or provide customer support have specific inbound experience domain knowledge and expertise, making it more difficult for us to hire qualified personnel and to scale up our support operations. The importance of high-quality customer support will increase as we expand our business and pursue new customers. If we do not help our customers use multiple applications within our customer platform and provide effective ongoing support, our ability to sell additional functionality and services to, or to retain, existing customers may suffer and our reputation with existing or potential customers may be harmed.</w:t>
      </w:r>
    </w:p>
    <w:p>
      <w:pPr>
        <w:spacing w:after="0" w:line="158"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scale our business quickly enough to meet our customers’ growing needs and if we are not able to grow efficiently, our operating results could be harmed.</w:t>
      </w:r>
    </w:p>
    <w:p>
      <w:pPr>
        <w:spacing w:after="0" w:line="118"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As usage of our customer platform grows and as customers use our platform for additional inbound applications, such as sales and services, we will need to devote additional resources to improving our application architecture, integrating with third-party systems and maintaining infrastructure performance. In addition, we will need to appropriately scale our internal business systems and our services organization, including customer support and professional services, to serve our growing customer base, particularly as our customer demographics change over time. Any failure of or delay in these efforts could cause impaired system performance and reduced customer satisfaction. These issues could reduce the attractiveness of our customer platform to customers, resulting in decreased sales to new customers, lower renewal rates by existing customers, the issuance of service credits, or requested refunds, which could impede our revenue growth and harm our reputation. Even if we are able to upgrade our systems and expand our staff, any such expansion will be expensive and complex, requiring management’s time and attention. We could also face inefficiencies or operational failures as a result of our efforts to scale our infrastructure. Moreover, there are inherent risks associated with upgrading, improving and expanding our information technology systems. We cannot be sure that the expansion and improvements to our infrastructure and systems will be fully or effectively implemented on a timely basis, if at all.</w:t>
      </w:r>
    </w:p>
    <w:p>
      <w:pPr>
        <w:spacing w:after="0" w:line="150"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ability to introduce new products and features is dependent on adequate research and development resources. If we do not adequately fund our research and development efforts, we may not be able to compete effectively and our business and operating results may be harmed.</w:t>
      </w:r>
    </w:p>
    <w:p>
      <w:pPr>
        <w:spacing w:after="0" w:line="132" w:lineRule="exact"/>
        <w:rPr>
          <w:sz w:val="20"/>
          <w:szCs w:val="20"/>
          <w:color w:val="auto"/>
        </w:rPr>
      </w:pPr>
    </w:p>
    <w:p>
      <w:pPr>
        <w:ind w:right="120" w:firstLine="749"/>
        <w:spacing w:after="0" w:line="255" w:lineRule="auto"/>
        <w:rPr>
          <w:sz w:val="20"/>
          <w:szCs w:val="20"/>
          <w:color w:val="auto"/>
        </w:rPr>
      </w:pPr>
      <w:r>
        <w:rPr>
          <w:rFonts w:ascii="Times New Roman" w:cs="Times New Roman" w:eastAsia="Times New Roman" w:hAnsi="Times New Roman"/>
          <w:sz w:val="18"/>
          <w:szCs w:val="18"/>
          <w:color w:val="auto"/>
        </w:rPr>
        <w:t>To remain competitive, we must continue to develop new product offerings, applications, features and enhancements to our existing customer platform. Maintaining adequate research and development personnel and resources to meet the demands of the market is essential. If we are unable to develop our platform internally due to certain constraints, such as high employee turnover, lack of management ability or a lack of other research and development resources, we may miss market opportunities. Further, many of our competitors expend a considerably greater amount of funds on their research and development programs, and those that do not may be acquired by larger companies that would allocate greater resources to our competitors’ research and development programs. Our failure to maintain adequate research and development resources or to compete effectively with the research and development programs of our competitors could materially adversely affect our business.</w:t>
      </w:r>
    </w:p>
    <w:p>
      <w:pPr>
        <w:spacing w:after="0" w:line="148" w:lineRule="exact"/>
        <w:rPr>
          <w:sz w:val="20"/>
          <w:szCs w:val="20"/>
          <w:color w:val="auto"/>
        </w:rPr>
      </w:pPr>
    </w:p>
    <w:p>
      <w:pPr>
        <w:ind w:right="120" w:firstLine="749"/>
        <w:spacing w:after="0" w:line="261" w:lineRule="auto"/>
        <w:rPr>
          <w:sz w:val="20"/>
          <w:szCs w:val="20"/>
          <w:color w:val="auto"/>
        </w:rPr>
      </w:pPr>
      <w:r>
        <w:rPr>
          <w:rFonts w:ascii="Times New Roman" w:cs="Times New Roman" w:eastAsia="Times New Roman" w:hAnsi="Times New Roman"/>
          <w:sz w:val="18"/>
          <w:szCs w:val="18"/>
          <w:color w:val="auto"/>
        </w:rPr>
        <w:t>The development of next-generation solutions that utilize new and advanced features, including AI and machine learning, involves making predictions regarding the willingness of the market to adopt such technologies over legacy solutions. The Company may be required to commit significant resources to developing new products, software and services before knowing whether such investment will result in products or services that the market will accept.</w:t>
      </w:r>
    </w:p>
    <w:p>
      <w:pPr>
        <w:spacing w:after="0" w:line="139" w:lineRule="exact"/>
        <w:rPr>
          <w:sz w:val="20"/>
          <w:szCs w:val="20"/>
          <w:color w:val="auto"/>
        </w:rPr>
      </w:pPr>
    </w:p>
    <w:p>
      <w:pPr>
        <w:ind w:right="660" w:firstLine="749"/>
        <w:spacing w:after="0" w:line="282" w:lineRule="auto"/>
        <w:rPr>
          <w:sz w:val="20"/>
          <w:szCs w:val="20"/>
          <w:color w:val="auto"/>
        </w:rPr>
      </w:pPr>
      <w:r>
        <w:rPr>
          <w:rFonts w:ascii="Times New Roman" w:cs="Times New Roman" w:eastAsia="Times New Roman" w:hAnsi="Times New Roman"/>
          <w:sz w:val="18"/>
          <w:szCs w:val="18"/>
          <w:color w:val="auto"/>
        </w:rPr>
        <w:t>The Company’s inability, for technological or other reasons, some of which may be beyond the Company’s control, to enhance, develop, introduce and monetize products and services in a timely manner, or at all, in response to changing market</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7" w:right="339" w:bottom="1440" w:gutter="0" w:footer="0" w:header="0"/>
        </w:sectPr>
      </w:pPr>
    </w:p>
    <w:bookmarkStart w:id="19" w:name="page20"/>
    <w:bookmarkEnd w:id="19"/>
    <w:p>
      <w:pPr>
        <w:ind w:right="60"/>
        <w:spacing w:after="0" w:line="258" w:lineRule="auto"/>
        <w:rPr>
          <w:sz w:val="20"/>
          <w:szCs w:val="20"/>
          <w:color w:val="auto"/>
        </w:rPr>
      </w:pPr>
      <w:r>
        <w:rPr>
          <w:rFonts w:ascii="Times New Roman" w:cs="Times New Roman" w:eastAsia="Times New Roman" w:hAnsi="Times New Roman"/>
          <w:sz w:val="18"/>
          <w:szCs w:val="18"/>
          <w:color w:val="auto"/>
        </w:rPr>
        <w:t>conditions or customer requirements could have a material adverse effect on the Company’s business, results of operations and financial condition or could result in its products and services not achieving market acceptance or becoming obsolete. In addition, if the Company fails to deliver a compelling customer experience or accurately predict emerging technological trends and the changing needs of customers and end users, or if the features of its new products and services do not meet the demands of its customers or are not sufficiently differentiated from those of its competitors, the Company’s business, results of operations and financial condition could be materially harmed.</w:t>
      </w:r>
    </w:p>
    <w:p>
      <w:pPr>
        <w:spacing w:after="0" w:line="156" w:lineRule="exact"/>
        <w:rPr>
          <w:sz w:val="20"/>
          <w:szCs w:val="20"/>
          <w:color w:val="auto"/>
        </w:rPr>
      </w:pPr>
    </w:p>
    <w:p>
      <w:pPr>
        <w:ind w:right="20" w:firstLine="749"/>
        <w:spacing w:after="0" w:line="254" w:lineRule="auto"/>
        <w:rPr>
          <w:sz w:val="20"/>
          <w:szCs w:val="20"/>
          <w:color w:val="auto"/>
        </w:rPr>
      </w:pPr>
      <w:r>
        <w:rPr>
          <w:rFonts w:ascii="Times New Roman" w:cs="Times New Roman" w:eastAsia="Times New Roman" w:hAnsi="Times New Roman"/>
          <w:sz w:val="18"/>
          <w:szCs w:val="18"/>
          <w:color w:val="auto"/>
        </w:rPr>
        <w:t>Uncertainty around new and emerging AI applications such as generative AI content creation may require additional investment in the development of proprietary datasets, machine learning models and systems to test for accuracy, bias and other variables, which are often complex, development of new approaches and processes to provide attribution or remuneration to content creators and building systems that enable creatives to have greater control over the use of their work in the development of AI, which may be costly and could impact our profit margin if we are unable to monetize such assets. In addition, AI technologies, including generative AI, may create content that appears correct but is factually inaccurate or flawed, or contains copyrighted or other protected material, and if our customers or others use this flawed content to their detriment, we may be exposed to brand or reputational harm, competitive harm, and/or legal liability. Developing, testing and deploying AI systems may also increase the cost profile of our offerings due to the nature of the computing costs involved in such systems.</w:t>
      </w:r>
    </w:p>
    <w:p>
      <w:pPr>
        <w:spacing w:after="0" w:line="147"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the sizes or types of businesses that purchase our platform or in the applications within our customer platform purchased or used by our customers could negatively affect our operating results.</w:t>
      </w:r>
    </w:p>
    <w:p>
      <w:pPr>
        <w:spacing w:after="0" w:line="118" w:lineRule="exact"/>
        <w:rPr>
          <w:sz w:val="20"/>
          <w:szCs w:val="20"/>
          <w:color w:val="auto"/>
        </w:rPr>
      </w:pPr>
    </w:p>
    <w:p>
      <w:pPr>
        <w:ind w:right="100" w:firstLine="749"/>
        <w:spacing w:after="0" w:line="256" w:lineRule="auto"/>
        <w:rPr>
          <w:sz w:val="20"/>
          <w:szCs w:val="20"/>
          <w:color w:val="auto"/>
        </w:rPr>
      </w:pPr>
      <w:r>
        <w:rPr>
          <w:rFonts w:ascii="Times New Roman" w:cs="Times New Roman" w:eastAsia="Times New Roman" w:hAnsi="Times New Roman"/>
          <w:sz w:val="18"/>
          <w:szCs w:val="18"/>
          <w:color w:val="auto"/>
        </w:rPr>
        <w:t>Our strategy is to sell subscriptions to our customer platform to mid-sized businesses, but we have sold and will continue to sell to organizations ranging from small businesses to enterprises. Our gross margins can vary depending on numerous factors related to the implementation and use of our customer platform, including the sophistication and intensity of our customers’ use of our platform and the level of professional services and support required by a customer. Sales to enterprise customers may entail longer sales cycles and more significant selling efforts. Selling to small businesses may involve greater credit risk and uncertainty. If there are changes in the mix of businesses that purchase our platform or the mix of the product plans purchased by our customers, our gross margins could decrease and our operating results could be adversely affected.</w:t>
      </w:r>
    </w:p>
    <w:p>
      <w:pPr>
        <w:spacing w:after="0" w:line="210" w:lineRule="exact"/>
        <w:rPr>
          <w:sz w:val="20"/>
          <w:szCs w:val="20"/>
          <w:color w:val="auto"/>
        </w:rPr>
      </w:pPr>
    </w:p>
    <w:p>
      <w:pPr>
        <w:ind w:right="3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have in the past completed acquisitions and may acquire or invest in other companies or technologies in the future, which could divert management’s attention, fail to meet our expectations, result in additional dilution to our stockholders, increase expenses, disrupt our operations or harm our operating results.</w:t>
      </w:r>
    </w:p>
    <w:p>
      <w:pPr>
        <w:spacing w:after="0" w:line="148"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We have in the past acquired, and we may in the future acquire or invest in, businesses, products or technologies that we believe could complement or expand our platform, enhance our technical capabilities or otherwise offer growth opportunities. For example, in December 2023, we acquired Clearbit, a B2B data provider. We may not be able to fully realize the anticipated benefits of historical or any future acquisitions. The pursuit of potential acquisitions may divert the attention of management and cause us to incur various expenses related to identifying, investigating and pursuing suitable acquisitions, whether or not they are consummated.</w:t>
      </w:r>
    </w:p>
    <w:p>
      <w:pPr>
        <w:spacing w:after="0" w:line="143" w:lineRule="exact"/>
        <w:rPr>
          <w:sz w:val="20"/>
          <w:szCs w:val="20"/>
          <w:color w:val="auto"/>
        </w:rPr>
      </w:pPr>
    </w:p>
    <w:p>
      <w:pPr>
        <w:ind w:right="40" w:firstLine="509"/>
        <w:spacing w:after="0" w:line="252" w:lineRule="auto"/>
        <w:rPr>
          <w:sz w:val="20"/>
          <w:szCs w:val="20"/>
          <w:color w:val="auto"/>
        </w:rPr>
      </w:pPr>
      <w:r>
        <w:rPr>
          <w:rFonts w:ascii="Times New Roman" w:cs="Times New Roman" w:eastAsia="Times New Roman" w:hAnsi="Times New Roman"/>
          <w:sz w:val="18"/>
          <w:szCs w:val="18"/>
          <w:color w:val="auto"/>
        </w:rPr>
        <w:t>There are inherent risks in integrating and managing acquisitions. If we acquire additional businesses, we may not be able to assimilate or integrate the acquired personnel, operations and technologies successfully or effectively manage the combined business following the acquisition and our management may be distracted from operating our business. We also may not achieve the anticipated benefits from the acquired business due to a number of factors, including: unanticipated costs or liabilities associated with the acquisition; incurrence of acquisition-related costs, which would be recognized as a current period expense; inability to generate sufficient revenue to offset acquisition or investment costs; the inability to maintain relationships with customers and partners of the acquired business; the difficulty of incorporating acquired technology and rights into our platform and of maintaining quality and security standards consistent with our brand; delays in customer purchases due to uncertainty related to any acquisition; the need to integrate or implement additional controls, procedures and policies; challenges caused by distance, language and cultural differences; harm to our existing business relationships with business partners and customers as a result of the acquisition; the potential loss of key employees; use of resources that are needed in other parts of our business and diversion of management and employee resources; and use of substantial portions of our available cash or the incurrence of debt to consummate the acquisition. Acquisitions also increase the risk of unforeseen legal and compliance liabilities, including for potential violations of applicable law or industry rules and regulations, arising from prior or ongoing acts or omissions by the acquired businesses which are not discovered by due diligence during the acquisition process, i</w:t>
      </w:r>
      <w:r>
        <w:rPr>
          <w:rFonts w:ascii="Times New Roman" w:cs="Times New Roman" w:eastAsia="Times New Roman" w:hAnsi="Times New Roman"/>
          <w:sz w:val="17"/>
          <w:szCs w:val="17"/>
          <w:color w:val="auto"/>
        </w:rPr>
        <w:t>ncluding data handling and privacy violations</w:t>
      </w:r>
      <w:r>
        <w:rPr>
          <w:rFonts w:ascii="Times New Roman" w:cs="Times New Roman" w:eastAsia="Times New Roman" w:hAnsi="Times New Roman"/>
          <w:sz w:val="18"/>
          <w:szCs w:val="18"/>
          <w:color w:val="auto"/>
        </w:rPr>
        <w:t>. Generally, if an acquired business fails to meet our expectations, our operating results, business and financial condition may suffer. Acquisitions could also result in dilutive issuances of equity securities or the incurrence of debt, which could adversely affect our business, results of operations or financial condition.</w:t>
      </w:r>
    </w:p>
    <w:p>
      <w:pPr>
        <w:spacing w:after="0" w:line="155"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In addition, a significant portion of the purchase price of companies we acquire may be allocated to goodwill and other intangible assets, which must be assessed for impairment at least annually. If our acquisitions do not ultimately yield expected returns, we may be required to make charges to our operating results based on our impairment assessment process, which could harm our results of operations.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20" w:name="page21"/>
    <w:bookmarkEnd w:id="20"/>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our long-term growth strategy involves further expansion of our sales to customers outside the United States, our business will be susceptible to risks associated with international operations.</w:t>
      </w:r>
    </w:p>
    <w:p>
      <w:pPr>
        <w:spacing w:after="0" w:line="132"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A component of our growth strategy involves the further expansion of our operations and customer base internationally. We have formed several international entities and may plan to form additional entities in the future. These international operations focus primarily on sales, professional services and support, and select international locations have development teams. Our current international operations and future initiatives will involve a variety of risks, including:</w:t>
      </w:r>
    </w:p>
    <w:p>
      <w:pPr>
        <w:spacing w:after="0" w:line="139" w:lineRule="exact"/>
        <w:rPr>
          <w:sz w:val="20"/>
          <w:szCs w:val="20"/>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maintaining our company culture with a dispersed and distant workforce;</w:t>
      </w:r>
    </w:p>
    <w:p>
      <w:pPr>
        <w:spacing w:after="0" w:line="184"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more stringent regulations relating to data security and the unauthorized use of, or access to, commercial and personal data, particularly in the European Union;</w:t>
      </w:r>
    </w:p>
    <w:p>
      <w:pPr>
        <w:spacing w:after="0" w:line="13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unexpected changes in regulatory requirements, taxes or trade laws;</w:t>
      </w:r>
    </w:p>
    <w:p>
      <w:pPr>
        <w:spacing w:after="0" w:line="184" w:lineRule="exact"/>
        <w:rPr>
          <w:rFonts w:ascii="Times New Roman" w:cs="Times New Roman" w:eastAsia="Times New Roman" w:hAnsi="Times New Roman"/>
          <w:sz w:val="18"/>
          <w:szCs w:val="18"/>
          <w:color w:val="auto"/>
        </w:rPr>
      </w:pPr>
    </w:p>
    <w:p>
      <w:pPr>
        <w:ind w:left="1020" w:right="160" w:hanging="503"/>
        <w:spacing w:after="0" w:line="282"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differing labor regulations, especially in the European Union, where labor laws are generally more advantageous to employees as compared to the United States, including deemed hourly wage and overtime regulations in these locations;</w:t>
      </w:r>
    </w:p>
    <w:p>
      <w:pPr>
        <w:spacing w:after="0" w:line="121" w:lineRule="exact"/>
        <w:rPr>
          <w:rFonts w:ascii="Times New Roman" w:cs="Times New Roman" w:eastAsia="Times New Roman" w:hAnsi="Times New Roman"/>
          <w:sz w:val="18"/>
          <w:szCs w:val="18"/>
          <w:color w:val="auto"/>
        </w:rPr>
      </w:pPr>
    </w:p>
    <w:p>
      <w:pPr>
        <w:ind w:left="1020" w:right="640" w:hanging="503"/>
        <w:spacing w:after="0" w:line="282"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inherent in efficiently managing an increased number of employees over large geographic distances, including the need to implement appropriate systems, policies, benefits and compliance programs;</w:t>
      </w:r>
    </w:p>
    <w:p>
      <w:pPr>
        <w:spacing w:after="0" w:line="134" w:lineRule="exact"/>
        <w:rPr>
          <w:rFonts w:ascii="Times New Roman" w:cs="Times New Roman" w:eastAsia="Times New Roman" w:hAnsi="Times New Roman"/>
          <w:sz w:val="18"/>
          <w:szCs w:val="18"/>
          <w:color w:val="auto"/>
        </w:rPr>
      </w:pPr>
    </w:p>
    <w:p>
      <w:pPr>
        <w:ind w:left="1020" w:right="160" w:hanging="503"/>
        <w:spacing w:after="0" w:line="282"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managing a business in new markets with diverse cultures, languages, customs, legal systems, alternative dispute systems and regulatory systems;</w:t>
      </w:r>
    </w:p>
    <w:p>
      <w:pPr>
        <w:spacing w:after="0" w:line="121" w:lineRule="exact"/>
        <w:rPr>
          <w:rFonts w:ascii="Times New Roman" w:cs="Times New Roman" w:eastAsia="Times New Roman" w:hAnsi="Times New Roman"/>
          <w:sz w:val="18"/>
          <w:szCs w:val="18"/>
          <w:color w:val="auto"/>
        </w:rPr>
      </w:pPr>
    </w:p>
    <w:p>
      <w:pPr>
        <w:ind w:left="1020" w:right="480" w:hanging="503"/>
        <w:spacing w:after="0" w:line="282"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currency exchange rate fluctuations and the resulting effect on our revenue and expenses, and the cost and risk of entering into hedging transactions;</w:t>
      </w:r>
    </w:p>
    <w:p>
      <w:pPr>
        <w:spacing w:after="0" w:line="12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economic uncertainty caused by global political events;</w:t>
      </w:r>
    </w:p>
    <w:p>
      <w:pPr>
        <w:spacing w:after="0" w:line="19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on our ability to reinvest earnings from operations in one country to fund the capital needs of our operations in other countries;</w:t>
      </w:r>
    </w:p>
    <w:p>
      <w:pPr>
        <w:spacing w:after="0" w:line="18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limited or insufficient intellectual property protection;</w:t>
      </w:r>
    </w:p>
    <w:p>
      <w:pPr>
        <w:spacing w:after="0" w:line="184" w:lineRule="exact"/>
        <w:rPr>
          <w:rFonts w:ascii="Times New Roman" w:cs="Times New Roman" w:eastAsia="Times New Roman" w:hAnsi="Times New Roman"/>
          <w:sz w:val="18"/>
          <w:szCs w:val="18"/>
          <w:color w:val="auto"/>
        </w:rPr>
      </w:pPr>
    </w:p>
    <w:p>
      <w:pPr>
        <w:ind w:left="1020" w:right="60" w:hanging="503"/>
        <w:spacing w:after="0" w:line="282"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international disputes, wars (such as the conflict between Russia and Ukraine and the evolving events in Israel and Gaza), political instability or terrorist activities and resulting economic instability;</w:t>
      </w:r>
    </w:p>
    <w:p>
      <w:pPr>
        <w:spacing w:after="0" w:line="134" w:lineRule="exact"/>
        <w:rPr>
          <w:rFonts w:ascii="Times New Roman" w:cs="Times New Roman" w:eastAsia="Times New Roman" w:hAnsi="Times New Roman"/>
          <w:sz w:val="18"/>
          <w:szCs w:val="18"/>
          <w:color w:val="auto"/>
        </w:rPr>
      </w:pPr>
    </w:p>
    <w:p>
      <w:pPr>
        <w:ind w:left="1020" w:right="160" w:hanging="503"/>
        <w:spacing w:after="0" w:line="266"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likelihood of potential or actual violations of domestic and international anticorruption laws, such as the U.S. Foreign Corrupt Practices Act and the U.K. Bribery Act, or of U.S. and international export control and sanctions regulations, which likelihood may increase with an increase of sales or operations in foreign jurisdictions and operations in certain industries; and</w:t>
      </w:r>
    </w:p>
    <w:p>
      <w:pPr>
        <w:spacing w:after="0" w:line="13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tax burdens and foreign exchange controls that could make it difficult to repatriate earnings and cash.</w:t>
      </w:r>
    </w:p>
    <w:p>
      <w:pPr>
        <w:spacing w:after="0" w:line="185"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Our limited experience in operating our business internationally increases the risk that any potential future expansion efforts that we may undertake will not be successful. If in the future, we invest substantial time and resources to expand our international operations and are unable to do so successfully and in a timely manner, our business and operating results will suffer. We continue to implement policies and procedures to facilitate our compliance with U.S. laws and regulations applicable to or arising from our international business. Inadequacies in our past or current compliance practices may increase the risk of inadvertent violations of such laws and regulations, which could lead to financial and other penalties that could damage our reputation and impose costs on us.</w:t>
      </w:r>
    </w:p>
    <w:p>
      <w:pPr>
        <w:spacing w:after="0" w:line="15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i w:val="1"/>
          <w:iCs w:val="1"/>
          <w:color w:val="auto"/>
        </w:rPr>
        <w:t>Social and ethical issues relating to the use of new and evolving technologies, such as AI, in our offerings may result in reputational harm and liability.</w:t>
      </w:r>
    </w:p>
    <w:p>
      <w:pPr>
        <w:spacing w:after="0" w:line="200"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Social and ethical issues relating to the use of new and evolving technologies such as AI in our offerings, may result in reputational harm and liability, and may cause us to incur additional research and development costs to resolve such issues. We are increasingly building AI into many of our offerings, including early-stage generative AI features. As with many innovations, AI presents risks and challenges that could affect its adoption, and therefore our business. If we enable or offer solutions that draw controversy due to their perceived or actual impact on human rights, privacy, employment, or in other social contexts, we may experience brand or reputational harm, competitive harm or legal liability. Potential government regulation related to AI use and ethics</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7" w:right="339" w:bottom="1440" w:gutter="0" w:footer="0" w:header="0"/>
        </w:sectPr>
      </w:pPr>
    </w:p>
    <w:bookmarkStart w:id="21" w:name="page22"/>
    <w:bookmarkEnd w:id="21"/>
    <w:p>
      <w:pPr>
        <w:ind w:right="460"/>
        <w:spacing w:after="0" w:line="261" w:lineRule="auto"/>
        <w:rPr>
          <w:sz w:val="20"/>
          <w:szCs w:val="20"/>
          <w:color w:val="auto"/>
        </w:rPr>
      </w:pPr>
      <w:r>
        <w:rPr>
          <w:rFonts w:ascii="Times New Roman" w:cs="Times New Roman" w:eastAsia="Times New Roman" w:hAnsi="Times New Roman"/>
          <w:sz w:val="18"/>
          <w:szCs w:val="18"/>
          <w:color w:val="auto"/>
        </w:rPr>
        <w:t>may also increase the burden and cost of research and development in this area, and failure to properly remediate AI usage or ethics issues may cause public confidence in AI to be undermined, which could slow adoption of AI in our products and services. The rapid evolution of AI will require the application of resources to develop, test and maintain our products and services to help ensure that AI is implemented ethically in order to minimize unintended, harmful impact.</w:t>
      </w: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Employee Matters</w:t>
      </w:r>
    </w:p>
    <w:p>
      <w:pPr>
        <w:spacing w:after="0" w:line="185"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cannot maintain our company culture as we experience changes in our workforce, we could lose the innovation, teamwork, passion and focus on execution that we believe contribute to our success and our business may be harmed.</w:t>
      </w:r>
    </w:p>
    <w:p>
      <w:pPr>
        <w:spacing w:after="0" w:line="118"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We believe that a critical component to our success has been our company culture, which is based on transparency and personal autonomy. We have invested substantial time and resources in building our team within this company culture. In 2020, we made the decision to permanently move to a hybrid workplace model, which means our employees have the option to be fully remote, work full-time from one of our offices, or work both in the office and remotely. Preservation of our corporate culture has been made more difficult as the majority of our workforce has been working from home. Any failure to preserve our culture could negatively affect our ability to retain and recruit personnel and to effectively focus on and pursue our corporate objectives. As we grow and continue to develop our company infrastructure, and experience organizational change, we may find it difficult to maintain these important aspects of our company culture and our business may be adversely impacted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rely on our management team and other key employees, and the loss of one or more key employees could harm our business.</w:t>
      </w:r>
    </w:p>
    <w:p>
      <w:pPr>
        <w:spacing w:after="0" w:line="189"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Our success and future growth depend upon the continued services of our management team, including our co-founders, Brian Halligan and Dharmesh Shah, our chief executive officer, Yamini Rangan, and other key employees in the areas of research and development, marketing, sales, services, operations, content management, and general and administrative functions. From time to time, there may be changes in our management team resulting from the hiring or departure of executives, which could disrupt our business. We also are dependent on the continued service of our existing software engineers and information technology personnel because of the complexity of our platform, technologies and infrastructure. We may terminate any employee’s employment at any time, with or without cause, and any employee may resign at any time, with or without cause. We do not have employment agreements with any of our key personnel. The loss of one or more of our key employees could harm our business.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failure to attract and retain additional qualified personnel could prevent us from executing our business strategy.</w:t>
      </w:r>
    </w:p>
    <w:p>
      <w:pPr>
        <w:spacing w:after="0" w:line="202"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To execute our business strategy, we must attract and retain highly qualified personnel. In particular, we compete with many other companies for software developers with high levels of experience in designing, developing and managing cloud-based software, as well as for skilled information technology, marketing, sales and operations professionals, and we may not be successful in attracting and retaining the professionals we need. Also, inbound sales, marketing, services, operations, and content management domain experts are very important to our success and are difficult to replace. We have from time to time in the past experienced, and we expect to continue to experience in the future, difficulty in hiring and difficulty in retaining highly skilled employees with appropriate qualifications. In particular, we have experienced a competitive hiring environment in the Greater Boston area, where we are headquartered and will continue to experience a competitive hiring environment as we recruit for remote talent worldwide. Many of the companies with which we compete for experienced personnel have greater resources than we do. The change by companies to offer a remote or hybrid work environment may increase the competition for such employees from employers outside of our traditional office locations. In addition, if we choose to no longer offer a remote or hybrid work environment, we may face more difficulty in retaining our workforce. Further, labor is subject to external factors that are beyond our control, including our industry’s highly competitive market for skilled workers and leaders, cost inflation, and workforce participation rates. In addition, if our reputation were to be harmed, whether as a result of media, legislative, or regulatory scrutiny or otherwise, it could make it more difficult to attract and retain personnel that are critical to the success of our business.</w:t>
      </w:r>
    </w:p>
    <w:p>
      <w:pPr>
        <w:spacing w:after="0" w:line="147" w:lineRule="exact"/>
        <w:rPr>
          <w:sz w:val="20"/>
          <w:szCs w:val="20"/>
          <w:color w:val="auto"/>
        </w:rPr>
      </w:pPr>
    </w:p>
    <w:p>
      <w:pPr>
        <w:jc w:val="both"/>
        <w:ind w:right="40" w:firstLine="509"/>
        <w:spacing w:after="0" w:line="261" w:lineRule="auto"/>
        <w:rPr>
          <w:sz w:val="20"/>
          <w:szCs w:val="20"/>
          <w:color w:val="auto"/>
        </w:rPr>
      </w:pPr>
      <w:r>
        <w:rPr>
          <w:rFonts w:ascii="Times New Roman" w:cs="Times New Roman" w:eastAsia="Times New Roman" w:hAnsi="Times New Roman"/>
          <w:sz w:val="18"/>
          <w:szCs w:val="18"/>
          <w:color w:val="auto"/>
        </w:rPr>
        <w:t>In addition, in making employment decisions, particularly in the software industry, job candidates often consider the value of equity incentives they are to receive in connection with their employment. If the price of our stock declines, or experiences significant volatility, our ability to attract or retain key employees will be adversely affected. If we fail to attract new personnel or fail to retain and motivate our current personnel, our growth prospects could be severely harmed.</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Global Economic Conditions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exposed to fluctuations in currency exchange rates that could adversely affect our financial results.</w:t>
      </w:r>
    </w:p>
    <w:p>
      <w:pPr>
        <w:spacing w:after="0" w:line="22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61" w:right="359" w:bottom="1440" w:gutter="0" w:footer="0" w:header="0"/>
        </w:sectPr>
      </w:pPr>
    </w:p>
    <w:bookmarkStart w:id="22" w:name="page23"/>
    <w:bookmarkEnd w:id="22"/>
    <w:p>
      <w:pPr>
        <w:ind w:right="100" w:firstLine="623"/>
        <w:spacing w:after="0" w:line="252" w:lineRule="auto"/>
        <w:rPr>
          <w:sz w:val="20"/>
          <w:szCs w:val="20"/>
          <w:color w:val="auto"/>
        </w:rPr>
      </w:pPr>
      <w:r>
        <w:rPr>
          <w:rFonts w:ascii="Times New Roman" w:cs="Times New Roman" w:eastAsia="Times New Roman" w:hAnsi="Times New Roman"/>
          <w:sz w:val="18"/>
          <w:szCs w:val="18"/>
          <w:color w:val="auto"/>
        </w:rPr>
        <w:t>We face exposure to movements in currency exchange rates, which may cause our revenue and operating results to differ materially from expectations. As we have expanded our international operations, our exposure to exchange rate fluctuations has increased, in particular with respect to the Euro, British Pound Sterling, Australian Dollar, Singapore Dollar, Japanese Yen, Colombian Peso, and Canadian Dollar. Fluctuations in the value of the U.S. dollar versus foreign currencies may impact our operating results when translated into U.S. dollars. Thus, our results of operations and cash flows are subject to fluctuations due to changes in foreign currency exchange rates and may be adversely affected in the future due to changes in foreign currency exchange rates. As exchange rates vary, revenue, cost of revenue, operating expenses and other operating results, when re-measured, may differ materially from expectations. In addition, our operating results are subject to fluctuation if our mix of U.S. and foreign currency denominated transactions and expenses changes in the future. Our Board recently approved a hedging program intended to allow us to mitigate foreign exchange impacts, such as exposure to currency exchange rates in connection with significant transactions denominated in currencies other than the U.S. dollar, by entering into derivatives transactions such as foreign exchange forwards. Once implemented, there can be no guarantee or assurance that such hedging program (or any other strategies we implement in the future to mitigate foreign currency risk) and the strategies we would employ pursuant thereto would be effective to reduce or eliminate our exposure to foreign exchange rate fluctuations to the extent we anticipate, or at all. Additionally, as we anticipate growing our business further outside of the United States, the effects of movements in currency exchange rates will increase as our transaction volume outside of the United States increases.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Weakened global economic conditions may harm our industry, business and results of operations.</w:t>
      </w:r>
    </w:p>
    <w:p>
      <w:pPr>
        <w:spacing w:after="0" w:line="189" w:lineRule="exact"/>
        <w:rPr>
          <w:sz w:val="20"/>
          <w:szCs w:val="20"/>
          <w:color w:val="auto"/>
        </w:rPr>
      </w:pPr>
    </w:p>
    <w:p>
      <w:pPr>
        <w:ind w:firstLine="578"/>
        <w:spacing w:after="0" w:line="253" w:lineRule="auto"/>
        <w:rPr>
          <w:sz w:val="20"/>
          <w:szCs w:val="20"/>
          <w:color w:val="auto"/>
        </w:rPr>
      </w:pPr>
      <w:r>
        <w:rPr>
          <w:rFonts w:ascii="Times New Roman" w:cs="Times New Roman" w:eastAsia="Times New Roman" w:hAnsi="Times New Roman"/>
          <w:sz w:val="18"/>
          <w:szCs w:val="18"/>
          <w:color w:val="auto"/>
        </w:rPr>
        <w:t>Our overall performance depends in part on worldwide economic conditions. Global financial developments and downturns seemingly unrelated to us or the software industry may harm us. The United States and other key international economies have been affected from time to time by falling demand for a variety of goods and services, restricted credit, poor liquidity, reduced corporate profitability, volatility in credit, equity and foreign exchange markets, volatility in the banking sector, changes in the labor market, supply chain disruptions, bankruptcies, inflation and overall uncertainty with respect to the economy, including with respect to tariff and trade issues. Moreover, a potential U.S. federal government shutdown resulting from budgetary decisions, a prolonged continuing resolution, breach of the federal debt ceiling, or a potential U.S. sovereign default and the uncertainty surrounding the 2024 U.S. Presidential Election may increase uncertainty and volatility in the global economy and financial markets. Weak economic conditions or significant uncertainty regarding the stability of financial markets related to stock market volatility, inflation, recession, changes in tariffs, trade agreements or governmental fiscal, monetary and tax policies, among others, could adversely impact our business, financial condition and operating results. Further, weak market conditions have, and could in the future result in, impairment of our investments and long-lived assets.</w:t>
      </w:r>
    </w:p>
    <w:p>
      <w:pPr>
        <w:spacing w:after="0" w:line="154" w:lineRule="exact"/>
        <w:rPr>
          <w:sz w:val="20"/>
          <w:szCs w:val="20"/>
          <w:color w:val="auto"/>
        </w:rPr>
      </w:pPr>
    </w:p>
    <w:p>
      <w:pPr>
        <w:ind w:right="120" w:firstLine="578"/>
        <w:spacing w:after="0" w:line="254" w:lineRule="auto"/>
        <w:rPr>
          <w:sz w:val="20"/>
          <w:szCs w:val="20"/>
          <w:color w:val="auto"/>
        </w:rPr>
      </w:pPr>
      <w:r>
        <w:rPr>
          <w:rFonts w:ascii="Times New Roman" w:cs="Times New Roman" w:eastAsia="Times New Roman" w:hAnsi="Times New Roman"/>
          <w:sz w:val="18"/>
          <w:szCs w:val="18"/>
          <w:color w:val="auto"/>
        </w:rPr>
        <w:t>Further, the economies of countries in Europe have been experiencing weakness associated with high sovereign debt levels, weakness in the banking sector, uncertainty over the future of the Euro zone and volatility in the value of the pound sterling and the Euro and instability resulting from the ongoing conflict between Russia and Ukraine. The effect of the conflict between Russia and Ukraine, including any resulting sanctions, export controls or other restrictive actions that may be imposed against governmental or other entities in, for example, Russia, have in the past contributed and may in the future contribute to disruption, instability and volatility in the global markets. We have operations, as well as current and potential new customers, throughout Europe. If economic conditions in Europe and other key markets for our platform continue to remain uncertain or deteriorate further, it could adversely affect our customers’ ability or willingness to subscribe to our platform, delay prospective customers’ purchasing decisions, reduce the value or duration of their subscriptions or affect renewal rates, all of which could harm our operating results.</w:t>
      </w:r>
    </w:p>
    <w:p>
      <w:pPr>
        <w:spacing w:after="0" w:line="165" w:lineRule="exact"/>
        <w:rPr>
          <w:sz w:val="20"/>
          <w:szCs w:val="20"/>
          <w:color w:val="auto"/>
        </w:rPr>
      </w:pPr>
    </w:p>
    <w:p>
      <w:pPr>
        <w:ind w:right="20" w:firstLine="578"/>
        <w:spacing w:after="0" w:line="253" w:lineRule="auto"/>
        <w:rPr>
          <w:sz w:val="20"/>
          <w:szCs w:val="20"/>
          <w:color w:val="auto"/>
        </w:rPr>
      </w:pPr>
      <w:r>
        <w:rPr>
          <w:rFonts w:ascii="Times New Roman" w:cs="Times New Roman" w:eastAsia="Times New Roman" w:hAnsi="Times New Roman"/>
          <w:sz w:val="18"/>
          <w:szCs w:val="18"/>
          <w:color w:val="auto"/>
        </w:rPr>
        <w:t>More recently, global inflation rates have increased to levels not seen in several decades, which may result in decreased demand for our products and services, increases in our operating costs, including our labor costs, constrained credit and liquidity, reduced government spending and volatility in financial markets. The Federal Reserve and other international government agencies have raised, and may again raise, interest rates in response to concerns over inflation risk. Increases in interest rates on credit and debt that would increase the cost of any borrowing that we may make from time to time and could impact our ability to access the capital markets. Increases in interest rates, especially if coupled with reduced government spending and volatility in financial markets, may have the effect of further increasing economic uncertainty and heightening these risks. In an inflationary environment, we may be unable to raise the sales prices of our products and services at or above the rate at which our costs increase, which could/would reduce our profit margins and have a material adverse effect on our financial results and net income. We also may experience lower than expected sales and potential adverse impacts on our competitive position if there is a decrease in consumer spending or a negative reaction to our pricing. A reduction in our revenue would be detrimental to our profitability and financial condition and could also have an adverse impact on our future growth.</w:t>
      </w:r>
    </w:p>
    <w:p>
      <w:pPr>
        <w:spacing w:after="0" w:line="154" w:lineRule="exact"/>
        <w:rPr>
          <w:sz w:val="20"/>
          <w:szCs w:val="20"/>
          <w:color w:val="auto"/>
        </w:rPr>
      </w:pPr>
    </w:p>
    <w:p>
      <w:pPr>
        <w:ind w:firstLine="578"/>
        <w:spacing w:after="0" w:line="261" w:lineRule="auto"/>
        <w:rPr>
          <w:sz w:val="20"/>
          <w:szCs w:val="20"/>
          <w:color w:val="auto"/>
        </w:rPr>
      </w:pPr>
      <w:r>
        <w:rPr>
          <w:rFonts w:ascii="Times New Roman" w:cs="Times New Roman" w:eastAsia="Times New Roman" w:hAnsi="Times New Roman"/>
          <w:sz w:val="18"/>
          <w:szCs w:val="18"/>
          <w:color w:val="auto"/>
        </w:rPr>
        <w:t>There continues to be uncertainty in the changing market and economic conditions, including the possibility of additional measures that could be taken by the Federal Reserve and other domestic and international government agencies, related to concerns over inflation risk. A sharp rise in interest rates could have an adverse impact on the fair market value of certain securities in our portfolio and investments in some financial instruments could pose risks arising from market liquidity and credit concerns, which could adversely affect our financial results.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61" w:right="359" w:bottom="1440" w:gutter="0" w:footer="0" w:header="0"/>
        </w:sectPr>
      </w:pPr>
    </w:p>
    <w:bookmarkStart w:id="23" w:name="page24"/>
    <w:bookmarkEnd w:id="23"/>
    <w:p>
      <w:pPr>
        <w:ind w:right="7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current economic downturn may lead to decreased demand for our products and services and otherwise harm our business and results of operations.</w:t>
      </w:r>
    </w:p>
    <w:p>
      <w:pPr>
        <w:spacing w:after="0" w:line="132" w:lineRule="exact"/>
        <w:rPr>
          <w:sz w:val="20"/>
          <w:szCs w:val="20"/>
          <w:color w:val="auto"/>
        </w:rPr>
      </w:pPr>
    </w:p>
    <w:p>
      <w:pPr>
        <w:ind w:right="20" w:firstLine="578"/>
        <w:spacing w:after="0" w:line="282" w:lineRule="auto"/>
        <w:rPr>
          <w:sz w:val="20"/>
          <w:szCs w:val="20"/>
          <w:color w:val="auto"/>
        </w:rPr>
      </w:pPr>
      <w:r>
        <w:rPr>
          <w:rFonts w:ascii="Times New Roman" w:cs="Times New Roman" w:eastAsia="Times New Roman" w:hAnsi="Times New Roman"/>
          <w:sz w:val="18"/>
          <w:szCs w:val="18"/>
          <w:color w:val="auto"/>
        </w:rPr>
        <w:t>Our overall performance depends, in part, on worldwide economic conditions. In recent months, we have observed increased economic uncertainty in the United States and abroad. Impacts of such economic weakness include:</w:t>
      </w:r>
    </w:p>
    <w:p>
      <w:pPr>
        <w:spacing w:after="0" w:line="121" w:lineRule="exact"/>
        <w:rPr>
          <w:sz w:val="20"/>
          <w:szCs w:val="20"/>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falling overall demand for goods and services, leading to reduced profitability;</w:t>
      </w:r>
    </w:p>
    <w:p>
      <w:pPr>
        <w:spacing w:after="0" w:line="18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credit availability;</w:t>
      </w:r>
    </w:p>
    <w:p>
      <w:pPr>
        <w:spacing w:after="0" w:line="19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borrowing costs;</w:t>
      </w:r>
    </w:p>
    <w:p>
      <w:pPr>
        <w:spacing w:after="0" w:line="18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liquidity;</w:t>
      </w:r>
    </w:p>
    <w:p>
      <w:pPr>
        <w:spacing w:after="0" w:line="18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labor market;</w:t>
      </w:r>
    </w:p>
    <w:p>
      <w:pPr>
        <w:spacing w:after="0" w:line="19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supply chain disruptions;</w:t>
      </w:r>
    </w:p>
    <w:p>
      <w:pPr>
        <w:spacing w:after="0" w:line="18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in credit, equity and foreign exchange markets; and</w:t>
      </w:r>
    </w:p>
    <w:p>
      <w:pPr>
        <w:spacing w:after="0" w:line="18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bankruptcies.</w:t>
      </w:r>
    </w:p>
    <w:p>
      <w:pPr>
        <w:spacing w:after="0" w:line="198" w:lineRule="exact"/>
        <w:rPr>
          <w:sz w:val="20"/>
          <w:szCs w:val="20"/>
          <w:color w:val="auto"/>
        </w:rPr>
      </w:pPr>
    </w:p>
    <w:p>
      <w:pPr>
        <w:ind w:firstLine="578"/>
        <w:spacing w:after="0" w:line="258" w:lineRule="auto"/>
        <w:rPr>
          <w:sz w:val="20"/>
          <w:szCs w:val="20"/>
          <w:color w:val="auto"/>
        </w:rPr>
      </w:pPr>
      <w:r>
        <w:rPr>
          <w:rFonts w:ascii="Times New Roman" w:cs="Times New Roman" w:eastAsia="Times New Roman" w:hAnsi="Times New Roman"/>
          <w:sz w:val="18"/>
          <w:szCs w:val="18"/>
          <w:color w:val="auto"/>
        </w:rPr>
        <w:t>These developments could lead to inflation, higher interest rates, and uncertainty about business continuity, which may adversely affect our business and our results of operations. As our customers react to global economic conditions and the potential for a global recession, we may see them reduce spending on our products and take additional precautionary measures to limit or delay expenditures and preserve capital and liquidity. Reductions in spending on our solutions, delays in purchasing decisions, lack of renewals, inability to attract new customers, as well as pressure for extended billing terms or pricing discounts, would limit our ability to grow our business and could negatively affect our operating results and financial condition.</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Technical Operations Infrastructure and Dependence on Third Parties</w:t>
      </w:r>
    </w:p>
    <w:p>
      <w:pPr>
        <w:spacing w:after="0" w:line="185"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Interruptions or delays in service from our third-party data center providers could impair our ability to deliver our platform to our customers, resulting in customer dissatisfaction, damage to our reputation, loss of customers, limited growth and reduction in revenue.</w:t>
      </w:r>
    </w:p>
    <w:p>
      <w:pPr>
        <w:spacing w:after="0" w:line="132"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We currently serve the majority of our platform functions from third-party data center hosting facilities operated by Amazon Web Services in the United States and Europe. We also have several colocations which host certain critical services (for example, VPN access) in various locations around the world. In addition, we use Cloudflare Global CDN to optimize content delivery across our locations.</w:t>
      </w:r>
    </w:p>
    <w:p>
      <w:pPr>
        <w:spacing w:after="0" w:line="135"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Any damage to, or failure of, the systems of our third-party providers could result in interruptions to our platform. Despite precautions taken at our data centers, the occurrence of spikes in usage volume, a natural disaster, such as earthquakes or hurricane, an act of terrorism, geopolitical conflict, vandalism or sabotage, a disruptive cyber attack, a decision to close a facility without adequate notice, power or telecommunications failures or other unanticipated problems at a facility could result in lengthy interruptions in the availability of our on-demand software. In the event that any of our third-party facilities arrangements is terminated, or if there is a lapse of service or damage to a facility, we could experience interruptions in our platform as well as delays and additional expenses in arranging new facilities and services. Even with current and planned disaster recovery arrangements, our business could be harmed. Also, in the event of damage or interruption, our insurance policies may not adequately compensate us for any losses that we may incur. These factors in turn could further reduce our revenue, subject us to liability and cause us to issue credits or cause customers to fail to renew their subscriptions, any of which could materially adversely affect our business.</w:t>
      </w:r>
    </w:p>
    <w:p>
      <w:pPr>
        <w:spacing w:after="0" w:line="144"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customer platform has outages or fails due to defects or similar problems, and if we fail to correct any defect or other software problems, we could lose customers, become subject to service performance or warranty claims or incur significant costs.</w:t>
      </w:r>
    </w:p>
    <w:p>
      <w:pPr>
        <w:spacing w:after="0" w:line="132" w:lineRule="exact"/>
        <w:rPr>
          <w:sz w:val="20"/>
          <w:szCs w:val="20"/>
          <w:color w:val="auto"/>
        </w:rPr>
      </w:pPr>
    </w:p>
    <w:p>
      <w:pPr>
        <w:ind w:right="40" w:firstLine="578"/>
        <w:spacing w:after="0" w:line="256" w:lineRule="auto"/>
        <w:rPr>
          <w:sz w:val="20"/>
          <w:szCs w:val="20"/>
          <w:color w:val="auto"/>
        </w:rPr>
      </w:pPr>
      <w:r>
        <w:rPr>
          <w:rFonts w:ascii="Times New Roman" w:cs="Times New Roman" w:eastAsia="Times New Roman" w:hAnsi="Times New Roman"/>
          <w:sz w:val="18"/>
          <w:szCs w:val="18"/>
          <w:color w:val="auto"/>
        </w:rPr>
        <w:t>Our customer platform and its underlying infrastructure are inherently complex and may contain material defects or errors. We release modifications, updates, bug fixes and other changes to our software several times per day, without traditional human-performed quality control reviews for each release. We have from time to time found defects in our software and may discover additional defects in the future. We may not be able to detect and correct defects or errors before customers begin to use our platform or its applications. Consequently, we or our customers may discover defects or errors after our platform has been implemented. Defects or errors could result in product outages and could also cause inaccuracies in the data we collect and process for our</w:t>
      </w:r>
    </w:p>
    <w:p>
      <w:pPr>
        <w:spacing w:after="0" w:line="1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57" w:right="379" w:bottom="1440" w:gutter="0" w:footer="0" w:header="0"/>
        </w:sectPr>
      </w:pPr>
    </w:p>
    <w:bookmarkStart w:id="24" w:name="page25"/>
    <w:bookmarkEnd w:id="24"/>
    <w:p>
      <w:pPr>
        <w:ind w:right="80"/>
        <w:spacing w:after="0" w:line="255" w:lineRule="auto"/>
        <w:rPr>
          <w:sz w:val="20"/>
          <w:szCs w:val="20"/>
          <w:color w:val="auto"/>
        </w:rPr>
      </w:pPr>
      <w:r>
        <w:rPr>
          <w:rFonts w:ascii="Times New Roman" w:cs="Times New Roman" w:eastAsia="Times New Roman" w:hAnsi="Times New Roman"/>
          <w:sz w:val="18"/>
          <w:szCs w:val="18"/>
          <w:color w:val="auto"/>
        </w:rPr>
        <w:t>customers, or even the loss, damage or inadvertent release of such confidential data. We implement bug fixes and upgrades as part of our regular system maintenance, which may lead to system downtime. Even if we are able to implement the bug fixes and upgrades in a timely manner, any history of product outages, defects or inaccuracies in the data we collect for our customers, or the loss, damage or inadvertent release of confidential data could cause our reputation to be harmed, and customers may elect not to purchase or renew their agreements with us. Furthermore, these issues could subject us to service performance credits (whether offered by us or required by contract), warranty claims or increased insurance costs. The costs associated with product outages, any material defects or errors in our platform or other performance problems may be substantial and could materially adversely affect our operating results.</w:t>
      </w:r>
    </w:p>
    <w:p>
      <w:pPr>
        <w:spacing w:after="0" w:line="162" w:lineRule="exact"/>
        <w:rPr>
          <w:sz w:val="20"/>
          <w:szCs w:val="20"/>
          <w:color w:val="auto"/>
        </w:rPr>
      </w:pPr>
    </w:p>
    <w:p>
      <w:pPr>
        <w:ind w:right="100" w:firstLine="578"/>
        <w:spacing w:after="0" w:line="261" w:lineRule="auto"/>
        <w:rPr>
          <w:sz w:val="20"/>
          <w:szCs w:val="20"/>
          <w:color w:val="auto"/>
        </w:rPr>
      </w:pPr>
      <w:r>
        <w:rPr>
          <w:rFonts w:ascii="Times New Roman" w:cs="Times New Roman" w:eastAsia="Times New Roman" w:hAnsi="Times New Roman"/>
          <w:sz w:val="18"/>
          <w:szCs w:val="18"/>
          <w:color w:val="auto"/>
        </w:rPr>
        <w:t>In addition, third-party applications and features on our customer platform may not meet the same quality standards that we apply to our own development efforts and, to the extent they contain bugs, vulnerabilities or defects, they may create disruptions in our customers’ use of our products, lead to data loss, unauthorized access to customer data, damage our brand and reputation and affect the continued use of our products, any of which could harm our business, results of operations and financial condition.</w:t>
      </w:r>
    </w:p>
    <w:p>
      <w:pPr>
        <w:spacing w:after="0" w:line="135"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our information technology systems, including our customer platform, have outages or fail due to defects or similar problems, and if we fail to correct any defect or other software problems, it could disrupt our internal operations or services provided to customers, and could reduce our revenue, increase our expenses, damage our reputation and adversely affect our cash flows and stock price.</w:t>
      </w:r>
    </w:p>
    <w:p>
      <w:pPr>
        <w:spacing w:after="0" w:line="134" w:lineRule="exact"/>
        <w:rPr>
          <w:sz w:val="20"/>
          <w:szCs w:val="20"/>
          <w:color w:val="auto"/>
        </w:rPr>
      </w:pPr>
    </w:p>
    <w:p>
      <w:pPr>
        <w:ind w:right="140" w:firstLine="578"/>
        <w:spacing w:after="0" w:line="261" w:lineRule="auto"/>
        <w:rPr>
          <w:sz w:val="20"/>
          <w:szCs w:val="20"/>
          <w:color w:val="auto"/>
        </w:rPr>
      </w:pPr>
      <w:r>
        <w:rPr>
          <w:rFonts w:ascii="Times New Roman" w:cs="Times New Roman" w:eastAsia="Times New Roman" w:hAnsi="Times New Roman"/>
          <w:sz w:val="18"/>
          <w:szCs w:val="18"/>
          <w:color w:val="auto"/>
        </w:rPr>
        <w:t>We rely on our information technology systems, including the sustained and uninterrupted performance of our customer platform, to manage numerous aspects of our business, including marketing, sales, content management, customer service and other internal operations. Our information technology systems are an essential component of our business and any disruption could significantly limit our ability to manage and operate our business efficiently.</w:t>
      </w:r>
    </w:p>
    <w:p>
      <w:pPr>
        <w:spacing w:after="0" w:line="153" w:lineRule="exact"/>
        <w:rPr>
          <w:sz w:val="20"/>
          <w:szCs w:val="20"/>
          <w:color w:val="auto"/>
        </w:rPr>
      </w:pPr>
    </w:p>
    <w:p>
      <w:pPr>
        <w:ind w:right="80" w:firstLine="578"/>
        <w:spacing w:after="0" w:line="254" w:lineRule="auto"/>
        <w:rPr>
          <w:sz w:val="20"/>
          <w:szCs w:val="20"/>
          <w:color w:val="auto"/>
        </w:rPr>
      </w:pPr>
      <w:r>
        <w:rPr>
          <w:rFonts w:ascii="Times New Roman" w:cs="Times New Roman" w:eastAsia="Times New Roman" w:hAnsi="Times New Roman"/>
          <w:sz w:val="18"/>
          <w:szCs w:val="18"/>
          <w:color w:val="auto"/>
        </w:rPr>
        <w:t>Our customer platform and its underlying infrastructure are inherently complex and may contain material defects or errors. We release modifications, updates, bug fixes and other changes to our software several times per day, without traditional human-performed quality control reviews for each release. While we seek to implement secure development practices, we cannot eliminate the risk that our applications may have vulnerabilities. We have from time to time found defects in our software and may discover in the future additional defects, outages, delays or cessations of service, performance and quality problems or may produce errors in connection with systems integrations, migration work or other causes, which could result in business disruptions and the process of remediating them could be more expensive, time-consuming, disruptive and resource intensive than planned. Such disruptions could adversely impact our internal operations and interrupt other processes. Delayed sales, lower margins or lost customers resulting from these disruptions could reduce our revenue, increase our expenses, damage our reputation and adversely affect our cash flows and stock price.</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dependent on the continued availability of third-party data hosting and transmission services.</w:t>
      </w:r>
    </w:p>
    <w:p>
      <w:pPr>
        <w:spacing w:after="0" w:line="189"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A significant portion of our operating cost is from our third-party data hosting and transmission services, including Amazon Web Services (“AWS”), which hosts the substantial majority of our products and platform. If the costs for such services increase due to vendor consolidation, regulation, contract renegotiation, or otherwise, we may not be able to increase the fees for our customer platform or services to cover the changes, which could have a negative impact on our operating results.</w:t>
      </w:r>
    </w:p>
    <w:p>
      <w:pPr>
        <w:spacing w:after="0" w:line="153"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Additionally, our customers need to be able to access our platform at any time, without interruption or degradation of performance. AWS runs its own platform that we access, and we are, therefore, vulnerable to service interruptions at AWS. We have experienced, and expect that in the future we may experience interruptions, delays and outages in service and availability due to a variety of factors, including infrastructure changes, human or software errors, website hosting disruptions and capacity constraints. In some instances, including because we do not control our service providers, we may not be able to identify the cause or causes of these problems within a period of time acceptable to our customers. Additionally, as our business continues to grow, to the extent that we do not effectively address capacity constraints, through our providers of cloud infrastructure, our results of operations may be adversely affected. In addition, any changes in service levels from our service providers may adversely affect our ability to meet our customers’ requirements, result in negative publicity which could harm our reputation and brand and may adversely affect the usage of our platform.</w:t>
      </w:r>
    </w:p>
    <w:p>
      <w:pPr>
        <w:spacing w:after="0" w:line="147"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do not or cannot maintain the compatibility of our customer platform with third-party applications that our customers use in their businesses, our revenue will decline.</w:t>
      </w:r>
    </w:p>
    <w:p>
      <w:pPr>
        <w:spacing w:after="0" w:line="118"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A significant percentage of our customers choose to integrate our platform with certain capabilities provided by third-party application providers using application programming interfaces (“APIs”) published by these providers. The functionality and popularity of our customer platform depends, in part, on our ability to integrate our platform with third-party applications and platforms, including CRM, CMS, e-commerce, call center, analytics and social media sites that our customers use and from which they obtain data. Third-party providers of applications and APIs may change the features of their applications and platforms, restrict</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25" w:name="page26"/>
    <w:bookmarkEnd w:id="25"/>
    <w:p>
      <w:pPr>
        <w:ind w:right="40"/>
        <w:spacing w:after="0" w:line="256" w:lineRule="auto"/>
        <w:rPr>
          <w:sz w:val="20"/>
          <w:szCs w:val="20"/>
          <w:color w:val="auto"/>
        </w:rPr>
      </w:pPr>
      <w:r>
        <w:rPr>
          <w:rFonts w:ascii="Times New Roman" w:cs="Times New Roman" w:eastAsia="Times New Roman" w:hAnsi="Times New Roman"/>
          <w:sz w:val="18"/>
          <w:szCs w:val="18"/>
          <w:color w:val="auto"/>
        </w:rPr>
        <w:t>our access to their applications and platforms, or alter the terms governing use of their applications and APIs and access to those applications and platforms in an adverse manner. Such changes could functionally limit or terminate our ability to use these third-party applications and platforms in conjunction with our platform, which could negatively impact our offerings and harm our business. If we fail to integrate our platform with new third-party applications and platforms that our customers use for marketing, sales, services, operations, commerce, or content management purposes, or fail to renew existing relationships pursuant to which we currently provide such integration, we may not be able to offer the functionality that our customers need, which would negatively impact our ability to generate new revenue or maintain existing revenue and adversely impact our business.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rely on data provided by third parties, the loss of which could limit the functionality of our platform and disrupt our business.</w:t>
      </w:r>
    </w:p>
    <w:p>
      <w:pPr>
        <w:spacing w:after="0" w:line="189"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Select functionality of our customer platform depends on our ability to deliver data, including search engine results and social media updates, provided by unaffiliated third parties, such as Facebook, Google, LinkedIn and Twitter. Some of this data is provided to us pursuant to third-party data sharing policies and terms of use, under data sharing agreements by third-party providers or by customer consent. In the future, any of these third parties could change its data sharing policies, including making them more restrictive, or alter its algorithms that determine the placement, display, and accessibility of search results and social media updates, any of which could result in the loss of, or significant impairment to, our ability to collect and provide useful data to our customers. These third parties could also interpret our, or our service providers’ data collection policies or practices as being inconsistent with their policies, which could result in the loss of our ability to collect this data for our customers. Any such changes could impair our ability to deliver data to our customers and could adversely impact select functionality of our platform, impairing the return on investment that our customers derive from using our solution, as well as adversely affecting our business and our ability to generate revenue.</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Privacy concerns and end users’ acceptance of Internet behavior tracking may limit the applicability, use and adoption of our customer platform.</w:t>
      </w:r>
    </w:p>
    <w:p>
      <w:pPr>
        <w:spacing w:after="0" w:line="202"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Privacy concerns may cause end users to resist providing the personal data necessary to allow our customers to use our platform effectively. We have implemented various features intended to enable our customers to better protect end user privacy, but these measures may not alleviate all potential privacy concerns and threats. Even the perception of privacy concerns, whether or not valid, may inhibit market adoption of our platform. Privacy advocacy groups and the technology and other industries are considering various new, additional or different self-regulatory standards that may place additional burdens on us. The costs of compliance with, and other burdens imposed by these groups’ policies and actions may limit the use and adoption of our customer platform and reduce overall demand for it, or lead to significant fines, penalties or liabilities for any noncompliance or loss of any such action.</w:t>
      </w:r>
    </w:p>
    <w:p>
      <w:pPr>
        <w:spacing w:after="0" w:line="143" w:lineRule="exact"/>
        <w:rPr>
          <w:sz w:val="20"/>
          <w:szCs w:val="20"/>
          <w:color w:val="auto"/>
        </w:rPr>
      </w:pPr>
    </w:p>
    <w:p>
      <w:pPr>
        <w:ind w:right="1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our or our customers’ security measures are compromised or unauthorized access to data of our customers or their customers is otherwise obtained, our customer platform may be perceived as not being secure, our customers may be harmed and may curtail or cease their use of our platform, our reputation may be damaged and we may incur significant liabilities.</w:t>
      </w:r>
    </w:p>
    <w:p>
      <w:pPr>
        <w:spacing w:after="0" w:line="134" w:lineRule="exact"/>
        <w:rPr>
          <w:sz w:val="20"/>
          <w:szCs w:val="20"/>
          <w:color w:val="auto"/>
        </w:rPr>
      </w:pPr>
    </w:p>
    <w:p>
      <w:pPr>
        <w:ind w:right="20" w:firstLine="509"/>
        <w:spacing w:after="0" w:line="252" w:lineRule="auto"/>
        <w:rPr>
          <w:sz w:val="20"/>
          <w:szCs w:val="20"/>
          <w:color w:val="auto"/>
        </w:rPr>
      </w:pPr>
      <w:r>
        <w:rPr>
          <w:rFonts w:ascii="Times New Roman" w:cs="Times New Roman" w:eastAsia="Times New Roman" w:hAnsi="Times New Roman"/>
          <w:sz w:val="18"/>
          <w:szCs w:val="18"/>
          <w:color w:val="auto"/>
        </w:rPr>
        <w:t>Our operations involve the storage and transmission of data of our customers and their customers, including personal data. Our storage is typically the sole source of record for portions of our customers’ businesses and end user data, such as initial contact information and online interactions. Security incidents could result in unauthorized access to, loss of or unauthorized disclosure of this information, litigation, indemnity obligations and other possible liabilities, as well as negative publicity, which could damage our reputation, impair our sales and harm our customers and our business. Cyber-attacks and other malicious Internet-based activity continue to increase generally, and cloud-based platform providers of marketing services have been targeted. If our security measures, or those of our service providers, are compromised as a result of third-party action, employee or customer error, malfeasance, stolen or fraudulently obtained log-in credentials or otherwise, our reputation could be damaged, our business may be harmed and we could incur significant liability. Additionally, if third parties with whom we work, such as vendors or developers, violate applicable laws, our security policies or our acceptable use policy, such violations may also put our customers’ information at risk and could in turn have an adverse effect on our business. In addition, if the security measures of our customers or our service providers are compromised, even without any actual compromise of our own systems, we may face negative publicity or reputational harm if our customers or anyone else incorrectly attributes the blame for such security breaches to us or our systems. We may be unable to anticipate or prevent techniques used to obtain unauthorized access or to sabotage systems because they change frequently and generally are not detected until after an incident has occurred. As we increase our customer base and our brand becomes more widely known and recognized, we may become more of a target for third parties seeking to compromise our security systems or gain unauthorized access to our customers’ data. Additionally, we provide our employees with extensive access to our databases, which store our customer data, and to our APIs to facilitate our rapid pace of product development and to support our customers. If such access, unauthorized access or our own operations, cause the loss, damage, destruction or loss (including, without limitation, because of actions by a bad actor, attempts to exfiltrate customer data (which attempts we have experienced in the past and could experience in the future), our systems being compromised or unintentional or accidental disclosure, or destruction of our customers’ business data, their sales, lead generation, support and other business operations may be permanently harmed. As a result, our customers may bring claims against us for lost profits and other damages, or such concerns may cause us to limit access by our development team.</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26" w:name="page27"/>
    <w:bookmarkEnd w:id="26"/>
    <w:p>
      <w:pPr>
        <w:ind w:right="120"/>
        <w:spacing w:after="0" w:line="282" w:lineRule="auto"/>
        <w:rPr>
          <w:sz w:val="20"/>
          <w:szCs w:val="20"/>
          <w:color w:val="auto"/>
        </w:rPr>
      </w:pPr>
      <w:r>
        <w:rPr>
          <w:rFonts w:ascii="Times New Roman" w:cs="Times New Roman" w:eastAsia="Times New Roman" w:hAnsi="Times New Roman"/>
          <w:sz w:val="18"/>
          <w:szCs w:val="18"/>
          <w:color w:val="auto"/>
        </w:rPr>
        <w:t>Additionally, in certain of our subscription agreements with our customers, we agree to indemnify these customers against claims by a third party alleging our breach of confidentiality obligations or our misuse of customer data in violation of the subscription agreement.</w:t>
      </w:r>
    </w:p>
    <w:p>
      <w:pPr>
        <w:spacing w:after="0" w:line="135"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Cyber-attacks, denial-of-service attacks, ransomware attacks, business email compromises, computer malware, viruses, and social engineering (including phishing) are prevalent in our industry, the industries of certain of our service providers and our customers' industries. Our internal computer systems and those of our current and any future strategic collaborators, vendors, and other contractors or consultants are vulnerable to damage from cyber-attacks, computer viruses, unauthorized access, natural disasters, cybersecurity threats, terrorism, geopolitical conflict, war and telecommunication and electrical failures. Accordingly, if our cybersecurity measures or those of our service providers fail to protect against unauthorized access, attacks (which may include sophisticated cyber-attacks), compromise or the mishandling of data by our employees and contractors, then our reputation, customer trust, business, results of operations and financial condition could be adversely affected. Cyber incidents have been increasing in sophistication and frequency and can include third parties gaining access to employee or customer data using stolen or inferred credentials, computer malware, viruses, spamming, phishing attacks, ransomware, card skimming code, and other deliberate attacks and attempts to gain unauthorized access. This risk is increased by the difficulty of balancing rapid vulnerability patching and system availability in a large and rapidly-changing production environment. At times, we may be unable to patch all of our systems in a manner that strictly adheres to our internally prescribed timelines. The techniques used to sabotage or to obtain unauthorized access to our platform, systems, networks, or physical facilities in which data is stored or through which data is transmitted change frequently, and we may be unable to implement adequate preventative measures or stop security breaches while they are occurring. Because the techniques used by threat actors who may attempt to penetrate and sabotage our computer systems change frequently and may not be recognized until launched against a target, we may be unable to anticipate these techniques. Additionally, as remote work and resource access expand, there is an increased risk that we may experience cybersecurity-related events such as phishing attacks, exploitation of any cybersecurity flaws that may exist, an increase in the number of cybersecurity threats or attacks, and other security challenges as a result of most of our employees and our service providers continuing to work remotely from non-corporate managed networks. There is also a risk of potential increase in such attacks due to cyberwarfare in connection with the ongoing global conflicts, and this could adversely affect our and our suppliers' ability to maintain or enhance key cybersecurity and data protection measures. We have previously been, and may in the future become, the target of cyber-attacks by third parties seeking unauthorized access to our or our customers' data, systems, or infrastructure, or to disrupt our operations or ability to provide our services.</w:t>
      </w:r>
    </w:p>
    <w:p>
      <w:pPr>
        <w:spacing w:after="0" w:line="148"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Additionally, it is also possible that unauthorized access to sensitive customer and business data may be obtained through inadequate use of security controls by our customers, suppliers or other vendors, using social engineering to cause an employee or contractor to install malware or exploiting known vulnerabilities. Like other businesses, we rely on hardware and software supplied by third-parties and, therefore, are susceptible to supply chain attacks. Such attacks are becoming increasingly common, and we may not be able to anticipate and prevent negative impacts from such an attack. If we are impacted by a supply chain attack, we could incur liability, our competitive position could be harmed and the further development and commercialization of our product and services could be hindered or delayed.</w:t>
      </w:r>
    </w:p>
    <w:p>
      <w:pPr>
        <w:spacing w:after="0" w:line="147"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Recent cybersecurity incidents and compromises affecting large institutions, including an incident that affected us, suggest that the risk of such events is significant, even if privacy protection and security measures are implemented and enforced. A cyber-attack could result in a material disruption of our development programs and our business operations, whether due to a loss of our trade secrets or other proprietary information or other disruptions. These cyber-attacks could be carried out by threat actors of all types (including but not limited to nation states, organized crime, other criminal enterprises, individual actors and/or advanced persistent threat groups). In addition, we may experience intrusions on our physical premises by any of these threat actors. To the extent that any disruption or security breach were to result in a loss of, or damage to, our data or applications, or inappropriate disclosure of confidential or proprietary information, we could incur liability, incur significant costs associated with remediation and the implementation of additional security measures, including costs to deploy additional personnel and protection technologies, train employees, and engage third-party experts and consultants, and our competitive position could be harmed. Any breach, loss, or compromise of personal data may also subject us to civil fines and penalties, or claims for damages either under the General Data Protection Regulation (the “EU GDPR”), the EU GDPR as incorporated into United Kingdom law, and relevant member state law in the European Union, other foreign laws, and other relevant state and federal privacy laws in the United States.</w:t>
      </w:r>
    </w:p>
    <w:p>
      <w:pPr>
        <w:spacing w:after="0" w:line="163"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Many governments have enacted laws requiring companies to notify individuals of data security incidents or unauthorized transfers involving certain types of personal data. In addition, the data processing agreement we execute with our customers contractually requires us to notify them of any personal data breach. Under payment card network rules and our contracts with our payment processors, if there is a data breach of payment resulting in the compromise of cardholder payment information that we store, or that is stored by our direct payment card processing vendors, we could be liable to the payment card issuing banks for their cost of issuing new cards and related expenses depending on the cause of such data breach. Data breaches and other data security compromises experienced by our competitors, by our customers or by us may lead to public disclosures, which may lead to widespread negative publicity. Any security compromise in our industry, whether actual or perceived, could harm our reputation, erode customer confidence in the effectiveness of our security measures, negatively impact our ability to attract new customers, cause</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61" w:right="359" w:bottom="1440" w:gutter="0" w:footer="0" w:header="0"/>
        </w:sectPr>
      </w:pPr>
    </w:p>
    <w:bookmarkStart w:id="27" w:name="page28"/>
    <w:bookmarkEnd w:id="27"/>
    <w:p>
      <w:pPr>
        <w:ind w:right="340"/>
        <w:spacing w:after="0" w:line="282" w:lineRule="auto"/>
        <w:rPr>
          <w:sz w:val="20"/>
          <w:szCs w:val="20"/>
          <w:color w:val="auto"/>
        </w:rPr>
      </w:pPr>
      <w:r>
        <w:rPr>
          <w:rFonts w:ascii="Times New Roman" w:cs="Times New Roman" w:eastAsia="Times New Roman" w:hAnsi="Times New Roman"/>
          <w:sz w:val="18"/>
          <w:szCs w:val="18"/>
          <w:color w:val="auto"/>
        </w:rPr>
        <w:t>existing customers to elect not to renew their subscriptions or subject us to third-party lawsuits, regulatory fines or other action or liability, which could materially and adversely affect our business and operating results.</w:t>
      </w:r>
    </w:p>
    <w:p>
      <w:pPr>
        <w:spacing w:after="0" w:line="135"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There can be no assurance that any limitations of liability provisions in our contracts for a security breach would be enforceable or adequate or would otherwise protect us from any such liabilities or damages with respect to any particular claim. We also cannot be sure that our existing insurance coverage will continue to be available on acceptable terms or will be available in sufficient amounts to cover one or more large claims, or that the insurer will not deny coverage as to any future claim. The successful assertion of one or more large claims against us that exceed available insurance coverage, or the occurrence of changes in our insurance policies, including premium increases or the imposition of large deductible or co-insurance requirements, could have a material adverse effect on our business, financial condition and operating results.</w:t>
      </w: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Intellectual Property</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may suffer if it is alleged or determined that our technology infringes the intellectual property rights of others.</w:t>
      </w:r>
    </w:p>
    <w:p>
      <w:pPr>
        <w:spacing w:after="0" w:line="189" w:lineRule="exact"/>
        <w:rPr>
          <w:sz w:val="20"/>
          <w:szCs w:val="20"/>
          <w:color w:val="auto"/>
        </w:rPr>
      </w:pPr>
    </w:p>
    <w:p>
      <w:pPr>
        <w:ind w:firstLine="578"/>
        <w:spacing w:after="0" w:line="252" w:lineRule="auto"/>
        <w:rPr>
          <w:sz w:val="20"/>
          <w:szCs w:val="20"/>
          <w:color w:val="auto"/>
        </w:rPr>
      </w:pPr>
      <w:r>
        <w:rPr>
          <w:rFonts w:ascii="Times New Roman" w:cs="Times New Roman" w:eastAsia="Times New Roman" w:hAnsi="Times New Roman"/>
          <w:sz w:val="18"/>
          <w:szCs w:val="18"/>
          <w:color w:val="auto"/>
        </w:rPr>
        <w:t>The software industry is characterized by the existence of a large number of patents, copyrights, trademarks, trade secrets and other intellectual and proprietary rights. Companies in the software industry, including those in marketing software, are often required to defend against litigation claims based on allegations of infringement or other violations of intellectual property rights. Many of our competitors and other industry participants have been issued patents and/or have filed patent applications and may assert patent or other intellectual property rights within the industry. Moreover, in recent years, individuals and groups that are non-practicing entities, commonly referred to as “patent trolls,” have purchased patents and other intellectual property assets for the purpose of making claims of infringement in order to extract settlements. From time to time, we may receive threatening letters or notices or may be the subject of claims that our services and/or platform and underlying technology infringe or violate the intellectual property rights of others. Responding to such claims, regardless of their merit, can be time consuming, costly to defend in litigation, divert management’s attention and resources, damage our reputation and brand and cause us to incur significant expenses. Our technologies may not be able to withstand any third-party claims or rights against their use. Claims of intellectual property infringement might require us to redesign our application, delay releases, enter into costly settlement or license agreements or pay costly damage awards, or face a temporary or permanent injunction prohibiting us from marketing or selling our platform. If we cannot or do not license the infringed technology on reasonable terms or at all, or substitute similar technology from another source, our revenue and operating results could be adversely impacted. Additionally, our customers may not purchase our customer platform if they are concerned that they may infringe third-party intellectual property rights. The occurrence of any of these events may have a material adverse effect on our business.</w:t>
      </w:r>
    </w:p>
    <w:p>
      <w:pPr>
        <w:spacing w:after="0" w:line="157" w:lineRule="exact"/>
        <w:rPr>
          <w:sz w:val="20"/>
          <w:szCs w:val="20"/>
          <w:color w:val="auto"/>
        </w:rPr>
      </w:pPr>
    </w:p>
    <w:p>
      <w:pPr>
        <w:ind w:right="40" w:firstLine="578"/>
        <w:spacing w:after="0" w:line="255" w:lineRule="auto"/>
        <w:rPr>
          <w:sz w:val="20"/>
          <w:szCs w:val="20"/>
          <w:color w:val="auto"/>
        </w:rPr>
      </w:pPr>
      <w:r>
        <w:rPr>
          <w:rFonts w:ascii="Times New Roman" w:cs="Times New Roman" w:eastAsia="Times New Roman" w:hAnsi="Times New Roman"/>
          <w:sz w:val="18"/>
          <w:szCs w:val="18"/>
          <w:color w:val="auto"/>
        </w:rPr>
        <w:t>In certain of our subscription agreements with customers, we agree to indemnify these customers against claims by a third party alleging infringement of a valid patent, registered copyright or registered trademark. However, whether or not a subscription agreement includes an indemnity obligation in favor of a customer, there can be no assurance that customers will not assert a common law indemnity claim or that any existing limitations of liability provisions in our contracts would be enforceable or adequate, or would otherwise protect us from any such liabilities or damages with respect to any particular claim. Our customers who are accused of intellectual property infringement may in the future seek indemnification from us under common law or other legal theories. If such claims are successful, or if we are required to indemnify or defend our customers from these or other claims, these matters could be disruptive to our business and management and have a material adverse effect on our business, operating results and financial condition.</w:t>
      </w:r>
    </w:p>
    <w:p>
      <w:pPr>
        <w:spacing w:after="0" w:line="158"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adequately protect our proprietary rights, in the United States and abroad, our competitive position could be impaired and we may lose valuable assets, experience reduced revenue and incur costly litigation to protect our rights.</w:t>
      </w:r>
    </w:p>
    <w:p>
      <w:pPr>
        <w:spacing w:after="0" w:line="118"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Our success is dependent, in part, upon protecting our proprietary technology. We rely on a combination of patents, copyrights, trademarks, service marks, trade secret laws and contractual restrictions to establish and protect our proprietary rights in our products and services. However, the steps we take to protect our intellectual property may be inadequate. We will not be able to protect our intellectual property if we are unable to enforce our rights or if we do not detect unauthorized use of our intellectual property. Any of our trademarks or other intellectual property rights may be challenged by others or invalidated through administrative process or litigation. Furthermore, legal standards relating to the validity, enforceability and scope of protection of intellectual property rights are uncertain. Additionally, the intellectual property ownership and license rights, including copyright, surrounding AI technologies, which we are increasingly building into our product offerings, has not been fully addressed by U.S. courts or other federal or state laws or regulations, and the use or adoption of AI technologies in our products and services may expose us to copyright infringement or other intellectual property misappropriation claims. Despite our precautions, it may be possible for unauthorized third parties to copy our technology and use information that we regard as proprietary to create products and services that compete with ours. Some license provisions protecting against unauthorized use, copying, transfer and disclosure of our offerings may be unenforceable under the laws of certain jurisdictions and foreign countries. In addition, the laws of some countries do not protect proprietary rights to the</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28" w:name="page29"/>
    <w:bookmarkEnd w:id="28"/>
    <w:p>
      <w:pPr>
        <w:ind w:right="380"/>
        <w:spacing w:after="0" w:line="282" w:lineRule="auto"/>
        <w:rPr>
          <w:sz w:val="20"/>
          <w:szCs w:val="20"/>
          <w:color w:val="auto"/>
        </w:rPr>
      </w:pPr>
      <w:r>
        <w:rPr>
          <w:rFonts w:ascii="Times New Roman" w:cs="Times New Roman" w:eastAsia="Times New Roman" w:hAnsi="Times New Roman"/>
          <w:sz w:val="18"/>
          <w:szCs w:val="18"/>
          <w:color w:val="auto"/>
        </w:rPr>
        <w:t>same extent as the laws of the United States. To the extent we expand our international activities, our exposure to unauthorized copying and use of our technology and proprietary information may increase.</w:t>
      </w:r>
    </w:p>
    <w:p>
      <w:pPr>
        <w:spacing w:after="0" w:line="135" w:lineRule="exact"/>
        <w:rPr>
          <w:sz w:val="20"/>
          <w:szCs w:val="20"/>
          <w:color w:val="auto"/>
        </w:rPr>
      </w:pPr>
    </w:p>
    <w:p>
      <w:pPr>
        <w:ind w:right="280" w:firstLine="509"/>
        <w:spacing w:after="0" w:line="261" w:lineRule="auto"/>
        <w:rPr>
          <w:sz w:val="20"/>
          <w:szCs w:val="20"/>
          <w:color w:val="auto"/>
        </w:rPr>
      </w:pPr>
      <w:r>
        <w:rPr>
          <w:rFonts w:ascii="Times New Roman" w:cs="Times New Roman" w:eastAsia="Times New Roman" w:hAnsi="Times New Roman"/>
          <w:sz w:val="18"/>
          <w:szCs w:val="18"/>
          <w:color w:val="auto"/>
        </w:rPr>
        <w:t>We enter into confidentiality and invention assignment agreements with our employees and consultants and enter into confidentiality agreements with the parties with whom we have strategic relationships and business alliances. No assurance can be given that these agreements will be effective in controlling access to and distribution of our products and proprietary information. Further, these agreements may not prevent our competitors from independently developing technologies that are substantially equivalent or superior to our platform and offerings.</w:t>
      </w:r>
    </w:p>
    <w:p>
      <w:pPr>
        <w:spacing w:after="0" w:line="139"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We may be required to spend significant resources to monitor and protect our intellectual property rights. Litigation may be necessary in the future to enforce our intellectual property rights and to protect our trade secrets. Such litigation could be costly, time consuming and distracting to management and could result in the impairment or loss of portions of our intellectual property. Furthermore, our efforts to enforce our intellectual property rights may be met with defenses, counterclaims and countersuits attacking the validity and enforceability of our intellectual property rights. Our inability to protect our proprietary technology against unauthorized copying or use, as well as any costly litigation, could delay further sales or the implementation of our platform and offerings, impair the functionality of our platform and offerings, delay introductions of new features or enhancements, result in our substituting inferior or more costly technologies into our platform and offerings, or injure our reputation.</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use of “open source” software could negatively affect our ability to offer our platform and subject us to possible litigation.</w:t>
      </w:r>
    </w:p>
    <w:p>
      <w:pPr>
        <w:spacing w:after="0" w:line="202"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A substantial portion of our cloud-based platform incorporates so-called “open source” software, and we may incorporate additional open source software in the future. Open source software is generally freely accessible, usable and modifiable. Certain open source licenses may, in certain circumstances, require us to offer the components of our platform that incorporate the open source software for no cost, that we make available source code for modifications or derivative works we create based upon, incorporating or using the open source software and that we license such modifications or derivative works under the terms of the particular open source license. If an author or other third party that distributes open source software we use were to allege that we had not complied with the conditions of one or more of these licenses, we could be required to incur significant legal expenses defending against such allegations and could be subject to significant damages, including being enjoined from the offering of the components of our platform that contained the open source software and being required to comply with the foregoing conditions, which could disrupt our ability to offer the affected software. We could also be subject to suits by parties claiming ownership of what we believe to be open source software. Litigation could be costly for us to defend, have a negative effect on our operating results and financial condition and require us to devote additional research and development resources to change our products.</w:t>
      </w: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Government Regulation</w:t>
      </w:r>
    </w:p>
    <w:p>
      <w:pPr>
        <w:spacing w:after="0" w:line="198"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subject to governmental regulation and other legal obligations, particularly related to privacy, data protection and information security, and our actual or perceived failure to comply with such obligations could harm our business. Compliance with such laws could also impair our efforts to maintain and expand our customer base and business lines, and thereby decrease our revenue.</w:t>
      </w:r>
    </w:p>
    <w:p>
      <w:pPr>
        <w:spacing w:after="0" w:line="134" w:lineRule="exact"/>
        <w:rPr>
          <w:sz w:val="20"/>
          <w:szCs w:val="20"/>
          <w:color w:val="auto"/>
        </w:rPr>
      </w:pPr>
    </w:p>
    <w:p>
      <w:pPr>
        <w:ind w:right="300" w:firstLine="509"/>
        <w:spacing w:after="0" w:line="258" w:lineRule="auto"/>
        <w:rPr>
          <w:sz w:val="20"/>
          <w:szCs w:val="20"/>
          <w:color w:val="auto"/>
        </w:rPr>
      </w:pPr>
      <w:r>
        <w:rPr>
          <w:rFonts w:ascii="Times New Roman" w:cs="Times New Roman" w:eastAsia="Times New Roman" w:hAnsi="Times New Roman"/>
          <w:sz w:val="18"/>
          <w:szCs w:val="18"/>
          <w:color w:val="auto"/>
        </w:rPr>
        <w:t>Our handling of data across our products and services is subject to a variety of laws and regulations, including regulation by various government agencies, including the U.S. Federal Trade Commission ("FTC"), and various state, local and foreign agencies. We collect personal data and other data from our customers, prospects, partners, and publicly available sources. We also handle personal data about our customers’ customers. We use this information to provide services to our customers, to support, expand and improve our business. We may also share customers’ personal data with third parties as authorized by the customer or as described in our privacy policy.</w:t>
      </w:r>
    </w:p>
    <w:p>
      <w:pPr>
        <w:spacing w:after="0" w:line="143"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The U.S. federal and various state and foreign governments have adopted or proposed limitations on the collection, processing, distribution, use, storage and safeguarding of personal data. In the United States, the FTC and many state attorneys general are applying federal and state privacy and consumer protection laws to impose standards for the online collection, use and dissemination of personal and other data. However, these obligations may be interpreted and applied in a manner that is inconsistent from one jurisdiction to another and may conflict with other requirements or our practices. Any failure or perceived failure by us to comply with privacy or data security laws, policies, legal obligations or industry standards or any security incident that results in the unauthorized, disclosure, release or transfer of personal data or other customer data may result in governmental enforcement actions, litigation, fines and penalties and/or adverse publicity, and could cause our customers to lose trust in us, which could have an adverse effect on our reputation and business.</w:t>
      </w:r>
    </w:p>
    <w:p>
      <w:pPr>
        <w:spacing w:after="0" w:line="1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61" w:right="359" w:bottom="1440" w:gutter="0" w:footer="0" w:header="0"/>
        </w:sectPr>
      </w:pPr>
    </w:p>
    <w:bookmarkStart w:id="29" w:name="page30"/>
    <w:bookmarkEnd w:id="29"/>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Laws and regulations governing privacy, data protection and cybersecurity are rapidly evolving, and changes to such laws and regulations could require us to change features of our platform or restrict our customers’ ability to collect and use email addresses, page viewing data and other personal data, which may reduce demand for our platform. Our failure to comply with federal, state and foreign privacy and cybersecurity laws and regulations could harm our ability to successfully operate our business and pursue our business goals.</w:t>
      </w:r>
    </w:p>
    <w:p>
      <w:pPr>
        <w:spacing w:after="0" w:line="153"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For example, the California Consumer Privacy Act (the “CCPA”), as amended by the California Privacy Rights Act (the “CPRA”), among other things, require covered companies to provide new disclosures to California residents and afford such individuals the ability to opt out of the sales or sharing of their personal data. The CCPA may require us to modify our data collection or processing practices and policies and to potentially incur substantial costs and expenses in an effort to comply. In addition to increasing our potential exposure to regulatory enforcement, the CCPA also provides for violations and a limited private right of action, which may increase our exposure to civil litigation.</w:t>
      </w:r>
    </w:p>
    <w:p>
      <w:pPr>
        <w:spacing w:after="0" w:line="143"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Other states, including Virginia, Colorado, Utah, Connecticut, Iowa, Indiana, Montana, Tennessee, and Texas, among others, have passed comprehensive privacy and data security laws, which impose obligations on covered businesses similar – but not identical – to those under the CCPA. Some of these laws entered into force in 2023, and others will enter into force in 2024 and beyond. A number of other states have proposed similar or sector specific privacy legislation,; and the U.S. Congress is considering legislation that may preempt some or all of such U.S. state privacy laws, providing a more robust private right of action. The evolving complexity of privacy and data security legislation in the U.S. may complicate our compliance efforts and further increase our risk of regulatory enforcement, penalties and litigation.</w:t>
      </w:r>
    </w:p>
    <w:p>
      <w:pPr>
        <w:spacing w:after="0" w:line="147"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In addition, many foreign jurisdictions in which we do business, including the European Union, Japan, United Kingdom, Canada, Australia, and others have laws and regulations dealing with the collection and use of personal data obtained from their residents, which are more restrictive in certain respects than those in the U.S. Laws and regulations in these jurisdictions apply broadly to the collection, use, storage, disclosure and security of personal data that identifies or may be used to identify an individual. In relevant part, these foreign laws and regulations may affect our ability to engage in lead generation activities by imposing heightened requirements, such as affirmative opt-ins or other consent prior to sending commercial correspondence, obtaining leads or engaging in electronic tracking activities that aid our marketing and business intelligence. We may be required to modify our policies, procedures, and data processing measures in order to address requirements under these or other privacy, data protection, or cyber security regimes, and may face claims, litigation, investigations, or other proceedings regarding them and may incur related liabilities, expenses, costs, and operational losses.</w:t>
      </w:r>
    </w:p>
    <w:p>
      <w:pPr>
        <w:spacing w:after="0" w:line="165"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In connection with the operation of some of our business lines, such as business intelligence services, we collect, process and share business contact information or other personal data individuals make available in their professional capacity. We may be subject to additional requirements under privacy and data protection laws that could lead to additional compliance costs, regulatory scrutiny, and reputational risks that may affect our business. For example, we may be required to send notifications to individuals and respond to higher volumes of data privacy requests, which may require substantial costs and expenses, or reduce the potential value of our business intelligence services. We may also receive data from third-party vendors (e.g., data brokers) in connection with such services. While we have implemented certain contractual measures with such vendors to protect our interests, we are ultimately unable to verify with complete certainty the source of such data, how it was received, and that such information was collected and is being shared with us in compliance with all applicable data privacy laws. Furthermore, the uncertain and shifting regulatory environment and trust climate may cause concerns regarding data privacy and may cause our vendors, customers, users, or our customers’ customers to decline to provide the data necessary to allow us to offer some of our services to our customers and users effectively, or could prompt individuals to opt out of our collection of their personal data. Concern regarding our use of the personal data collected when performing our services could keep prospective customers from subscribing to our services.</w:t>
      </w:r>
    </w:p>
    <w:p>
      <w:pPr>
        <w:spacing w:after="0" w:line="15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Within the European Union, the EU GDPR, and in the United Kingdom, the EU GDPR as incorporated into the laws of the United Kingdom (the “UK GDPR” together with the EU GDPR, the “GDPR”), impose heightened obligations and risk upon our business and may substantially increase the penalties to which we could be subject in the event of any non-compliance. Non-compliance with the GDPR and the related national data protection laws of the European Union Member States may result in monetary penalties of up to €20 million (£17.5 million) or 4% of worldwide annual revenue, whichever is higher.</w:t>
      </w:r>
    </w:p>
    <w:p>
      <w:pPr>
        <w:spacing w:after="0" w:line="143" w:lineRule="exact"/>
        <w:rPr>
          <w:sz w:val="20"/>
          <w:szCs w:val="20"/>
          <w:color w:val="auto"/>
        </w:rPr>
      </w:pPr>
    </w:p>
    <w:p>
      <w:pPr>
        <w:ind w:right="100" w:firstLine="509"/>
        <w:spacing w:after="0" w:line="273" w:lineRule="auto"/>
        <w:rPr>
          <w:sz w:val="20"/>
          <w:szCs w:val="20"/>
          <w:color w:val="auto"/>
        </w:rPr>
      </w:pPr>
      <w:r>
        <w:rPr>
          <w:rFonts w:ascii="Times New Roman" w:cs="Times New Roman" w:eastAsia="Times New Roman" w:hAnsi="Times New Roman"/>
          <w:sz w:val="17"/>
          <w:szCs w:val="17"/>
          <w:color w:val="auto"/>
        </w:rPr>
        <w:t>The proliferation of privacy and data protection laws has heightened risks and uncertainties concerning cross-border transfers of personal data and other data, which could impose significant compliance costs and expenses on our business, increase our potential exposure to regulatory enforcement and/or litigation, and have a negative effect on our existing business and on our ability to attract and retain new customers. To enable the transfer of personal data outside of the European Union or United Kingdom, adequate safeguards must be implemented in compliance with data protection laws. On June 4, 2021, the European Commission published new versions of its Standard Contractual Clauses (“SCCs”), which are required for all transfers of personal data from the European Union to third countries (including the U.S). The United Kingdom is not subject to the new SCCs but has its own equivalent, being the international data transfer agreement and/or UK Addendum (“IDTAs”). The IDTAs must be entered into for new contracts, but allow</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30" w:name="page31"/>
    <w:bookmarkEnd w:id="30"/>
    <w:p>
      <w:pPr>
        <w:spacing w:after="0" w:line="258" w:lineRule="auto"/>
        <w:rPr>
          <w:sz w:val="20"/>
          <w:szCs w:val="20"/>
          <w:color w:val="auto"/>
        </w:rPr>
      </w:pPr>
      <w:r>
        <w:rPr>
          <w:rFonts w:ascii="Times New Roman" w:cs="Times New Roman" w:eastAsia="Times New Roman" w:hAnsi="Times New Roman"/>
          <w:sz w:val="18"/>
          <w:szCs w:val="18"/>
          <w:color w:val="auto"/>
        </w:rPr>
        <w:t>for a transition period until March 21, 2024 for existing contracts. Our customer agreements include the updated SCCs and UK IDTAs. We are in the process of transitioning to the IDTAs for existing contracts, and doing so will require significant effort and cost. Under the new SCCs and IDTAs, companies are also required to assess the risk of a data transfer on a case-by-case basis by undertaking a transfer impact assessment, and may be required to adopt additional measures to accomplish transfers of personal data to United States and other third countries. There continue to be concerns about whether the SCCs will face additional challenges.</w:t>
      </w:r>
    </w:p>
    <w:p>
      <w:pPr>
        <w:spacing w:after="0" w:line="156"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On July 10, 2023, the European Commission approved the EU-U.S. Data Privacy Framework (“DPF”) to support transfers of personal data from the EU to companies in the U.S. Because we have maintained our certification under the previously invalidated Privacy Shield, we have now automatically become subject to the DPF and are required to maintain policies and procedures to comply with the DPF principles. We may be subject to regulatory enforcement by the FTC if we are found to be noncompliant with any of the DPF principles, and this regulatory enforcement may lead to significant civil penalties.</w:t>
      </w:r>
    </w:p>
    <w:p>
      <w:pPr>
        <w:spacing w:after="0" w:line="143"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Until the remaining legal uncertainties regarding SCCs, DPF and other transfer mechanisms are settled, we will continue to face uncertainty as to whether our customers will be permitted to transfer personal data to the United States for processing by us as part of our platform services. Our customers may view data transfer mechanisms as being too costly, too burdensome, too legally uncertain or otherwise objectionable and therefore decide not to do business with us.</w:t>
      </w:r>
    </w:p>
    <w:p>
      <w:pPr>
        <w:spacing w:after="0" w:line="139"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We publicly post documentation regarding our practices concerning the collection, processing, use and disclosure of data. Although we endeavor to comply with our published policies and documentation, we may at times fail to do so or be alleged to have failed to do so. Any failure or perceived failure by us to comply with our privacy policies or any applicable privacy, security or data protection, information security or consumer-protection related laws, regulations, orders or industry standards could expose us to costly litigation, significant awards, fines or judgments, civil and/or criminal penalties or negative publicity, and could materially and adversely affect our business, financial condition and results of operations. The publication of our privacy policy and other documentation that provide promises and assurances about privacy and security can subject us to potential state and federal action if they are found to be deceptive, unfair, or misrepresentative of our actual practices, which could, individually or in the aggregate, materially and adversely affect our business, financial condition and results of operations.</w:t>
      </w:r>
    </w:p>
    <w:p>
      <w:pPr>
        <w:spacing w:after="0" w:line="165"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If our privacy or data security measures fail to comply with current or future laws and regulations, we may be subject to claims, legal proceedings or other actions by individuals or governmental authorities based on privacy or data protection regulations and our commitments to customers or others, as well as negative publicity and a potential loss of business. Moreover, if future laws and regulations limit our subscribers’ ability to use and share personal data or our ability to store, process and share personal data, demand for our solutions could decrease, our costs could increase, and our business, results of operations and financial condition could be harmed.</w:t>
      </w:r>
    </w:p>
    <w:p>
      <w:pPr>
        <w:spacing w:after="0" w:line="143"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Separately, as the regulatory framework for machine learning technology and AI evolves, it is possible that new laws and regulations will be adopted, or that existing laws and regulations may be interpreted in ways that would affect our business and the ways in which we use AI and machine learning technology, our financial condition and our results of operations, including as a result of the cost to comply with such laws or regulations. Further, potential government regulation related to AI use and ethics may also increase the burden and cost of research and development in this area, and failure to properly remediate AI usage or ethics issues may cause public confidence in AI to be undermined, which could slow adoption of AI in our products and services.</w:t>
      </w:r>
    </w:p>
    <w:p>
      <w:pPr>
        <w:spacing w:after="0" w:line="143"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could face liability, or our reputation might be harmed, as a result of the activities of our customers, the content of their websites or the data they store on our servers.</w:t>
      </w:r>
    </w:p>
    <w:p>
      <w:pPr>
        <w:spacing w:after="0" w:line="132" w:lineRule="exact"/>
        <w:rPr>
          <w:sz w:val="20"/>
          <w:szCs w:val="20"/>
          <w:color w:val="auto"/>
        </w:rPr>
      </w:pPr>
    </w:p>
    <w:p>
      <w:pPr>
        <w:ind w:right="200" w:firstLine="509"/>
        <w:spacing w:after="0" w:line="255" w:lineRule="auto"/>
        <w:rPr>
          <w:sz w:val="20"/>
          <w:szCs w:val="20"/>
          <w:color w:val="auto"/>
        </w:rPr>
      </w:pPr>
      <w:r>
        <w:rPr>
          <w:rFonts w:ascii="Times New Roman" w:cs="Times New Roman" w:eastAsia="Times New Roman" w:hAnsi="Times New Roman"/>
          <w:sz w:val="18"/>
          <w:szCs w:val="18"/>
          <w:color w:val="auto"/>
        </w:rPr>
        <w:t>As a provider of a cloud-based inbound marketing, sales and customer service software platform, we may be subject to potential liability for the activities of our customers on or in connection with the data they store on our servers. Although our customer terms of use prohibit illegal use of our services by our customers and permit us to take down websites or take other appropriate actions for illegal use, customers may nonetheless engage in prohibited activities or upload or store content with us in violation of applicable law or the customer’s own policies, which could subject us to liability or harm our reputation. Furthermore, customers may upload, store, or use content on our customer platform that may violate our policy on acceptable use which prohibits content that is threatening, abusive, harassing, deceptive, false, misleading, vulgar, obscene, or indecent. While such content may not be illegal, use of our customer platform for such content could harm our reputation resulting in a loss of business.</w:t>
      </w:r>
    </w:p>
    <w:p>
      <w:pPr>
        <w:spacing w:after="0" w:line="14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Several U.S. federal statutes may apply to us with respect to various customer activities:</w:t>
      </w:r>
    </w:p>
    <w:p>
      <w:pPr>
        <w:spacing w:after="0" w:line="185" w:lineRule="exact"/>
        <w:rPr>
          <w:sz w:val="20"/>
          <w:szCs w:val="20"/>
          <w:color w:val="auto"/>
        </w:rPr>
      </w:pPr>
    </w:p>
    <w:p>
      <w:pPr>
        <w:ind w:left="1020" w:right="40" w:hanging="503"/>
        <w:spacing w:after="0" w:line="258"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Digital Millennium Copyright Act of 1998 ("DMCA"), provides recourse for owners of copyrighted material who believe that their rights under U.S. copyright law have been infringed on the Internet. Under the DMCA, based on our current business activity as an Internet service provider that does not own or control website content posted by our customers, we generally are not liable for infringing content posted by our customers or other third parties, provided that we follow the procedures for handling copyright infringement claims set forth in the DMCA. Generally, if we receive a</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61" w:right="359" w:bottom="1440" w:gutter="0" w:footer="0" w:header="0"/>
        </w:sectPr>
      </w:pPr>
    </w:p>
    <w:bookmarkStart w:id="31" w:name="page32"/>
    <w:bookmarkEnd w:id="31"/>
    <w:p>
      <w:pPr>
        <w:ind w:left="1020" w:right="20"/>
        <w:spacing w:after="0" w:line="261" w:lineRule="auto"/>
        <w:rPr>
          <w:sz w:val="20"/>
          <w:szCs w:val="20"/>
          <w:color w:val="auto"/>
        </w:rPr>
      </w:pPr>
      <w:r>
        <w:rPr>
          <w:rFonts w:ascii="Times New Roman" w:cs="Times New Roman" w:eastAsia="Times New Roman" w:hAnsi="Times New Roman"/>
          <w:sz w:val="18"/>
          <w:szCs w:val="18"/>
          <w:color w:val="auto"/>
        </w:rPr>
        <w:t>proper notice from, or on behalf, of a copyright owner alleging infringement of copyrighted material located on websites we host, and we fail to expeditiously remove or disable access to the allegedly infringing material or otherwise fail to meet the requirements of the safe harbor provided by the DMCA, the copyright owner may seek to impose liability on us. Technical mistakes in complying with the detailed DMCA take-down procedures could subject us to liability for copyright infringement.</w:t>
      </w:r>
    </w:p>
    <w:p>
      <w:pPr>
        <w:spacing w:after="0" w:line="153" w:lineRule="exact"/>
        <w:rPr>
          <w:sz w:val="20"/>
          <w:szCs w:val="20"/>
          <w:color w:val="auto"/>
        </w:rPr>
      </w:pPr>
    </w:p>
    <w:p>
      <w:pPr>
        <w:ind w:left="1020" w:right="80" w:hanging="503"/>
        <w:spacing w:after="0" w:line="255"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Communications Decency Act of 1996 ("CDA"), generally protects online service providers, such as us, from liability for certain activities of their customers, such as the posting of defamatory or obscene content, unless the online service provider is participating in the unlawful conduct. Under the CDA, we are generally not responsible for the customer-created content hosted on our servers. Consequently, we do not monitor hosted websites or prescreen the content placed by our customers on their sites. However, the CDA does not apply in foreign jurisdictions and we may nonetheless be brought into disputes between our customers and third parties which would require us to devote management time and resources to resolve such matters and any publicity from such matters could also have an adverse effect on our reputation and therefore our business.</w:t>
      </w:r>
    </w:p>
    <w:p>
      <w:pPr>
        <w:spacing w:after="0" w:line="148" w:lineRule="exact"/>
        <w:rPr>
          <w:rFonts w:ascii="Times New Roman" w:cs="Times New Roman" w:eastAsia="Times New Roman" w:hAnsi="Times New Roman"/>
          <w:sz w:val="18"/>
          <w:szCs w:val="18"/>
          <w:color w:val="auto"/>
        </w:rPr>
      </w:pPr>
    </w:p>
    <w:p>
      <w:pPr>
        <w:ind w:left="1020" w:right="60" w:hanging="503"/>
        <w:spacing w:after="0" w:line="254"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the CDA, the Securing the Protection of our Enduring and Established Constitutional Heritage Act (the "SPEECH Act"), provides a statutory exception to the enforcement by a U.S. court of a foreign judgment for defamation under certain circumstances. Generally, the exception applies if the defamation law applied in the foreign court did not provide at least as much protection for freedom of speech and press as would be provided by the First Amendment of the U.S. Constitution or by the constitution and law of the state in which the U.S. court is located, or if no finding of defamation would be supported under the First Amendment of the U.S. Constitution or under the constitution and law of the state in which the U.S. court is located. Although the SPEECH Act may protect us from the enforcement of foreign judgments in the United States, it does not affect the enforceability of the judgment in the foreign country that issued the judgment. Given our international presence, we may therefore, nonetheless, have to defend against or comply with any foreign judgments made against us, which could take up substantial management time and resources and damage our reputation.</w:t>
      </w:r>
    </w:p>
    <w:p>
      <w:pPr>
        <w:spacing w:after="0" w:line="148" w:lineRule="exact"/>
        <w:rPr>
          <w:sz w:val="20"/>
          <w:szCs w:val="20"/>
          <w:color w:val="auto"/>
        </w:rPr>
      </w:pPr>
    </w:p>
    <w:p>
      <w:pPr>
        <w:ind w:firstLine="749"/>
        <w:spacing w:after="0" w:line="255" w:lineRule="auto"/>
        <w:rPr>
          <w:sz w:val="20"/>
          <w:szCs w:val="20"/>
          <w:color w:val="auto"/>
        </w:rPr>
      </w:pPr>
      <w:r>
        <w:rPr>
          <w:rFonts w:ascii="Times New Roman" w:cs="Times New Roman" w:eastAsia="Times New Roman" w:hAnsi="Times New Roman"/>
          <w:sz w:val="18"/>
          <w:szCs w:val="18"/>
          <w:color w:val="auto"/>
        </w:rPr>
        <w:t>Although these statutes and case law in the United States have generally shielded us from liability for customer activities to date, court rulings in pending or future litigation may narrow the scope of protection afforded us under these laws. In addition, laws governing these activities are unsettled in many international jurisdictions, or may prove difficult or impossible for us to comply with in some international jurisdictions. Also, notwithstanding the exculpatory language of these bodies of law, we may become involved in complaints and lawsuits which, even if ultimately resolved in our favor, add cost to our doing business and may divert management’s time and attention. Finally, other existing bodies of law, including the criminal laws of various states, may be deemed to apply or new statutes or regulations may be adopted in the future, any of which could expose us to further liability and increase our costs of doing business.</w:t>
      </w:r>
    </w:p>
    <w:p>
      <w:pPr>
        <w:spacing w:after="0" w:line="162" w:lineRule="exact"/>
        <w:rPr>
          <w:sz w:val="20"/>
          <w:szCs w:val="20"/>
          <w:color w:val="auto"/>
        </w:rPr>
      </w:pPr>
    </w:p>
    <w:p>
      <w:pPr>
        <w:ind w:firstLine="749"/>
        <w:spacing w:after="0" w:line="253" w:lineRule="auto"/>
        <w:rPr>
          <w:sz w:val="20"/>
          <w:szCs w:val="20"/>
          <w:color w:val="auto"/>
        </w:rPr>
      </w:pPr>
      <w:r>
        <w:rPr>
          <w:rFonts w:ascii="Times New Roman" w:cs="Times New Roman" w:eastAsia="Times New Roman" w:hAnsi="Times New Roman"/>
          <w:sz w:val="18"/>
          <w:szCs w:val="18"/>
          <w:color w:val="auto"/>
        </w:rPr>
        <w:t>Additionally, Payments, our end-to-end payment solution built within Commerce Hub, are susceptible to potentially illegal or improper uses, including money laundering, terrorist financing, fraudulent or illegal sales of goods or services, piracy of software, movies, music, and other copyrighted or trademarked information, bank fraud, securities fraud, pyramid or ponzi schemes, or the facilitation of other illegal or improper activity. While we engage a third party as our registered payment facilitator, the use of Payments for illegal or improper uses may subject us to claims (including claims brought by our third-party payment processor), government and regulatory requests, inquiries, or investigations that could result in liability, and harm our reputation. Moreover, certain activity that may be legal in one jurisdiction may be illegal in another jurisdiction, and a merchant may be found responsible for intentionally or inadvertently importing or exporting illegal goods, resulting in liability for us. Owners of intellectual property rights or government authorities may seek to bring legal action against providers of payments solutions, including Payments, that are peripherally involved in the sale of infringing or allegedly infringing items. Any threatened or resulting claims could result in reputational harm, and any resulting liabilities, loss of transaction volume, or increased costs could harm our business.</w:t>
      </w:r>
    </w:p>
    <w:p>
      <w:pPr>
        <w:spacing w:after="0" w:line="154" w:lineRule="exact"/>
        <w:rPr>
          <w:sz w:val="20"/>
          <w:szCs w:val="20"/>
          <w:color w:val="auto"/>
        </w:rPr>
      </w:pPr>
    </w:p>
    <w:p>
      <w:pPr>
        <w:ind w:right="60" w:firstLine="749"/>
        <w:spacing w:after="0" w:line="266" w:lineRule="auto"/>
        <w:rPr>
          <w:sz w:val="20"/>
          <w:szCs w:val="20"/>
          <w:color w:val="auto"/>
        </w:rPr>
      </w:pPr>
      <w:r>
        <w:rPr>
          <w:rFonts w:ascii="Times New Roman" w:cs="Times New Roman" w:eastAsia="Times New Roman" w:hAnsi="Times New Roman"/>
          <w:sz w:val="18"/>
          <w:szCs w:val="18"/>
          <w:color w:val="auto"/>
        </w:rPr>
        <w:t>If Payments is used for illegal or improper uses, we may incur substantial losses as a result of claims from merchants and their buyers, including consumers. Allowances for transaction losses that we have established may be insufficient to cover incurred losses. Moreover, if measures to detect and reduce the risk of fraud are not effective and our loss rate is higher than anticipated, Payments and our business could be negatively impacted.</w:t>
      </w:r>
    </w:p>
    <w:p>
      <w:pPr>
        <w:spacing w:after="0" w:line="131" w:lineRule="exact"/>
        <w:rPr>
          <w:sz w:val="20"/>
          <w:szCs w:val="20"/>
          <w:color w:val="auto"/>
        </w:rPr>
      </w:pPr>
    </w:p>
    <w:p>
      <w:pPr>
        <w:ind w:right="9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standards that private entities use to regulate the use of email have in the past interfered with, and may in the future interfere with, the effectiveness of our customer platform and our ability to conduct business.</w:t>
      </w:r>
    </w:p>
    <w:p>
      <w:pPr>
        <w:spacing w:after="0" w:line="132" w:lineRule="exact"/>
        <w:rPr>
          <w:sz w:val="20"/>
          <w:szCs w:val="20"/>
          <w:color w:val="auto"/>
        </w:rPr>
      </w:pPr>
    </w:p>
    <w:p>
      <w:pPr>
        <w:ind w:right="260" w:firstLine="509"/>
        <w:spacing w:after="0" w:line="261" w:lineRule="auto"/>
        <w:rPr>
          <w:sz w:val="20"/>
          <w:szCs w:val="20"/>
          <w:color w:val="auto"/>
        </w:rPr>
      </w:pPr>
      <w:r>
        <w:rPr>
          <w:rFonts w:ascii="Times New Roman" w:cs="Times New Roman" w:eastAsia="Times New Roman" w:hAnsi="Times New Roman"/>
          <w:sz w:val="18"/>
          <w:szCs w:val="18"/>
          <w:color w:val="auto"/>
        </w:rPr>
        <w:t>Our customers rely on email to communicate with their existing or prospective customers. Various private entities attempt to regulate the use of email for commercial solicitation. These entities often advocate standards of conduct or practice that significantly exceed current legal requirements and classify certain email solicitations that comply with current legal requirements as spam. Some of these entities maintain “blacklists” of companies and individuals, and the websites, internet service providers and internet protocol</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61" w:right="359" w:bottom="1440" w:gutter="0" w:footer="0" w:header="0"/>
        </w:sectPr>
      </w:pPr>
    </w:p>
    <w:bookmarkStart w:id="32" w:name="page33"/>
    <w:bookmarkEnd w:id="32"/>
    <w:p>
      <w:pPr>
        <w:ind w:right="140"/>
        <w:spacing w:after="0" w:line="261" w:lineRule="auto"/>
        <w:rPr>
          <w:sz w:val="20"/>
          <w:szCs w:val="20"/>
          <w:color w:val="auto"/>
        </w:rPr>
      </w:pPr>
      <w:r>
        <w:rPr>
          <w:rFonts w:ascii="Times New Roman" w:cs="Times New Roman" w:eastAsia="Times New Roman" w:hAnsi="Times New Roman"/>
          <w:sz w:val="18"/>
          <w:szCs w:val="18"/>
          <w:color w:val="auto"/>
        </w:rPr>
        <w:t>addresses associated with those entities or individuals that do not adhere to those standards of conduct or practices for commercial email solicitations that the blacklisting entity believes are appropriate. If a company’s internet protocol addresses are listed by a blacklisting entity, emails sent from those addresses may be blocked if they are sent to any internet domain or internet address that subscribes to the blacklisting entity’s service or purchases its blacklist.</w:t>
      </w:r>
    </w:p>
    <w:p>
      <w:pPr>
        <w:spacing w:after="0" w:line="153"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From time to time, some of our internet protocol addresses may become listed with one or more blacklisting entities due to the messaging practices of our customers. There can be no guarantee that we will be able to successfully remove ourselves from those lists. Blacklisting of this type could interfere with our ability to market our customer platform and services and communicate with our customers and, because we fulfill email delivery on behalf of our customers, could undermine the effectiveness of our customers’ email marketing campaigns, all of which could have a material negative impact on our business and results of operations.</w:t>
      </w:r>
    </w:p>
    <w:p>
      <w:pPr>
        <w:spacing w:after="0" w:line="139"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Existing federal, state and foreign laws regulate Internet tracking software, the senders of commercial emails and text messages, website owners and other activities, and could impact the use of our customer platform and potentially subject us to regulatory enforcement or private litigation.</w:t>
      </w:r>
    </w:p>
    <w:p>
      <w:pPr>
        <w:spacing w:after="0" w:line="118"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Certain aspects of how our customers utilize our platform are subject to regulations in the United States, European Union and elsewhere. In recent years, U.S. and European lawmakers and regulators have expressed concern over the use of third-party cookies or web beacons for online behavioral advertising, and legislation adopted recently in the European Union requires informed consent for the placement of a cookie on a user’s device. Regulation of cookies and web beacons may lead to restrictions on our activities, such as efforts to understand users’ Internet usage. New and expanding “Do Not Track” regulations have recently been enacted or proposed that protect users’ right to choose whether or not to be tracked online. These regulations seek, among other things, to allow end users to have greater control over the use of private information collected online, to forbid the collection or use of online information, to demand a business to comply with their choice to opt out of such collection or use, and to place limits upon the disclosure of information to third-party websites. These policies could have a significant impact on the operation of our customer platform and could impair our attractiveness to customers, which would harm our business.</w:t>
      </w:r>
    </w:p>
    <w:p>
      <w:pPr>
        <w:spacing w:after="0" w:line="161"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Many of our customers and potential customers in the healthcare, financial services and other industries are subject to substantial regulation regarding their collection, use and protection of data and may be the subject of further regulation in the future. Accordingly, these laws or significant new laws or regulations or changes in, or repeals of, existing laws, regulations or governmental policy may change the way these customers do business and may require us to implement additional features or offer additional contractual terms to satisfy customer and regulatory requirements, or could cause the demand for and sales of our customer platform to decrease and adversely impact our financial results.</w:t>
      </w:r>
    </w:p>
    <w:p>
      <w:pPr>
        <w:spacing w:after="0" w:line="143"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In addition, the Controlling the Assault of Non-Solicited Pornography and Marketing Act of 2003 ("CAN-SPAM Act"), establishes certain requirements for commercial email messages and specifies penalties for the transmission of commercial email messages that are intended to deceive the recipient as to source or content. The CAN-SPAM Act, among other things, obligates the sender of commercial emails to provide recipients with the ability to opt out of receiving future commercial emails from the sender. The ability of our customers’ message recipients to opt out of receiving commercial emails may minimize the effectiveness of the email components of our customer platform. In addition, certain states and foreign jurisdictions, such as Australia, Canada and the European Union, have enacted laws that regulate sending email, and some of these laws are more restrictive than U.S. laws. For example, some foreign laws prohibit sending unsolicited email unless the recipient has provided the sender advance consent to receipt of such email, or in other words has “opted-in” to receiving it. A requirement that recipients opt into, or the ability of recipients to opt out of, receiving commercial emails may minimize the effectiveness of our platform.</w:t>
      </w:r>
    </w:p>
    <w:p>
      <w:pPr>
        <w:spacing w:after="0" w:line="148" w:lineRule="exact"/>
        <w:rPr>
          <w:sz w:val="20"/>
          <w:szCs w:val="20"/>
          <w:color w:val="auto"/>
        </w:rPr>
      </w:pPr>
    </w:p>
    <w:p>
      <w:pPr>
        <w:ind w:right="160" w:firstLine="509"/>
        <w:spacing w:after="0" w:line="255" w:lineRule="auto"/>
        <w:rPr>
          <w:sz w:val="20"/>
          <w:szCs w:val="20"/>
          <w:color w:val="auto"/>
        </w:rPr>
      </w:pPr>
      <w:r>
        <w:rPr>
          <w:rFonts w:ascii="Times New Roman" w:cs="Times New Roman" w:eastAsia="Times New Roman" w:hAnsi="Times New Roman"/>
          <w:sz w:val="18"/>
          <w:szCs w:val="18"/>
          <w:color w:val="auto"/>
        </w:rPr>
        <w:t>While these laws and regulations generally govern our customers’ use of our customer platform, we may be subject to certain laws as a data processor on behalf of, or as a business associate of, our customers. For example, laws and regulations governing the collection, use and disclosure of personal data include, in the United States, rules and regulations promulgated under the authority of the Federal Trade Commission, the Health Insurance Portability and Accountability Act of 1996, the Gramm-Leach-Bliley Act of 1999 and state breach notification laws, and internationally, the GDPR and other privacy and data protection laws. If we were found to be in violation of any of these laws or regulations as a result of government enforcement or private litigation, we could be subjected to civil and criminal sanctions, including both monetary fines and injunctive action that could force us to change our business practices, all of which could adversely affect our financial performance and significantly harm our reputation and our business.</w:t>
      </w:r>
    </w:p>
    <w:p>
      <w:pPr>
        <w:spacing w:after="0" w:line="18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61" w:right="379" w:bottom="1440" w:gutter="0" w:footer="0" w:header="0"/>
        </w:sectPr>
      </w:pPr>
    </w:p>
    <w:bookmarkStart w:id="33" w:name="page34"/>
    <w:bookmarkEnd w:id="33"/>
    <w:p>
      <w:pPr>
        <w:ind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governmental export controls and economic sanctions laws that could impair our ability to compete in international markets and subject us to liability if we are not in full compliance with applicable laws.</w:t>
      </w:r>
    </w:p>
    <w:p>
      <w:pPr>
        <w:spacing w:after="0" w:line="132"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Our business activities are subject to various restrictions under U.S. export controls and trade and economic sanctions laws, including the U.S. Commerce Department’s Export Administration Regulations and economic and trade sanctions regulations maintained by the U.S. Treasury Department’s Office of Foreign Assets Control. If we fail to comply with these laws and regulations, we and certain of our employees could be subject to civil or criminal penalties and reputational harm. Obtaining the necessary authorizations, including any required license, for a particular transaction may be time-consuming, is not guaranteed, and may result in the delay or loss of sales opportunities. Furthermore, U.S. export control laws and economic sanctions laws prohibit certain transactions with U.S. embargoed or sanctioned countries, governments, persons and entities. These sanctions laws with which we must comply may also change rapidly from time to time as a result of geopolitical events, such as the recent imposition of sanctions on Russia as a result of the conflict between Russia and Ukraine. Although we take precautions to prevent transactions with U.S. sanction targets, the possibility exists that we could inadvertently provide our solutions to persons prohibited by U.S. sanctions. This could result in negative consequences to us, including government investigations, penalties and reputational harm.</w:t>
      </w: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Taxation</w:t>
      </w:r>
    </w:p>
    <w:p>
      <w:pPr>
        <w:spacing w:after="0" w:line="198"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additional obligations to collect and remit sales tax and other taxes, and we may be subject to tax liability for past sales, which could harm our business.</w:t>
      </w:r>
    </w:p>
    <w:p>
      <w:pPr>
        <w:spacing w:after="0" w:line="118" w:lineRule="exact"/>
        <w:rPr>
          <w:sz w:val="20"/>
          <w:szCs w:val="20"/>
          <w:color w:val="auto"/>
        </w:rPr>
      </w:pPr>
    </w:p>
    <w:p>
      <w:pPr>
        <w:ind w:right="80" w:firstLine="509"/>
        <w:spacing w:after="0" w:line="255" w:lineRule="auto"/>
        <w:rPr>
          <w:sz w:val="20"/>
          <w:szCs w:val="20"/>
          <w:color w:val="auto"/>
        </w:rPr>
      </w:pPr>
      <w:r>
        <w:rPr>
          <w:rFonts w:ascii="Times New Roman" w:cs="Times New Roman" w:eastAsia="Times New Roman" w:hAnsi="Times New Roman"/>
          <w:sz w:val="18"/>
          <w:szCs w:val="18"/>
          <w:color w:val="auto"/>
        </w:rPr>
        <w:t>State, local, and non-U.S. jurisdictions have differing rules and regulations governing sales, use, value added, digital service, and other taxes, and these rules and regulations are subject to varying interpretations that may change over time. In particular, the applicability of such taxes to our customer platform in various jurisdictions can be unclear. Further, these jurisdictions’ rules regarding tax nexus are complex and vary significantly. As a result, we could face the possibility of tax assessments and audits, and our liability for these taxes and associated penalties could exceed our original estimates. A successful assertion that we should be collecting additional sales, use, value added or other taxes in those jurisdictions where we have not historically done so and do not accrue for such taxes could result in substantial tax liabilities and related penalties for past sales, discourage customers from purchasing our application or otherwise harm our business and operating results.</w:t>
      </w:r>
    </w:p>
    <w:p>
      <w:pPr>
        <w:spacing w:after="0" w:line="144"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tax laws or regulations that are applied adversely to us or our customers could increase the costs of our customer platform and adversely impact our business.</w:t>
      </w:r>
    </w:p>
    <w:p>
      <w:pPr>
        <w:spacing w:after="0" w:line="132"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New income, sales, use or other tax laws, statutes, rules, regulations or ordinances could be enacted at any time. Any new taxes could adversely affect our domestic and international business operations, and our business and financial performance. Further, existing tax laws, statutes, rules, regulations or ordinances could be interpreted, changed, modified or applied adversely to us. These events could require us or our customers to pay additional tax amounts on a prospective or retroactive basis, as well as require us or our customers to pay fines and/or penalties and interest for past amounts deemed to be due. For example, under Section 174 of the Code, in taxable years beginning after December 31, 2021, expenses that are incurred for research and development in the United States will be capitalized and amortized, which may have an adverse effect on our cash flow. If we raise our prices to offset the costs of these changes, existing and potential future customers may elect not to continue or purchase our customer platform in the future. Additionally, new, changed, modified or newly interpreted or applied tax laws could increase our customers’ and our compliance, operating and other costs, as well as the costs of our platform. Any or all of these events could adversely impact our business, cash flows and financial performance. Furthermore, as our employees continue to work remotely from geographic locations across the United States and internationally, we may become subject to additional taxes and our compliance burdens with respect to the tax laws of additional jurisdictions may increase.</w:t>
      </w:r>
    </w:p>
    <w:p>
      <w:pPr>
        <w:spacing w:after="0" w:line="147"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 multinational organization faced with increasingly complex tax issues in many jurisdictions, and we could be obligated to pay additional taxes in various jurisdictions.</w:t>
      </w:r>
    </w:p>
    <w:p>
      <w:pPr>
        <w:spacing w:after="0" w:line="118"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As a multinational organization, we may be subject to taxation in several jurisdictions around the world with increasingly complex tax laws, the application of which can be uncertain. The amount of taxes we pay in these jurisdictions could increase substantially as a result of changes in the applicable tax principles, including increased tax rates, new tax laws or revised interpretations of existing tax laws and precedents, or challenges to our tax positions by tax authorities, any of which could have a material adverse effect on our liquidity, financial condition or operating results. In addition, the authorities in these jurisdictions could review our tax returns and impose additional tax, interest and penalties, and the authorities could claim that various withholding requirements apply to us or our subsidiaries or assert that benefits of tax treaties are not available to us or our subsidiaries, or assert that we are subject to tax in a jurisdiction where we believe we have not established a taxable nexus, often referred to as a “permanent</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7"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color w:val="auto"/>
        </w:rPr>
        <w:t>establishment” under international tax treaties, any of which could have a material impact on us, our financial condition or our operating results.</w:t>
      </w:r>
    </w:p>
    <w:p>
      <w:pPr>
        <w:spacing w:after="0" w:line="2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utilize a significant portion of our net operating loss carryforwards, which could adversely affect our profitability.</w:t>
      </w:r>
    </w:p>
    <w:p>
      <w:pPr>
        <w:spacing w:after="0" w:line="189"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We have incurred losses during our history and we may never achieve profitability. As of December 31, 2023, we had $861.4 million of U.S. federal and $740.0 million of state net operating loss carryforwards due to prior period losses, which have an indefinite carryforward and begin to expire in 2025 for state purposes. The state net operating loss carryforwards could expire unused and be unavailable to offset future income tax liabilities, which could adversely affect our profitability. In addition, under Section 382 and Section 383 of the Internal Revenue Code of 1986, as amended, which we refer to as the Code, our ability to utilize net operating loss carryforwards or other tax attributes, such as research tax credits, in any taxable year may be further limited if we experience an “ownership change.” An ownership change generally occurs if one or more stockholders or groups of stockholders who own at least 5% of our stock increase their ownership by more than 50 percentage points over their lowest ownership percentage (by value) within a rolling three-year period. Similar rules may apply under state tax laws. We may have experienced an ownership change in the past, and future issuances of our stock could cause an ownership change. It is possible that any such ownership change could have a material effect on the use of our net operating loss carryforwards or other tax attributes accrued prior to such ownership change, which could adversely affect our profitability.</w:t>
      </w: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Operating Results and Financial Condition</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a history of losses and may not achieve profitability in the future.</w:t>
      </w:r>
    </w:p>
    <w:p>
      <w:pPr>
        <w:spacing w:after="0" w:line="189"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We generated net losses of $176.3 million in 2023, $112.7 million in 2022, and $77.8 million in 2021. As of December 31, 2023, we had an accumulated deficit of $818.7 million. We will need to generate and sustain increased revenue levels in future periods to become profitable, and, even if we do, we may not be able to maintain or increase our level of profitability. We have spent and intend to continue to expend significant funds on our marketing, sales, customer service, operations, and content management operations, develop and enhance our customer platform, scale our data center infrastructure and services capabilities and expand into new markets. Our efforts to grow our business may be more costly than we expect, and we may not be able to increase our revenue enough to offset our higher operating expenses. We may incur significant losses in the future for a number of reasons, including the other risks described in this Annual Report on Form 10-K, and unforeseen expenses, difficulties, complications and delays and other unknown events. If we are unable to achieve and sustain profitability, the market price of our common stock may significantly decrease.</w:t>
      </w:r>
    </w:p>
    <w:p>
      <w:pPr>
        <w:spacing w:after="0" w:line="147"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7"/>
          <w:szCs w:val="17"/>
          <w:b w:val="1"/>
          <w:bCs w:val="1"/>
          <w:i w:val="1"/>
          <w:iCs w:val="1"/>
          <w:color w:val="auto"/>
        </w:rPr>
        <w:t>From time to time, we may invest funds in social impact investment funds, and may receive no return on our investment or lose our entire investment.</w:t>
      </w:r>
    </w:p>
    <w:p>
      <w:pPr>
        <w:spacing w:after="0" w:line="214"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From time to time, we may invest in social impact investment funds. As of December 31, 2023, we have invested $8.5 million in the Black Economic Development Fund and $7.5 million in support of Minority Depository Institutions to help close the racial wealth, health and opportunity gap. There is no guarantee as to the performance of this investment or any similar investments we make in the future. Depending on the performance of this investment and future investments we may make, we may not receive any return on our investment or we may lose our entire investment, which could have an adverse effect on our business.</w:t>
      </w:r>
    </w:p>
    <w:p>
      <w:pPr>
        <w:spacing w:after="0" w:line="139"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experience quarterly fluctuations in our operating results due to a number of factors, which makes our future results difficult to predict and could cause our operating results to fall below expectations or our guidance.</w:t>
      </w:r>
    </w:p>
    <w:p>
      <w:pPr>
        <w:spacing w:after="0" w:line="118" w:lineRule="exact"/>
        <w:rPr>
          <w:sz w:val="20"/>
          <w:szCs w:val="20"/>
          <w:color w:val="auto"/>
        </w:rPr>
      </w:pPr>
    </w:p>
    <w:p>
      <w:pPr>
        <w:ind w:right="200" w:firstLine="509"/>
        <w:spacing w:after="0" w:line="261" w:lineRule="auto"/>
        <w:rPr>
          <w:sz w:val="20"/>
          <w:szCs w:val="20"/>
          <w:color w:val="auto"/>
        </w:rPr>
      </w:pPr>
      <w:r>
        <w:rPr>
          <w:rFonts w:ascii="Times New Roman" w:cs="Times New Roman" w:eastAsia="Times New Roman" w:hAnsi="Times New Roman"/>
          <w:sz w:val="18"/>
          <w:szCs w:val="18"/>
          <w:color w:val="auto"/>
        </w:rPr>
        <w:t>Our quarterly operating results have fluctuated in the past and are expected to fluctuate in the future due to a variety of factors, many of which are outside of our control. As a result, our past results may not be indicative of our future performance, and comparing our operating results on a period-to-period basis may not be meaningful. In addition to the other risks described in this Annual Report on Form 10-K, factors that may affect our quarterly operating results include the following:</w:t>
      </w:r>
    </w:p>
    <w:p>
      <w:pPr>
        <w:spacing w:after="0" w:line="153" w:lineRule="exact"/>
        <w:rPr>
          <w:sz w:val="20"/>
          <w:szCs w:val="20"/>
          <w:color w:val="auto"/>
        </w:rPr>
      </w:pPr>
    </w:p>
    <w:p>
      <w:pPr>
        <w:ind w:left="1020" w:right="460" w:hanging="503"/>
        <w:spacing w:after="0" w:line="282"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spending on marketing, sales, customer service, operations, and content management software by our current or prospective customers;</w:t>
      </w:r>
    </w:p>
    <w:p>
      <w:pPr>
        <w:spacing w:after="0" w:line="121" w:lineRule="exact"/>
        <w:rPr>
          <w:rFonts w:ascii="Times New Roman" w:cs="Times New Roman" w:eastAsia="Times New Roman" w:hAnsi="Times New Roman"/>
          <w:sz w:val="18"/>
          <w:szCs w:val="18"/>
          <w:color w:val="auto"/>
        </w:rPr>
      </w:pPr>
    </w:p>
    <w:p>
      <w:pPr>
        <w:ind w:left="1020" w:right="660" w:hanging="503"/>
        <w:spacing w:after="0" w:line="282"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pricing our customer platform subscriptions effectively so that we are able to attract and retain customers without compromising our profitability;</w:t>
      </w:r>
    </w:p>
    <w:p>
      <w:pPr>
        <w:spacing w:after="0" w:line="121" w:lineRule="exact"/>
        <w:rPr>
          <w:rFonts w:ascii="Times New Roman" w:cs="Times New Roman" w:eastAsia="Times New Roman" w:hAnsi="Times New Roman"/>
          <w:sz w:val="18"/>
          <w:szCs w:val="18"/>
          <w:color w:val="auto"/>
        </w:rPr>
      </w:pPr>
    </w:p>
    <w:p>
      <w:pPr>
        <w:ind w:left="1020" w:right="220" w:hanging="503"/>
        <w:spacing w:after="0" w:line="282"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attracting new customers for our marketing, sales, customer service, operations, and content management software, increasing our existing customers’ use of our platform and providing our customers with excellent customer support;</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61" w:right="359" w:bottom="1440" w:gutter="0" w:footer="0" w:header="0"/>
        </w:sectPr>
      </w:pPr>
    </w:p>
    <w:bookmarkStart w:id="35" w:name="page36"/>
    <w:bookmarkEnd w:id="35"/>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 renewal rates and the amounts for which agreements are renewed;</w:t>
      </w:r>
    </w:p>
    <w:p>
      <w:pPr>
        <w:spacing w:after="0" w:line="19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awareness of our thought leadership and brand;</w:t>
      </w:r>
    </w:p>
    <w:p>
      <w:pPr>
        <w:spacing w:after="0" w:line="184" w:lineRule="exact"/>
        <w:rPr>
          <w:rFonts w:ascii="Times New Roman" w:cs="Times New Roman" w:eastAsia="Times New Roman" w:hAnsi="Times New Roman"/>
          <w:sz w:val="18"/>
          <w:szCs w:val="18"/>
          <w:color w:val="auto"/>
        </w:rPr>
      </w:pPr>
    </w:p>
    <w:p>
      <w:pPr>
        <w:ind w:left="1020" w:right="280" w:hanging="503"/>
        <w:spacing w:after="0" w:line="282"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competitive dynamics of our market, including consolidation among competitors or customers and the introduction of new products or product enhancements;</w:t>
      </w:r>
    </w:p>
    <w:p>
      <w:pPr>
        <w:spacing w:after="0" w:line="12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the commission plans, quotas and other compensation-related metrics for our sales representatives;</w:t>
      </w:r>
    </w:p>
    <w:p>
      <w:pPr>
        <w:spacing w:after="0" w:line="198" w:lineRule="exact"/>
        <w:rPr>
          <w:rFonts w:ascii="Times New Roman" w:cs="Times New Roman" w:eastAsia="Times New Roman" w:hAnsi="Times New Roman"/>
          <w:sz w:val="18"/>
          <w:szCs w:val="18"/>
          <w:color w:val="auto"/>
        </w:rPr>
      </w:pPr>
    </w:p>
    <w:p>
      <w:pPr>
        <w:ind w:left="1020" w:right="660" w:hanging="503"/>
        <w:spacing w:after="0" w:line="282"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and timing of payment for operating expenses, particularly research and development, sales and marketing expenses and employee benefit expenses;</w:t>
      </w:r>
    </w:p>
    <w:p>
      <w:pPr>
        <w:spacing w:after="0" w:line="12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and timing of costs associated with recruiting, training and integrating new employees while maintaining our company culture;</w:t>
      </w:r>
    </w:p>
    <w:p>
      <w:pPr>
        <w:spacing w:after="0" w:line="184" w:lineRule="exact"/>
        <w:rPr>
          <w:rFonts w:ascii="Times New Roman" w:cs="Times New Roman" w:eastAsia="Times New Roman" w:hAnsi="Times New Roman"/>
          <w:sz w:val="18"/>
          <w:szCs w:val="18"/>
          <w:color w:val="auto"/>
        </w:rPr>
      </w:pPr>
    </w:p>
    <w:p>
      <w:pPr>
        <w:ind w:left="1020" w:right="520" w:hanging="503"/>
        <w:spacing w:after="0" w:line="282"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manage our existing business and future growth, including increases in the number of customers on our platform and the introduction and adoption of our customer platform in new markets outside of the United States;</w:t>
      </w:r>
    </w:p>
    <w:p>
      <w:pPr>
        <w:spacing w:after="0" w:line="134" w:lineRule="exact"/>
        <w:rPr>
          <w:rFonts w:ascii="Times New Roman" w:cs="Times New Roman" w:eastAsia="Times New Roman" w:hAnsi="Times New Roman"/>
          <w:sz w:val="18"/>
          <w:szCs w:val="18"/>
          <w:color w:val="auto"/>
        </w:rPr>
      </w:pPr>
    </w:p>
    <w:p>
      <w:pPr>
        <w:ind w:left="1020" w:right="260" w:hanging="503"/>
        <w:spacing w:after="0" w:line="282"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costs and expenses related to the expansion of our business, operations and infrastructure, including disruptions in our hosting network infrastructure and privacy and data security;</w:t>
      </w:r>
    </w:p>
    <w:p>
      <w:pPr>
        <w:spacing w:after="0" w:line="12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currency exchange rate fluctuations;</w:t>
      </w:r>
    </w:p>
    <w:p>
      <w:pPr>
        <w:spacing w:after="0" w:line="18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rising inflation in the economies in which we operate and our ability to control costs, including operating expenses; and</w:t>
      </w:r>
    </w:p>
    <w:p>
      <w:pPr>
        <w:spacing w:after="0" w:line="19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and political conditions in our domestic and international markets.</w:t>
      </w:r>
    </w:p>
    <w:p>
      <w:pPr>
        <w:spacing w:after="0" w:line="185" w:lineRule="exact"/>
        <w:rPr>
          <w:sz w:val="20"/>
          <w:szCs w:val="20"/>
          <w:color w:val="auto"/>
        </w:rPr>
      </w:pPr>
    </w:p>
    <w:p>
      <w:pPr>
        <w:jc w:val="both"/>
        <w:ind w:right="140" w:firstLine="509"/>
        <w:spacing w:after="0" w:line="266" w:lineRule="auto"/>
        <w:rPr>
          <w:sz w:val="20"/>
          <w:szCs w:val="20"/>
          <w:color w:val="auto"/>
        </w:rPr>
      </w:pPr>
      <w:r>
        <w:rPr>
          <w:rFonts w:ascii="Times New Roman" w:cs="Times New Roman" w:eastAsia="Times New Roman" w:hAnsi="Times New Roman"/>
          <w:sz w:val="18"/>
          <w:szCs w:val="18"/>
          <w:color w:val="auto"/>
        </w:rPr>
        <w:t>We may not be able to accurately forecast the amount and mix of future subscriptions, revenue and expenses and, as a result, our operating results may fall below our estimates or the expectations of public market analysts and investors. If our revenue or operating results fall below the expectations of investors or securities analysts, or below any guidance we may provide, the price of our common stock could decline.</w:t>
      </w:r>
    </w:p>
    <w:p>
      <w:pPr>
        <w:spacing w:after="0" w:line="131"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do not accurately predict subscription renewal rates or otherwise fail to forecast our revenue accurately, or if we fail to match our expenditures with corresponding revenue, our operating results could be adversely affected.</w:t>
      </w:r>
    </w:p>
    <w:p>
      <w:pPr>
        <w:spacing w:after="0" w:line="132" w:lineRule="exact"/>
        <w:rPr>
          <w:sz w:val="20"/>
          <w:szCs w:val="20"/>
          <w:color w:val="auto"/>
        </w:rPr>
      </w:pPr>
    </w:p>
    <w:p>
      <w:pPr>
        <w:jc w:val="both"/>
        <w:ind w:right="460" w:firstLine="509"/>
        <w:spacing w:after="0" w:line="266" w:lineRule="auto"/>
        <w:rPr>
          <w:sz w:val="20"/>
          <w:szCs w:val="20"/>
          <w:color w:val="auto"/>
        </w:rPr>
      </w:pPr>
      <w:r>
        <w:rPr>
          <w:rFonts w:ascii="Times New Roman" w:cs="Times New Roman" w:eastAsia="Times New Roman" w:hAnsi="Times New Roman"/>
          <w:sz w:val="18"/>
          <w:szCs w:val="18"/>
          <w:color w:val="auto"/>
        </w:rPr>
        <w:t>Because our recent growth has resulted in the rapid expansion of our business, we do not have a long history upon which to base forecasts of renewal rates with customers or future operating revenue. As a result, our operating results in future reporting periods may be significantly below the expectations of the public market, equity research analysts or investors, which could harm the price of our common stock.</w:t>
      </w:r>
    </w:p>
    <w:p>
      <w:pPr>
        <w:spacing w:after="0" w:line="172"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accounting standards and subjective assumptions, estimates and judgments by management related to complex accounting matters could significantly affect our financial condition and results of operations.</w:t>
      </w:r>
    </w:p>
    <w:p>
      <w:pPr>
        <w:spacing w:after="0" w:line="159"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We apply accounting principles and related pronouncements, implementation guidelines and interpretations to a wide range of matters that are relevant to our business, are highly complex and involve subjective assumptions, estimates and judgments by our management. Changes in these rules or their interpretation, or changes in underlying assumptions, estimates or judgments by our management, could significantly change our reported or expected financial performance.</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Notes</w:t>
      </w:r>
    </w:p>
    <w:p>
      <w:pPr>
        <w:spacing w:after="0" w:line="18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Servicing our debt may require a significant amount of cash. We may not have sufficient cash flow from our business to pay our indebtedness, and we may not have the ability to raise the funds necessary to settle for cash conversions of the Notes or to repurchase the Notes for cash upon a fundamental change, which could adversely affect our business and results of operations.</w:t>
      </w:r>
    </w:p>
    <w:p>
      <w:pPr>
        <w:spacing w:after="0" w:line="148"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In June 2020, we incurred indebtedness in the aggregate principal amount of $460.0 million in connection with the issuance of our 0.375% convertible senior notes due June 1, 2025 (the “2025 Notes”). Our ability to make scheduled payments of the principal of, to pay interest on or to refinance our indebtedness, including the Notes, depends on our future performance, which is subject to economic, financial, competitive and other factors beyond our control. Our business may not continue to generate cash flow from operations in the future sufficient to service our debt and make necessary capital expenditures. If we are unable to generate such cash</w:t>
      </w:r>
    </w:p>
    <w:p>
      <w:pPr>
        <w:spacing w:after="0" w:line="1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61" w:right="379" w:bottom="1440" w:gutter="0" w:footer="0" w:header="0"/>
        </w:sectPr>
      </w:pPr>
    </w:p>
    <w:bookmarkStart w:id="36" w:name="page37"/>
    <w:bookmarkEnd w:id="36"/>
    <w:p>
      <w:pPr>
        <w:ind w:right="40"/>
        <w:spacing w:after="0" w:line="256" w:lineRule="auto"/>
        <w:rPr>
          <w:sz w:val="20"/>
          <w:szCs w:val="20"/>
          <w:color w:val="auto"/>
        </w:rPr>
      </w:pPr>
      <w:r>
        <w:rPr>
          <w:rFonts w:ascii="Times New Roman" w:cs="Times New Roman" w:eastAsia="Times New Roman" w:hAnsi="Times New Roman"/>
          <w:sz w:val="18"/>
          <w:szCs w:val="18"/>
          <w:color w:val="auto"/>
        </w:rPr>
        <w:t>flow, we may be required to adopt one or more alternatives, such as selling assets, restructuring debt or obtaining additional debt financing or equity capital on terms that may be onerous or highly dilutive. Our ability to refinance any future indebtedness will depend on the capital markets and our financial condition at such time. We may not be able to engage in any of these activities or engage in these activities on desirable terms, which could result in a default on our debt obligations. In addition, any of our future debt agreements may contain restrictive covenants that may prohibit us from adopting any of these alternatives. Our failure to comply with these covenants could result in an event of default which, if not cured or waived, could result in the acceleration of our debt.</w:t>
      </w:r>
    </w:p>
    <w:p>
      <w:pPr>
        <w:spacing w:after="0" w:line="160"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In addition, holders of the Notes have the right to require us to repurchase their Notes upon the occurrence of a fundamental change at a fundamental change repurchase price equal to 100% of the principal amount of the Notes to be repurchased, plus accrued and unpaid interest, if any. Upon conversion of the Notes, unless we elect to deliver solely shares of our common stock to settle such conversion (other than paying cash in lieu of delivering any fractional share), we will be required to make cash payments in respect of the Notes being converted. We may not have enough available cash or be able to obtain financing at the time we are required to make repurchases of Notes surrendered therefor or Notes being converted. In addition, our ability to repurchase the Notes or to pay cash upon conversions of the Notes may be limited by law, by regulatory authority or by agreements governing our future indebtedness. Our failure to repurchase Notes at a time when the repurchase is required by the indenture governing the notes or to pay any cash payable on future conversions of the Notes as required by such indenture would constitute a default under such indenture. A default under the indenture or the fundamental change itself could also lead to a default under agreements governing our future indebtedness. If the repayment of the related indebtedness were to be accelerated after any applicable notice or grace periods, we may not have sufficient funds to repay the indebtedness and repurchase the Notes or make cash payments upon conversions thereof.</w:t>
      </w:r>
    </w:p>
    <w:p>
      <w:pPr>
        <w:spacing w:after="0" w:line="151" w:lineRule="exact"/>
        <w:rPr>
          <w:sz w:val="20"/>
          <w:szCs w:val="20"/>
          <w:color w:val="auto"/>
        </w:rPr>
      </w:pPr>
    </w:p>
    <w:p>
      <w:pPr>
        <w:ind w:right="1040" w:firstLine="509"/>
        <w:spacing w:after="0" w:line="282" w:lineRule="auto"/>
        <w:rPr>
          <w:sz w:val="20"/>
          <w:szCs w:val="20"/>
          <w:color w:val="auto"/>
        </w:rPr>
      </w:pPr>
      <w:r>
        <w:rPr>
          <w:rFonts w:ascii="Times New Roman" w:cs="Times New Roman" w:eastAsia="Times New Roman" w:hAnsi="Times New Roman"/>
          <w:sz w:val="18"/>
          <w:szCs w:val="18"/>
          <w:color w:val="auto"/>
        </w:rPr>
        <w:t>In addition, our indebtedness, combined with our other financial obligations and contractual commitments, could have other important consequences. For example, it could:</w:t>
      </w:r>
    </w:p>
    <w:p>
      <w:pPr>
        <w:spacing w:after="0" w:line="121" w:lineRule="exact"/>
        <w:rPr>
          <w:sz w:val="20"/>
          <w:szCs w:val="20"/>
          <w:color w:val="auto"/>
        </w:rPr>
      </w:pPr>
    </w:p>
    <w:p>
      <w:pPr>
        <w:ind w:left="1020" w:right="440" w:hanging="503"/>
        <w:spacing w:after="0" w:line="282"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us more vulnerable to adverse changes in general U.S. and worldwide economic, industry and competitive conditions and adverse changes in government regulation;</w:t>
      </w:r>
    </w:p>
    <w:p>
      <w:pPr>
        <w:spacing w:after="0" w:line="13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our flexibility in planning for, or reacting to, changes in our business and our industry;</w:t>
      </w:r>
    </w:p>
    <w:p>
      <w:pPr>
        <w:spacing w:after="0" w:line="18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place us at a disadvantage compared to our competitors who have less debt; and</w:t>
      </w:r>
    </w:p>
    <w:p>
      <w:pPr>
        <w:spacing w:after="0" w:line="18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our ability to borrow additional amounts to fund acquisitions, for working capital and for other general corporate purposes.</w:t>
      </w:r>
    </w:p>
    <w:p>
      <w:pPr>
        <w:spacing w:after="0" w:line="198" w:lineRule="exact"/>
        <w:rPr>
          <w:sz w:val="20"/>
          <w:szCs w:val="20"/>
          <w:color w:val="auto"/>
        </w:rPr>
      </w:pPr>
    </w:p>
    <w:p>
      <w:pPr>
        <w:ind w:right="620" w:firstLine="509"/>
        <w:spacing w:after="0" w:line="282" w:lineRule="auto"/>
        <w:rPr>
          <w:sz w:val="20"/>
          <w:szCs w:val="20"/>
          <w:color w:val="auto"/>
        </w:rPr>
      </w:pPr>
      <w:r>
        <w:rPr>
          <w:rFonts w:ascii="Times New Roman" w:cs="Times New Roman" w:eastAsia="Times New Roman" w:hAnsi="Times New Roman"/>
          <w:sz w:val="18"/>
          <w:szCs w:val="18"/>
          <w:color w:val="auto"/>
        </w:rPr>
        <w:t>Any of these factors could materially and adversely affect our business, financial condition and results of operations. In addition, if we incur additional indebtedness, the risks related to our business and our ability to service or repay our indebtedness would increase.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conditional conversion feature of the Notes, if triggered, may adversely affect our financial condition and operating results.</w:t>
      </w:r>
    </w:p>
    <w:p>
      <w:pPr>
        <w:spacing w:after="0" w:line="189" w:lineRule="exact"/>
        <w:rPr>
          <w:sz w:val="20"/>
          <w:szCs w:val="20"/>
          <w:color w:val="auto"/>
        </w:rPr>
      </w:pPr>
    </w:p>
    <w:p>
      <w:pPr>
        <w:ind w:right="60" w:firstLine="509"/>
        <w:spacing w:after="0" w:line="253" w:lineRule="auto"/>
        <w:rPr>
          <w:sz w:val="20"/>
          <w:szCs w:val="20"/>
          <w:color w:val="auto"/>
        </w:rPr>
      </w:pPr>
      <w:r>
        <w:rPr>
          <w:rFonts w:ascii="Times New Roman" w:cs="Times New Roman" w:eastAsia="Times New Roman" w:hAnsi="Times New Roman"/>
          <w:sz w:val="18"/>
          <w:szCs w:val="18"/>
          <w:color w:val="auto"/>
        </w:rPr>
        <w:t>In the event the conditional conversion feature of the 2025 Notes is triggered, the holders thereof will be entitled to convert the 2025 Notes at any time during specified periods at their option. Because the last reported sale price of the Company’s common stock for at least 20 trading days during the period of 30 consecutive trading days ending on the last trading day of the calendar quarter ended December 31, 2023 was equal to or greater than 130% of the applicable conversion price on each applicable trading day, the 2025 Notes are convertible at the option of the holders thereof during the calendar quarter ending December 31, 2023. As of February 9, 2024, the Company has not received any material conversion notices with respect to the 2025 Notes. Whether the Notes that remain outstanding will be convertible following the calendar quarter ended December 31, 2023 will depend on the continued satisfaction of this condition or another conversion condition in the future. If one or more holders elect to convert their Notes, unless we elect to satisfy our conversion obligation by delivering solely shares of our common stock (other than paying cash in lieu of delivering any fractional share), we would be required to settle a portion or all of our conversion obligation through the payment of cash, which could adversely affect our liquidity. In addition, even if holders do not elect to convert their Notes, we could be required under applicable accounting rules to reclassify all or a portion of the outstanding principal of the Notes as a current rather than long-term liability, which would result in a material reduction of our net working capital.</w:t>
      </w:r>
    </w:p>
    <w:p>
      <w:pPr>
        <w:spacing w:after="0" w:line="161" w:lineRule="exact"/>
        <w:rPr>
          <w:sz w:val="20"/>
          <w:szCs w:val="20"/>
          <w:color w:val="auto"/>
        </w:rPr>
      </w:pPr>
    </w:p>
    <w:p>
      <w:pPr>
        <w:ind w:right="5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accounting method for convertible debt securities that may be settled in cash, such as the Notes, could have a material effect on our reported financial results.</w:t>
      </w:r>
    </w:p>
    <w:p>
      <w:pPr>
        <w:spacing w:after="0" w:line="118"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In August 2020, the FASB issued guidance simplifying the accounting for convertible instruments by reducing the number of accounting models for convertible debt instruments and convertible preferred stock. The new standard eliminates requirements to separately account for liability and equity components of such convertible debt instruments and requires the use of the if-converted method for calculating the diluted earnings per share for convertible debt instruments. We adopted the guidance on January 1, 2022,</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37" w:name="page38"/>
    <w:bookmarkEnd w:id="37"/>
    <w:p>
      <w:pPr>
        <w:ind w:right="40"/>
        <w:spacing w:after="0" w:line="282" w:lineRule="auto"/>
        <w:rPr>
          <w:sz w:val="20"/>
          <w:szCs w:val="20"/>
          <w:color w:val="auto"/>
        </w:rPr>
      </w:pPr>
      <w:r>
        <w:rPr>
          <w:rFonts w:ascii="Times New Roman" w:cs="Times New Roman" w:eastAsia="Times New Roman" w:hAnsi="Times New Roman"/>
          <w:sz w:val="18"/>
          <w:szCs w:val="18"/>
          <w:color w:val="auto"/>
        </w:rPr>
        <w:t>using the modified retrospective method. Future interest expense of the convertible notes will be lower as a result of adoption of this guidance and net loss per share will be computed using the if-converted method for these securities.</w:t>
      </w:r>
    </w:p>
    <w:p>
      <w:pPr>
        <w:spacing w:after="0" w:line="135" w:lineRule="exact"/>
        <w:rPr>
          <w:sz w:val="20"/>
          <w:szCs w:val="20"/>
          <w:color w:val="auto"/>
        </w:rPr>
      </w:pPr>
    </w:p>
    <w:p>
      <w:pPr>
        <w:jc w:val="both"/>
        <w:ind w:right="120" w:firstLine="509"/>
        <w:spacing w:after="0" w:line="289" w:lineRule="auto"/>
        <w:rPr>
          <w:sz w:val="20"/>
          <w:szCs w:val="20"/>
          <w:color w:val="auto"/>
        </w:rPr>
      </w:pPr>
      <w:r>
        <w:rPr>
          <w:rFonts w:ascii="Times New Roman" w:cs="Times New Roman" w:eastAsia="Times New Roman" w:hAnsi="Times New Roman"/>
          <w:sz w:val="17"/>
          <w:szCs w:val="17"/>
          <w:color w:val="auto"/>
        </w:rPr>
        <w:t>The if-converted method assumes that all of the Notes were converted solely into shares of common stock at the beginning of the reporting period, unless the result would be anti-dilutive. The application of the if-converted method may reduce our reported diluted net income per share to the extent we are profitable, and accounting standards may change in the future in a manner that may otherwise adversely affect our diluted net income per share.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counterparty risk with respect to the Capped Call Options.</w:t>
      </w:r>
    </w:p>
    <w:p>
      <w:pPr>
        <w:spacing w:after="0" w:line="229"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In connection with the offering of the 2025 Notes, we purchased capped call options (“Capped Call Options”) with respect to our common stock for $50.6 million. The counterparties to the Capped Call Options are financial institutions, and we will be subject to the risk that one or more of the counterparties may default, fail to perform or exercise their termination rights under the Capped Call Options. Global economic conditions have, from time to time, resulted in the actual or perceived failure or financial difficulties of many financial institutions. If a counterparty to the Capped Call Options becomes subject to insolvency proceedings, we will become an unsecured creditor in those proceedings with a claim equal to our exposure at the time under such transaction. In addition, upon a default, failure to perform or a termination of the Capped Call Options by a counterparty, we may suffer more dilution than we currently anticipate with respect to our common stock. We can provide no assurances as to the financial stability or viability of the counterparties.</w:t>
      </w:r>
    </w:p>
    <w:p>
      <w:pPr>
        <w:spacing w:after="0" w:line="19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61" w:right="39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color w:val="auto"/>
        </w:rPr>
        <w:t>Risks Related to Our Common Stock</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stock price may be volatile and you may be unable to sell your shares at or above the price you purchased them.</w:t>
      </w:r>
    </w:p>
    <w:p>
      <w:pPr>
        <w:spacing w:after="0" w:line="189"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The trading prices of the securities of technology companies, including providers of software via the cloud-based model, have been highly volatile. Since shares of our common stock were sold in our initial public offering in October 2014 at a price of $25.00 per share, our stock price has ranged from $25.79 to $866.00 through December 31, 2023. The market price of our common stock may fluctuate significantly in response to numerous factors, many of which are beyond our control, including:</w:t>
      </w:r>
    </w:p>
    <w:p>
      <w:pPr>
        <w:spacing w:after="0" w:line="139" w:lineRule="exact"/>
        <w:rPr>
          <w:sz w:val="20"/>
          <w:szCs w:val="20"/>
          <w:color w:val="auto"/>
        </w:rPr>
      </w:pPr>
    </w:p>
    <w:p>
      <w:pPr>
        <w:ind w:left="1020" w:right="380" w:hanging="503"/>
        <w:spacing w:after="0" w:line="282"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fluctuations in our revenue and other operating results, including as a result of the addition or loss of any number of customers;</w:t>
      </w:r>
    </w:p>
    <w:p>
      <w:pPr>
        <w:spacing w:after="0" w:line="134" w:lineRule="exact"/>
        <w:rPr>
          <w:rFonts w:ascii="Times New Roman" w:cs="Times New Roman" w:eastAsia="Times New Roman" w:hAnsi="Times New Roman"/>
          <w:sz w:val="18"/>
          <w:szCs w:val="18"/>
          <w:color w:val="auto"/>
        </w:rPr>
      </w:pPr>
    </w:p>
    <w:p>
      <w:pPr>
        <w:ind w:left="1020" w:right="340" w:hanging="503"/>
        <w:spacing w:after="0" w:line="282"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our competitors of significant technical innovations, acquisitions, strategic partnerships, joint ventures or capital commitments;</w:t>
      </w:r>
    </w:p>
    <w:p>
      <w:pPr>
        <w:spacing w:after="0" w:line="12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financial projections we may provide to the public, any changes in these projections or our failure to meet these projections;</w:t>
      </w:r>
    </w:p>
    <w:p>
      <w:pPr>
        <w:spacing w:after="0" w:line="184" w:lineRule="exact"/>
        <w:rPr>
          <w:rFonts w:ascii="Times New Roman" w:cs="Times New Roman" w:eastAsia="Times New Roman" w:hAnsi="Times New Roman"/>
          <w:sz w:val="18"/>
          <w:szCs w:val="18"/>
          <w:color w:val="auto"/>
        </w:rPr>
      </w:pPr>
    </w:p>
    <w:p>
      <w:pPr>
        <w:ind w:left="1020" w:right="400" w:hanging="503"/>
        <w:spacing w:after="0" w:line="282"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securities analysts to initiate or maintain coverage of us, changes in ratings and financial estimates and the publication of other news by any securities analysts who follow our company, or our failure to meet these estimates or the expectations of investors;</w:t>
      </w:r>
    </w:p>
    <w:p>
      <w:pPr>
        <w:spacing w:after="0" w:line="134" w:lineRule="exact"/>
        <w:rPr>
          <w:rFonts w:ascii="Times New Roman" w:cs="Times New Roman" w:eastAsia="Times New Roman" w:hAnsi="Times New Roman"/>
          <w:sz w:val="18"/>
          <w:szCs w:val="18"/>
          <w:color w:val="auto"/>
        </w:rPr>
      </w:pPr>
    </w:p>
    <w:p>
      <w:pPr>
        <w:ind w:left="1020" w:right="540" w:hanging="503"/>
        <w:spacing w:after="0" w:line="282"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operating performance and stock market valuations of cloud-based software or other technology companies, or those in our industry in particular;</w:t>
      </w:r>
    </w:p>
    <w:p>
      <w:pPr>
        <w:spacing w:after="0" w:line="121" w:lineRule="exact"/>
        <w:rPr>
          <w:rFonts w:ascii="Times New Roman" w:cs="Times New Roman" w:eastAsia="Times New Roman" w:hAnsi="Times New Roman"/>
          <w:sz w:val="18"/>
          <w:szCs w:val="18"/>
          <w:color w:val="auto"/>
        </w:rPr>
      </w:pPr>
    </w:p>
    <w:p>
      <w:pPr>
        <w:ind w:left="1020" w:right="560" w:hanging="503"/>
        <w:spacing w:after="0" w:line="282"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 and volume fluctuations in the trading of our common stock and in the overall stock market, including as a result of trends in the economy as a whole;</w:t>
      </w:r>
    </w:p>
    <w:p>
      <w:pPr>
        <w:spacing w:after="0" w:line="12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large blocks of our common stock or the dilutive effect of our Notes or any other equity or equity-linked financings;</w:t>
      </w:r>
    </w:p>
    <w:p>
      <w:pPr>
        <w:spacing w:after="0" w:line="198" w:lineRule="exact"/>
        <w:rPr>
          <w:rFonts w:ascii="Times New Roman" w:cs="Times New Roman" w:eastAsia="Times New Roman" w:hAnsi="Times New Roman"/>
          <w:sz w:val="18"/>
          <w:szCs w:val="18"/>
          <w:color w:val="auto"/>
        </w:rPr>
      </w:pPr>
    </w:p>
    <w:p>
      <w:pPr>
        <w:ind w:left="1020" w:right="220" w:hanging="503"/>
        <w:spacing w:after="0" w:line="282"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laws or regulations or new interpretations of existing laws or regulations applicable to our business or industry, including data privacy and data security;</w:t>
      </w:r>
    </w:p>
    <w:p>
      <w:pPr>
        <w:spacing w:after="0" w:line="12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lawsuits threatened or filed against us;</w:t>
      </w:r>
    </w:p>
    <w:p>
      <w:pPr>
        <w:spacing w:after="0" w:line="18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key personnel; and</w:t>
      </w:r>
    </w:p>
    <w:p>
      <w:pPr>
        <w:spacing w:after="0" w:line="198" w:lineRule="exact"/>
        <w:rPr>
          <w:rFonts w:ascii="Times New Roman" w:cs="Times New Roman" w:eastAsia="Times New Roman" w:hAnsi="Times New Roman"/>
          <w:sz w:val="18"/>
          <w:szCs w:val="18"/>
          <w:color w:val="auto"/>
        </w:rPr>
      </w:pPr>
    </w:p>
    <w:p>
      <w:pPr>
        <w:ind w:left="1020" w:right="100" w:hanging="503"/>
        <w:spacing w:after="0" w:line="282"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events or factors, including changes in general economic, industry and market conditions and trends, international disputes, wars (such as the conflict between Russia and Ukraine and the evolving events in Israel and Gaza), and political stability.</w:t>
      </w:r>
    </w:p>
    <w:p>
      <w:pPr>
        <w:spacing w:after="0" w:line="121" w:lineRule="exact"/>
        <w:rPr>
          <w:sz w:val="20"/>
          <w:szCs w:val="20"/>
          <w:color w:val="auto"/>
        </w:rPr>
      </w:pPr>
    </w:p>
    <w:p>
      <w:pPr>
        <w:ind w:firstLine="578"/>
        <w:spacing w:after="0" w:line="266" w:lineRule="auto"/>
        <w:rPr>
          <w:sz w:val="20"/>
          <w:szCs w:val="20"/>
          <w:color w:val="auto"/>
        </w:rPr>
      </w:pPr>
      <w:r>
        <w:rPr>
          <w:rFonts w:ascii="Times New Roman" w:cs="Times New Roman" w:eastAsia="Times New Roman" w:hAnsi="Times New Roman"/>
          <w:sz w:val="18"/>
          <w:szCs w:val="18"/>
          <w:color w:val="auto"/>
        </w:rPr>
        <w:t>In addition, the stock markets have experienced extreme price and volume fluctuations that have affected and continue to affect the market prices of equity securities of many technology companies. Stock prices of many technology companies have fluctuated in a manner unrelated or disproportionate to the operating performance of those companies.</w:t>
      </w:r>
    </w:p>
    <w:p>
      <w:pPr>
        <w:spacing w:after="0" w:line="135" w:lineRule="exact"/>
        <w:rPr>
          <w:sz w:val="20"/>
          <w:szCs w:val="20"/>
          <w:color w:val="auto"/>
        </w:rPr>
      </w:pPr>
    </w:p>
    <w:p>
      <w:pPr>
        <w:jc w:val="both"/>
        <w:ind w:right="260" w:firstLine="578"/>
        <w:spacing w:after="0" w:line="266" w:lineRule="auto"/>
        <w:rPr>
          <w:sz w:val="20"/>
          <w:szCs w:val="20"/>
          <w:color w:val="auto"/>
        </w:rPr>
      </w:pPr>
      <w:r>
        <w:rPr>
          <w:rFonts w:ascii="Times New Roman" w:cs="Times New Roman" w:eastAsia="Times New Roman" w:hAnsi="Times New Roman"/>
          <w:sz w:val="18"/>
          <w:szCs w:val="18"/>
          <w:color w:val="auto"/>
        </w:rPr>
        <w:t>In the past, stockholders have instituted securities class action litigation following periods of market volatility. If we were to become involved in securities litigation, it could subject us to substantial costs, divert resources and the attention of management from our business and adversely affect our business.</w:t>
      </w:r>
    </w:p>
    <w:p>
      <w:pPr>
        <w:spacing w:after="0" w:line="145"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maintain an effective system of disclosure controls and internal control over financial reporting, our ability to produce timely and accurate financial statements or comply with applicable regulations could be impaired.</w:t>
      </w:r>
    </w:p>
    <w:p>
      <w:pPr>
        <w:spacing w:after="0" w:line="118" w:lineRule="exact"/>
        <w:rPr>
          <w:sz w:val="20"/>
          <w:szCs w:val="20"/>
          <w:color w:val="auto"/>
        </w:rPr>
      </w:pPr>
    </w:p>
    <w:p>
      <w:pPr>
        <w:ind w:right="160" w:firstLine="578"/>
        <w:spacing w:after="0" w:line="258" w:lineRule="auto"/>
        <w:rPr>
          <w:sz w:val="20"/>
          <w:szCs w:val="20"/>
          <w:color w:val="auto"/>
        </w:rPr>
      </w:pPr>
      <w:r>
        <w:rPr>
          <w:rFonts w:ascii="Times New Roman" w:cs="Times New Roman" w:eastAsia="Times New Roman" w:hAnsi="Times New Roman"/>
          <w:sz w:val="18"/>
          <w:szCs w:val="18"/>
          <w:color w:val="auto"/>
        </w:rPr>
        <w:t>As a public company we are subject to the reporting requirements of the Securities Exchange Act of 1934, as amended (the “Exchange Act”), the Sarbanes-Oxley Act of 2002 (the “Sarbanes-Oxley Act”), the Dodd-Frank Wall Street Reform and Consumer Protection Act (the “Dodd-Frank Act”), and the rules and regulations of the New York Stock Exchange (the “NYSE”). We expect that compliance with these rules and regulations will continue to increase our legal, accounting and financial compliance costs, make some activities more difficult, time consuming and costly, and place significant strain on our personnel, systems and resources.</w:t>
      </w:r>
    </w:p>
    <w:p>
      <w:pPr>
        <w:spacing w:after="0" w:line="143" w:lineRule="exact"/>
        <w:rPr>
          <w:sz w:val="20"/>
          <w:szCs w:val="20"/>
          <w:color w:val="auto"/>
        </w:rPr>
      </w:pPr>
    </w:p>
    <w:p>
      <w:pPr>
        <w:ind w:right="80" w:firstLine="578"/>
        <w:spacing w:after="0" w:line="282" w:lineRule="auto"/>
        <w:rPr>
          <w:sz w:val="20"/>
          <w:szCs w:val="20"/>
          <w:color w:val="auto"/>
        </w:rPr>
      </w:pPr>
      <w:r>
        <w:rPr>
          <w:rFonts w:ascii="Times New Roman" w:cs="Times New Roman" w:eastAsia="Times New Roman" w:hAnsi="Times New Roman"/>
          <w:sz w:val="18"/>
          <w:szCs w:val="18"/>
          <w:color w:val="auto"/>
        </w:rPr>
        <w:t>The Sarbanes-Oxley Act requires, among other things, that we assess the effectiveness of our internal control over financial reporting annually and the effectiveness of our disclosure controls and procedures quarterly. In particular, Section 404 of the</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7" w:right="339" w:bottom="1440" w:gutter="0" w:footer="0" w:header="0"/>
        </w:sectPr>
      </w:pPr>
    </w:p>
    <w:bookmarkStart w:id="39" w:name="page40"/>
    <w:bookmarkEnd w:id="39"/>
    <w:p>
      <w:pPr>
        <w:spacing w:after="0" w:line="254" w:lineRule="auto"/>
        <w:rPr>
          <w:sz w:val="20"/>
          <w:szCs w:val="20"/>
          <w:color w:val="auto"/>
        </w:rPr>
      </w:pPr>
      <w:r>
        <w:rPr>
          <w:rFonts w:ascii="Times New Roman" w:cs="Times New Roman" w:eastAsia="Times New Roman" w:hAnsi="Times New Roman"/>
          <w:sz w:val="18"/>
          <w:szCs w:val="18"/>
          <w:color w:val="auto"/>
        </w:rPr>
        <w:t>Sarbanes-Oxley Act (“Section 404”), requires us to perform system and process evaluation and testing of our internal control over financial reporting to allow management to report on, and our independent registered public accounting firm to attest to, the effectiveness of our internal control over financial reporting. Our compliance with applicable provisions of Section 404 requires that we incur substantial accounting expenses and expend significant management time on compliance-related issues as we implement additional corporate governance practices and comply with reporting requirements. Moreover, if we are not able to comply with the requirements of Section 404 applicable to us in a timely manner, or if we or our independent registered public accounting firm identifies deficiencies in our internal control over financial reporting that are deemed to be material weaknesses, the market price of our stock could decline and we could be subject to sanctions or investigations by the SEC or other regulatory authorities, which would require additional financial and management resources.</w:t>
      </w:r>
    </w:p>
    <w:p>
      <w:pPr>
        <w:spacing w:after="0" w:line="165" w:lineRule="exact"/>
        <w:rPr>
          <w:sz w:val="20"/>
          <w:szCs w:val="20"/>
          <w:color w:val="auto"/>
        </w:rPr>
      </w:pPr>
    </w:p>
    <w:p>
      <w:pPr>
        <w:ind w:right="140" w:firstLine="578"/>
        <w:spacing w:after="0" w:line="254" w:lineRule="auto"/>
        <w:rPr>
          <w:sz w:val="20"/>
          <w:szCs w:val="20"/>
          <w:color w:val="auto"/>
        </w:rPr>
      </w:pPr>
      <w:r>
        <w:rPr>
          <w:rFonts w:ascii="Times New Roman" w:cs="Times New Roman" w:eastAsia="Times New Roman" w:hAnsi="Times New Roman"/>
          <w:sz w:val="18"/>
          <w:szCs w:val="18"/>
          <w:color w:val="auto"/>
        </w:rPr>
        <w:t>Furthermore, investor perceptions of our company may suffer if deficiencies are found, and this could cause a decline in the market price of our stock. Irrespective of compliance with Section 404, any failure of our internal control over financial reporting could have a material adverse effect on our stated operating results and harm our reputation. If we are unable to implement these requirements effectively or efficiently, it could harm our operations, financial reporting, or financial results and could result in an adverse opinion on our internal controls from our independent registered public accounting firm. In addition, as a result of our hybrid culture, many of our employees – including those critical to maintaining an effective system of disclosure controls and internal control over financial reporting – are working, and are expected to continue to work, in a remote environment and not in the office environment from which they have historically performed their duties. We have limited experience maintaining effective control systems with our employees working in remote environments, and risks that we have not contemplated may arise and result in our failure to maintain effective disclosure controls or internal control over financial reporting.</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Anti-takeover provisions in our charter documents and Delaware law may delay or prevent an acquisition of our company.</w:t>
      </w:r>
    </w:p>
    <w:p>
      <w:pPr>
        <w:spacing w:after="0" w:line="189"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Our amended and restated certificate of incorporation, amended and restated bylaws and Delaware law contain provisions that may have the effect of delaying or preventing a change in control of us or changes in our management. Our amended and restated certificate of incorporation and bylaws include provisions that:</w:t>
      </w:r>
    </w:p>
    <w:p>
      <w:pPr>
        <w:spacing w:after="0" w:line="149" w:lineRule="exact"/>
        <w:rPr>
          <w:sz w:val="20"/>
          <w:szCs w:val="20"/>
          <w:color w:val="auto"/>
        </w:rPr>
      </w:pPr>
    </w:p>
    <w:p>
      <w:pPr>
        <w:ind w:left="1020" w:right="720" w:hanging="503"/>
        <w:spacing w:after="0" w:line="282"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“blank check” preferred stock, which could be issued by the board without stockholder approval and may contain voting, liquidation, dividend and other rights superior to our common stock;</w:t>
      </w:r>
    </w:p>
    <w:p>
      <w:pPr>
        <w:spacing w:after="0" w:line="12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for a classified board of directors whose members serve staggered three-year terms;</w:t>
      </w:r>
    </w:p>
    <w:p>
      <w:pPr>
        <w:spacing w:after="0" w:line="184" w:lineRule="exact"/>
        <w:rPr>
          <w:rFonts w:ascii="Times New Roman" w:cs="Times New Roman" w:eastAsia="Times New Roman" w:hAnsi="Times New Roman"/>
          <w:sz w:val="18"/>
          <w:szCs w:val="18"/>
          <w:color w:val="auto"/>
        </w:rPr>
      </w:pPr>
    </w:p>
    <w:p>
      <w:pPr>
        <w:ind w:left="1020" w:right="640" w:hanging="503"/>
        <w:spacing w:after="0" w:line="282"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specify that special meetings of our stockholders can be called only by our board of directors, the chairperson of the board, the chief executive officer or the president;</w:t>
      </w:r>
    </w:p>
    <w:p>
      <w:pPr>
        <w:spacing w:after="0" w:line="13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 stockholder action by written consent;</w:t>
      </w:r>
    </w:p>
    <w:p>
      <w:pPr>
        <w:spacing w:after="0" w:line="184" w:lineRule="exact"/>
        <w:rPr>
          <w:rFonts w:ascii="Times New Roman" w:cs="Times New Roman" w:eastAsia="Times New Roman" w:hAnsi="Times New Roman"/>
          <w:sz w:val="18"/>
          <w:szCs w:val="18"/>
          <w:color w:val="auto"/>
        </w:rPr>
      </w:pPr>
    </w:p>
    <w:p>
      <w:pPr>
        <w:ind w:left="1020" w:right="460" w:hanging="503"/>
        <w:spacing w:after="0" w:line="282"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an advance notice procedure for stockholder approvals to be brought before an annual meeting of our stockholders, including proposed nominations of persons for election to our board of directors;</w:t>
      </w:r>
    </w:p>
    <w:p>
      <w:pPr>
        <w:spacing w:after="0" w:line="12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our directors may be removed only for cause;</w:t>
      </w:r>
    </w:p>
    <w:p>
      <w:pPr>
        <w:spacing w:after="0" w:line="19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vacancies on our board of directors may be filled only by a majority of directors then in office, even though less than a quorum;</w:t>
      </w:r>
    </w:p>
    <w:p>
      <w:pPr>
        <w:spacing w:after="0" w:line="18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specify that no stockholder is permitted to cumulate votes at any election of directors;</w:t>
      </w:r>
    </w:p>
    <w:p>
      <w:pPr>
        <w:spacing w:after="0" w:line="18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our board of directors to modify, alter or repeal our amended and restated bylaws; and</w:t>
      </w:r>
    </w:p>
    <w:p>
      <w:pPr>
        <w:spacing w:after="0" w:line="19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supermajority votes of the holders of our common stock to amend specified provisions of our charter documents.</w:t>
      </w:r>
    </w:p>
    <w:p>
      <w:pPr>
        <w:spacing w:after="0" w:line="18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These provisions, alone or together, could delay or prevent hostile takeovers and changes in control or changes in our management.</w:t>
      </w:r>
    </w:p>
    <w:p>
      <w:pPr>
        <w:spacing w:after="0" w:line="185" w:lineRule="exact"/>
        <w:rPr>
          <w:sz w:val="20"/>
          <w:szCs w:val="20"/>
          <w:color w:val="auto"/>
        </w:rPr>
      </w:pPr>
    </w:p>
    <w:p>
      <w:pPr>
        <w:ind w:right="40" w:firstLine="509"/>
        <w:spacing w:after="0" w:line="312" w:lineRule="auto"/>
        <w:rPr>
          <w:sz w:val="20"/>
          <w:szCs w:val="20"/>
          <w:color w:val="auto"/>
        </w:rPr>
      </w:pPr>
      <w:r>
        <w:rPr>
          <w:rFonts w:ascii="Times New Roman" w:cs="Times New Roman" w:eastAsia="Times New Roman" w:hAnsi="Times New Roman"/>
          <w:sz w:val="17"/>
          <w:szCs w:val="17"/>
          <w:color w:val="auto"/>
        </w:rPr>
        <w:t>In addition, because we are incorporated in Delaware, we are governed by the provisions of Section 203 of the Delaware General Corporation Law, which limits the ability of stockholders owning in excess of 15% of our outstanding voting stock to merge or combine with us in certain circumstances.</w:t>
      </w:r>
    </w:p>
    <w:p>
      <w:pPr>
        <w:spacing w:after="0" w:line="113" w:lineRule="exact"/>
        <w:rPr>
          <w:sz w:val="20"/>
          <w:szCs w:val="20"/>
          <w:color w:val="auto"/>
        </w:rPr>
      </w:pPr>
    </w:p>
    <w:p>
      <w:pPr>
        <w:ind w:right="480" w:firstLine="509"/>
        <w:spacing w:after="0" w:line="282" w:lineRule="auto"/>
        <w:rPr>
          <w:sz w:val="20"/>
          <w:szCs w:val="20"/>
          <w:color w:val="auto"/>
        </w:rPr>
      </w:pPr>
      <w:r>
        <w:rPr>
          <w:rFonts w:ascii="Times New Roman" w:cs="Times New Roman" w:eastAsia="Times New Roman" w:hAnsi="Times New Roman"/>
          <w:sz w:val="18"/>
          <w:szCs w:val="18"/>
          <w:color w:val="auto"/>
        </w:rPr>
        <w:t>Any provision of our amended and restated certificate of incorporation or amended and restated bylaws or Delaware law that has the effect of delaying or deterring a change in control could limit the opportunity for our stockholders to receive a premium for</w:t>
      </w:r>
    </w:p>
    <w:p>
      <w:pPr>
        <w:spacing w:after="0" w:line="16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61" w:right="39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color w:val="auto"/>
        </w:rPr>
        <w:t>their shares of our common stock, and could also affect the price that some investors are willing to pay for our common stock.</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Catastrophic events could disrupt our business and adversely affect our financial condition and results of operations.</w:t>
      </w:r>
    </w:p>
    <w:p>
      <w:pPr>
        <w:spacing w:after="0" w:line="189" w:lineRule="exact"/>
        <w:rPr>
          <w:sz w:val="20"/>
          <w:szCs w:val="20"/>
          <w:color w:val="auto"/>
        </w:rPr>
      </w:pPr>
    </w:p>
    <w:p>
      <w:pPr>
        <w:ind w:right="120" w:firstLine="509"/>
        <w:spacing w:after="0" w:line="253" w:lineRule="auto"/>
        <w:rPr>
          <w:sz w:val="20"/>
          <w:szCs w:val="20"/>
          <w:color w:val="auto"/>
        </w:rPr>
      </w:pPr>
      <w:r>
        <w:rPr>
          <w:rFonts w:ascii="Times New Roman" w:cs="Times New Roman" w:eastAsia="Times New Roman" w:hAnsi="Times New Roman"/>
          <w:sz w:val="18"/>
          <w:szCs w:val="18"/>
          <w:color w:val="auto"/>
        </w:rPr>
        <w:t>We rely on our network infrastructure and enterprise applications, internal technology systems and website for our development, marketing, operations, support, hosted services and sales activities. In addition, some of our businesses rely on third-party hosted services, and we do not control the operation of third-party data center facilities serving our customers from around the world, which increases our vulnerability. A disruption, infiltration or failure of these systems or third-party hosted services in the event of a major earthquake, fire, flood, tsunami or other weather event, power loss, telecommunications failure, software or hardware malfunctions, pandemics (such as the COVID-19 pandemic), cyber-attack, war, terrorist attack or other catastrophic event that we do not adequately address, could cause system interruptions, reputational harm, loss of intellectual property, delays in our product development, lengthy interruptions in our services, breaches of data security and loss of critical data. Any of these events could prevent us from fulfilling our customer demands or could negatively impact a country or region in which we sell our products, which could in turn decrease that country’s or region’s demand for our products. A catastrophic event that results in the destruction or disruption of any of our data centers or our critical business or information technology systems could severely affect our ability to conduct normal business operations and, as a result, our future operating results could be adversely affected. The adverse effects of any such catastrophic event would be exacerbated if experienced at the same time as another unexpected and adverse event, such as the COVID-19 pandemic.</w:t>
      </w:r>
    </w:p>
    <w:p>
      <w:pPr>
        <w:spacing w:after="0" w:line="163"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The occurrence of regional epidemics or a global pandemic, such as the COVID-19 pandemic, may have an adverse effect on how we and our customers operate our businesses and our operating and financial results. Our operations may in the future be negatively affected by a range of external factors related to the pandemic that are not within our control, including the emergence and spread of more transmissible variants and the degree of transmissibility and severity thereof. The extent to which global pandemics, such as the COVID-19 pandemic, impact our financial condition or results of operations will depend on factors, such as the duration and scope of the pandemic, as well as whether there is a material impact on the businesses or productivity of our customers, partners, employee, suppliers and other partners. To the extent that a pandemic, such as the COVID-19 pandemic, harms our business and results of operations, many of the other risks described in this “Risk Factors” section, may be heightened.</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Failure to comply with laws and regulations could harm our business.</w:t>
      </w:r>
    </w:p>
    <w:p>
      <w:pPr>
        <w:spacing w:after="0" w:line="189"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Our business is subject to regulation by various federal, state, local and foreign governmental agencies, including agencies responsible for monitoring and enforcing employment and labor laws, workplace safety, environmental laws, consumer protection laws, anti-bribery laws, import/export controls, federal securities laws and tax laws and regulations. In certain jurisdictions, these regulatory requirements may be more stringent than those in the United States. Noncompliance with applicable regulations or requirements could subject us to investigations, sanctions, mandatory recalls, enforcement actions, disgorgement of profits, fines, damages, civil and criminal penalties or injunctions.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raise capital in the future may be limited, and our failure to raise capital when needed could prevent us from growing.</w:t>
      </w:r>
    </w:p>
    <w:p>
      <w:pPr>
        <w:spacing w:after="0" w:line="189"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Our business and operations may consume resources faster than we anticipate. In the future, we may need to raise additional funds to invest in future growth opportunities. Additional financing may not be available on favorable terms, if at all. In addition, recent volatility in capital markets and lower market prices for many securities may affect our ability to access new capital through sales of shares of our common stock or issuance of indebtedness, which may materially harm our liquidity, limit our ability to grow our business, pursue acquisitions or improve our operating infrastructure and restrict our ability to compete in our markets.</w:t>
      </w:r>
    </w:p>
    <w:p>
      <w:pPr>
        <w:spacing w:after="0" w:line="143" w:lineRule="exact"/>
        <w:rPr>
          <w:sz w:val="20"/>
          <w:szCs w:val="20"/>
          <w:color w:val="auto"/>
        </w:rPr>
      </w:pPr>
    </w:p>
    <w:p>
      <w:pPr>
        <w:ind w:right="100" w:firstLine="509"/>
        <w:spacing w:after="0" w:line="255" w:lineRule="auto"/>
        <w:rPr>
          <w:sz w:val="20"/>
          <w:szCs w:val="20"/>
          <w:color w:val="auto"/>
        </w:rPr>
      </w:pPr>
      <w:r>
        <w:rPr>
          <w:rFonts w:ascii="Times New Roman" w:cs="Times New Roman" w:eastAsia="Times New Roman" w:hAnsi="Times New Roman"/>
          <w:sz w:val="18"/>
          <w:szCs w:val="18"/>
          <w:color w:val="auto"/>
        </w:rPr>
        <w:t>If adequate funds are not available on acceptable terms, we may be unable to invest in future growth opportunities, which could seriously harm our business and operating results. If we incur debt, the debt holders would have rights senior to common stockholders to make claims on our assets, and the terms of any debt could restrict our operations, including our ability to pay dividends on our common stock. Furthermore, if we issue equity securities, stockholders will experience dilution, and the new equity securities could have rights senior to those of our common stock. The Notes are and any additional equity or equity-linked financings would be dilutive to our stockholders. Because our decision to issue securities in any future offering will depend on market conditions and other factors beyond our control, we cannot predict or estimate the amount, timing or nature of our future offerings. As a result, our stockholders bear the risk of our future securities offerings reducing the market price of our common stock and diluting their interest.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61" w:right="35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i w:val="1"/>
          <w:iCs w:val="1"/>
          <w:color w:val="auto"/>
        </w:rPr>
        <w:t>Climate change may have a long-term impact on our business</w:t>
      </w:r>
    </w:p>
    <w:p>
      <w:pPr>
        <w:spacing w:after="0" w:line="202"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While we seek to partner with organizations that mitigate their business risks associated with climate change, we recognize that there are inherent risks wherever business is conducted. Any of our primary locations may be vulnerable to the adverse effects of climate change. For example, our offices globally may experience climate-related events at an increasing frequency, including drought, water scarcity, heat waves, cold waves, wildfires and resultant air quality impacts and power shutoffs associated with wildfire prevention. While this danger has a low-assessed risk of disrupting normal business operations, it has the potential to disrupt employees’ abilities to commute to work or to work from home and stay connected effectively. Furthermore, it is more difficult to mitigate the impact of these events on our employees to the extent they work from home. Climate-related events, including the increasing frequency of extreme weather events and their impact on the U.S.’s, Europe’s and other major regions’ critical infrastructure, have the potential to disrupt our business, our third-party suppliers and/or the business of our customers, and may cause us to experience higher attrition, losses and additional costs to maintain or resume operations. Regulatory developments, changing market dynamics and stakeholder expectations regarding climate change may impact our business, financial condition and results of operations. To inform our disclosures and take potential action as appropriate, we are working to align our reporting with emerging disclosure and accounting standards such as the Financial Stability Board’s Task Force on Climate-Related Financial Disclosures, the Sustainability Accounting Standards Board and the Global Reporting Initiative as well as potential new disclosure requirements from regulators such as the SEC.</w:t>
      </w:r>
    </w:p>
    <w:p>
      <w:pPr>
        <w:spacing w:after="0" w:line="18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157" w:right="419" w:bottom="1440" w:gutter="0" w:footer="0" w:header="0"/>
        </w:sectPr>
      </w:pPr>
    </w:p>
    <w:bookmarkStart w:id="42" w:name="page43"/>
    <w:bookmarkEnd w:id="42"/>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1B.</w:t>
      </w:r>
      <w:r>
        <w:rPr>
          <w:sz w:val="20"/>
          <w:szCs w:val="20"/>
          <w:color w:val="auto"/>
        </w:rPr>
        <w:tab/>
      </w:r>
      <w:r>
        <w:rPr>
          <w:rFonts w:ascii="Times New Roman" w:cs="Times New Roman" w:eastAsia="Times New Roman" w:hAnsi="Times New Roman"/>
          <w:sz w:val="17"/>
          <w:szCs w:val="17"/>
          <w:b w:val="1"/>
          <w:bCs w:val="1"/>
          <w:color w:val="auto"/>
        </w:rPr>
        <w:t>UNRESOLVED STAFF COMMENTS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383"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1C.</w:t>
      </w:r>
      <w:r>
        <w:rPr>
          <w:sz w:val="20"/>
          <w:szCs w:val="20"/>
          <w:color w:val="auto"/>
        </w:rPr>
        <w:tab/>
      </w:r>
      <w:r>
        <w:rPr>
          <w:rFonts w:ascii="Times New Roman" w:cs="Times New Roman" w:eastAsia="Times New Roman" w:hAnsi="Times New Roman"/>
          <w:sz w:val="17"/>
          <w:szCs w:val="17"/>
          <w:b w:val="1"/>
          <w:bCs w:val="1"/>
          <w:color w:val="auto"/>
        </w:rPr>
        <w:t>CYBERSECURITY</w:t>
      </w:r>
    </w:p>
    <w:p>
      <w:pPr>
        <w:spacing w:after="0" w:line="202"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Cybersecurity represents an important component of our overall approach to business strategy, risk management and financial oversight. Our board recognizes the critical importance of maintaining the trust and confidence of our customers, business partners and employees, and is actively involved in oversight of our risk management program. The board performs this oversight function at the full board level, as well as through its standing committees that address risks inherent in their respective areas of oversight. The audit committee is responsible for reviewing and assessing the quality and effectiveness of our cybersecurity policies, practices and procedures protecting our information technology systems, data, products and services across all business functions, and reporting its findings to the board, which has final oversight responsibility over cybersecurity-related matters.</w:t>
      </w:r>
    </w:p>
    <w:p>
      <w:pPr>
        <w:spacing w:after="0" w:line="147"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Our cybersecurity policies, standards, processes and practices are informed by industry-recognized standards. In general, we seek to address cybersecurity risks through a cross-functional approach that is designed to preserve the confidentiality, security and availability of the information that we collect and store.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Cyber Risk Management and Strategy</w:t>
      </w:r>
    </w:p>
    <w:p>
      <w:pPr>
        <w:spacing w:after="0" w:line="202"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Under the board’s and audit committee’s oversight, we have implemented and maintain a risk management program that includes processes for the systematic identification, assessment and treatment (through mitigation, transfer, avoidance and/or acceptance) of cybersecurity risks. This risk management program addresses, but is not limited to, risks identified by internal auditors and assessors, threat intelligence providers, internal stakeholders, vulnerability management programs and security management programs. We also engage external independent assessors from time to time to conduct cyber risk assessments and to report both findings and recommendations to management.</w:t>
      </w:r>
    </w:p>
    <w:p>
      <w:pPr>
        <w:spacing w:after="0" w:line="139" w:lineRule="exact"/>
        <w:rPr>
          <w:sz w:val="20"/>
          <w:szCs w:val="20"/>
          <w:color w:val="auto"/>
        </w:rPr>
      </w:pPr>
    </w:p>
    <w:p>
      <w:pPr>
        <w:ind w:firstLine="50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Risk assessments: </w:t>
      </w:r>
      <w:r>
        <w:rPr>
          <w:rFonts w:ascii="Times New Roman" w:cs="Times New Roman" w:eastAsia="Times New Roman" w:hAnsi="Times New Roman"/>
          <w:sz w:val="18"/>
          <w:szCs w:val="18"/>
          <w:color w:val="auto"/>
        </w:rPr>
        <w:t>Our security team, in coordination with our enterprise risk management team, conducts periodic risk assessments to identify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analyze the business and security risks, vulnerabilities, emerging technologies, laws and regulations. An internal audit team evaluates the results of these risk assessments to determine critical areas for review as part of our annual internal audit plan. The results of the internal audit plan are reported to the audit committee, and the security team manages and maintains remediation strategies for identified risks.</w:t>
      </w:r>
    </w:p>
    <w:p>
      <w:pPr>
        <w:spacing w:after="0" w:line="136" w:lineRule="exact"/>
        <w:rPr>
          <w:sz w:val="20"/>
          <w:szCs w:val="20"/>
          <w:color w:val="auto"/>
        </w:rPr>
      </w:pPr>
    </w:p>
    <w:p>
      <w:pPr>
        <w:ind w:right="140" w:firstLine="509"/>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Vendor risk management: </w:t>
      </w:r>
      <w:r>
        <w:rPr>
          <w:rFonts w:ascii="Times New Roman" w:cs="Times New Roman" w:eastAsia="Times New Roman" w:hAnsi="Times New Roman"/>
          <w:sz w:val="18"/>
          <w:szCs w:val="18"/>
          <w:color w:val="auto"/>
        </w:rPr>
        <w:t>As part of our risk management program, our vendor risk management teams are responsible for conducting due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diligence on vendors submitted for risk evaluation where medium- or high-risk data is in scope. We require assessments of these third-party vendors prior to establishing a business relationship, and annually thereafter for high-risk vendors, as part of our efforts to require these vendors to maintain their commitments related to data security, availability and confidentiality. Our security team’s assessment of vendors’ security controls and processes is calibrated to the risk level assigned to the vendor.</w:t>
      </w:r>
    </w:p>
    <w:p>
      <w:pPr>
        <w:spacing w:after="0" w:line="152" w:lineRule="exact"/>
        <w:rPr>
          <w:sz w:val="20"/>
          <w:szCs w:val="20"/>
          <w:color w:val="auto"/>
        </w:rPr>
      </w:pPr>
    </w:p>
    <w:p>
      <w:pPr>
        <w:ind w:right="120" w:firstLine="50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Incident response</w:t>
      </w:r>
      <w:r>
        <w:rPr>
          <w:rFonts w:ascii="Times New Roman" w:cs="Times New Roman" w:eastAsia="Times New Roman" w:hAnsi="Times New Roman"/>
          <w:sz w:val="18"/>
          <w:szCs w:val="18"/>
          <w:color w:val="auto"/>
        </w:rPr>
        <w:t>: We employ a formal process to identify, track, prioritize and remediate cybersecurity incidents that may impact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confidentiality, integrity and availability of data stored and processed on our information systems. This process addresses event detection, triage and classification, investigation and escalation, containment and mitigation, recovery and corrective actions. We maintain a written incident response plan that establishes roles, responsibilities and procedures to guide incident response operations.</w:t>
      </w:r>
    </w:p>
    <w:p>
      <w:pPr>
        <w:spacing w:after="0" w:line="136" w:lineRule="exact"/>
        <w:rPr>
          <w:sz w:val="20"/>
          <w:szCs w:val="20"/>
          <w:color w:val="auto"/>
        </w:rPr>
      </w:pPr>
    </w:p>
    <w:p>
      <w:pPr>
        <w:ind w:right="300" w:firstLine="50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Policies and procedures</w:t>
      </w:r>
      <w:r>
        <w:rPr>
          <w:rFonts w:ascii="Times New Roman" w:cs="Times New Roman" w:eastAsia="Times New Roman" w:hAnsi="Times New Roman"/>
          <w:sz w:val="18"/>
          <w:szCs w:val="18"/>
          <w:color w:val="auto"/>
        </w:rPr>
        <w:t>: Our security and legal teams actively participate in industry and other advisory groups and monitor regulatory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requirements to keep apprised of evolving risks. Policies and procedures, including our Written Information Security Policy, are periodically updated to adapt to evolving business conditions and information technology requirements.</w:t>
      </w:r>
    </w:p>
    <w:p>
      <w:pPr>
        <w:spacing w:after="0" w:line="134" w:lineRule="exact"/>
        <w:rPr>
          <w:sz w:val="20"/>
          <w:szCs w:val="20"/>
          <w:color w:val="auto"/>
        </w:rPr>
      </w:pPr>
    </w:p>
    <w:p>
      <w:pPr>
        <w:ind w:right="200" w:firstLine="509"/>
        <w:spacing w:after="0" w:line="261" w:lineRule="auto"/>
        <w:rPr>
          <w:sz w:val="20"/>
          <w:szCs w:val="20"/>
          <w:color w:val="auto"/>
        </w:rPr>
      </w:pPr>
      <w:r>
        <w:rPr>
          <w:rFonts w:ascii="Times New Roman" w:cs="Times New Roman" w:eastAsia="Times New Roman" w:hAnsi="Times New Roman"/>
          <w:sz w:val="18"/>
          <w:szCs w:val="18"/>
          <w:color w:val="auto"/>
        </w:rPr>
        <w:t>We, like other companies in our industry, face a number of cybersecurity risks in connection with our business. Although risks from cybersecurity threats have to date not materially affected, and we do not believe they are reasonably likely to materially affect, us, our business strategy, results of operations or financial condition, we have, from time to time, experienced threats and security incidents relating to our and our third party vendors’ information systems. For more information, please see “Item 1A, Risk Factors.”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Governance Related to Cybersecurity Risks</w:t>
      </w:r>
    </w:p>
    <w:p>
      <w:pPr>
        <w:spacing w:after="0" w:line="185" w:lineRule="exact"/>
        <w:rPr>
          <w:sz w:val="20"/>
          <w:szCs w:val="20"/>
          <w:color w:val="auto"/>
        </w:rPr>
      </w:pPr>
    </w:p>
    <w:p>
      <w:pPr>
        <w:jc w:val="both"/>
        <w:ind w:right="80" w:firstLine="50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Board oversight</w:t>
      </w:r>
      <w:r>
        <w:rPr>
          <w:rFonts w:ascii="Times New Roman" w:cs="Times New Roman" w:eastAsia="Times New Roman" w:hAnsi="Times New Roman"/>
          <w:sz w:val="18"/>
          <w:szCs w:val="18"/>
          <w:color w:val="auto"/>
        </w:rPr>
        <w:t>: Our board has final oversight responsibility over cybersecurity-related matters. The full board participates in interactive sessions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with management, typically twice a year, dedicated to cybersecurity risks. These sessions, led by our Chief Information Security Officer (CISO), address a range of cybersecurity-related topics, such as recent developments related to the threat</w:t>
      </w:r>
    </w:p>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5" w:right="359" w:bottom="1440" w:gutter="0" w:footer="0" w:header="0"/>
        </w:sectPr>
      </w:pPr>
    </w:p>
    <w:bookmarkStart w:id="43" w:name="page44"/>
    <w:bookmarkEnd w:id="43"/>
    <w:p>
      <w:pPr>
        <w:ind w:right="480"/>
        <w:spacing w:after="0" w:line="282" w:lineRule="auto"/>
        <w:rPr>
          <w:sz w:val="20"/>
          <w:szCs w:val="20"/>
          <w:color w:val="auto"/>
        </w:rPr>
      </w:pPr>
      <w:r>
        <w:rPr>
          <w:rFonts w:ascii="Times New Roman" w:cs="Times New Roman" w:eastAsia="Times New Roman" w:hAnsi="Times New Roman"/>
          <w:sz w:val="18"/>
          <w:szCs w:val="18"/>
          <w:color w:val="auto"/>
        </w:rPr>
        <w:t>landscape, security controls, vulnerability assessments, third-party reviews, technological trends and information security considerations arising with respect to our peers and third parties.</w:t>
      </w:r>
    </w:p>
    <w:p>
      <w:pPr>
        <w:spacing w:after="0" w:line="135" w:lineRule="exact"/>
        <w:rPr>
          <w:sz w:val="20"/>
          <w:szCs w:val="20"/>
          <w:color w:val="auto"/>
        </w:rPr>
      </w:pPr>
    </w:p>
    <w:p>
      <w:pPr>
        <w:ind w:right="200" w:firstLine="509"/>
        <w:spacing w:after="0" w:line="266" w:lineRule="auto"/>
        <w:rPr>
          <w:sz w:val="20"/>
          <w:szCs w:val="20"/>
          <w:color w:val="auto"/>
        </w:rPr>
      </w:pPr>
      <w:r>
        <w:rPr>
          <w:rFonts w:ascii="Times New Roman" w:cs="Times New Roman" w:eastAsia="Times New Roman" w:hAnsi="Times New Roman"/>
          <w:sz w:val="18"/>
          <w:szCs w:val="18"/>
          <w:color w:val="auto"/>
        </w:rPr>
        <w:t>The audit committee assists the board in fulfilling its oversight responsibilities with respect to the management of risks arising from cybersecurity threats, and our security team provides written reports to the audit committee for its review. The audit committee is responsible for reporting findings related to its review of these matters to the board.</w:t>
      </w:r>
    </w:p>
    <w:p>
      <w:pPr>
        <w:spacing w:after="0" w:line="135" w:lineRule="exact"/>
        <w:rPr>
          <w:sz w:val="20"/>
          <w:szCs w:val="20"/>
          <w:color w:val="auto"/>
        </w:rPr>
      </w:pPr>
    </w:p>
    <w:p>
      <w:pPr>
        <w:ind w:right="200" w:firstLine="509"/>
        <w:spacing w:after="0" w:line="282" w:lineRule="auto"/>
        <w:rPr>
          <w:sz w:val="20"/>
          <w:szCs w:val="20"/>
          <w:color w:val="auto"/>
        </w:rPr>
      </w:pPr>
      <w:r>
        <w:rPr>
          <w:rFonts w:ascii="Times New Roman" w:cs="Times New Roman" w:eastAsia="Times New Roman" w:hAnsi="Times New Roman"/>
          <w:sz w:val="18"/>
          <w:szCs w:val="18"/>
          <w:color w:val="auto"/>
        </w:rPr>
        <w:t>As appropriate, the board also receives information regarding cybersecurity incidents as well as ongoing updates regarding mitigation of any such incidents until they have been resolved.</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Management’s role in assessing and managing cybersecurity risk</w:t>
      </w:r>
      <w:r>
        <w:rPr>
          <w:rFonts w:ascii="Times New Roman" w:cs="Times New Roman" w:eastAsia="Times New Roman" w:hAnsi="Times New Roman"/>
          <w:sz w:val="18"/>
          <w:szCs w:val="18"/>
          <w:color w:val="auto"/>
        </w:rPr>
        <w:t>: Our risk management program for cybersecurity is led by the HubSpot Security</w:t>
      </w:r>
    </w:p>
    <w:p>
      <w:pPr>
        <w:spacing w:after="0" w:line="31" w:lineRule="exact"/>
        <w:rPr>
          <w:sz w:val="20"/>
          <w:szCs w:val="20"/>
          <w:color w:val="auto"/>
        </w:rPr>
      </w:pPr>
    </w:p>
    <w:p>
      <w:pPr>
        <w:ind w:right="220" w:firstLine="8"/>
        <w:spacing w:after="0" w:line="260" w:lineRule="auto"/>
        <w:tabs>
          <w:tab w:leader="none" w:pos="18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Privacy Committee, which we refer to as the Committee. The Committee oversees our information and technology risk management, compliance, and control functions, and serves as a forum for the discussion of issues involving information security and risk management.</w:t>
      </w:r>
    </w:p>
    <w:p>
      <w:pPr>
        <w:spacing w:after="0" w:line="154"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The Committee’s members include senior members of management who are responsible for and collectively have experience in information security, information technology, data protection, risk management and compliance. This collaboration helps us incorporate cyber risk management across all of our significant risk management programs.</w:t>
      </w:r>
    </w:p>
    <w:p>
      <w:pPr>
        <w:spacing w:after="0" w:line="135"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The Committee is chaired by the CISO, who works collaboratively across the Company to implement a program designed to protect our information systems from cybersecurity threats and to promptly respond to any cybersecurity incidents in accordance with our incident response and recovery plans. The CISO attends regular meetings with representatives from the legal, ERM and security teams to review newly identified cybersecurity risks and re-review previously identified risks. The Committee then determines how identified risks should be treated. The results of these risk review processes are included in periodic presentations to our executive leadership team and the audit committee.</w:t>
      </w:r>
    </w:p>
    <w:p>
      <w:pPr>
        <w:spacing w:after="0" w:line="143"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Our CISO has over seven years of experience running cybersecurity programs and also served as the leader of the cybersecurity team at his previous organization. Effective March 1, 2024, our CISO will be departing the Company, and our Deputy CISO will be promoted to the CISO role at that time. Our Deputy CISO has over 25 years of experience working in security and infrastructure for SaaS and hosted services. She has a master's degree in cybersecurity and has maintained an active CISSP certification since 2012.The CISO reports to the Chief Technology Officer, who has overseen the cybersecurity team since 2020 and has led infrastructure teams at the Company for over 11 years.</w:t>
      </w: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189"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We occupy approximately 223,000 square feet of office space in Cambridge, Massachusetts pursuant to lease agreements that expire through 2035. We also maintain a number of international offices across the world. In January 2023, we announced our Restructuring Plan and began the process of consolidating our office space and reducing the square footage of our facilities. We believe that our existing facilities and offices are adequate to meet our needs for the foreseeable future.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135"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From time to time we may become involved in legal proceedings or be subject to claims arising in the ordinary course of our business. Although the results of litigation and claims cannot be predicted with certainty, we currently believe that the ultimate costs to resolve any pending matter will not have a material adverse effect on our business, operating results, financial condition or cash flows. Regardless of the outcome, litigation can have an adverse impact on us because of defense and settlement costs, diversion of management resources and other factors.</w:t>
      </w: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61" w:right="359" w:bottom="1440" w:gutter="0" w:footer="0" w:header="0"/>
        </w:sectPr>
      </w:pPr>
    </w:p>
    <w:bookmarkStart w:id="44" w:name="page45"/>
    <w:bookmarkEnd w:id="44"/>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 Information for Common Stock</w:t>
      </w:r>
    </w:p>
    <w:p>
      <w:pPr>
        <w:spacing w:after="0" w:line="121"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Our common stock has been listed on the New York Stock Exchange under the symbol “HUBS” since October 9, 2014. Prior to that date, there was no public trading market for our common stock. Our initial public offering was priced at $25.00 per share on October 8, 2014.</w:t>
      </w:r>
    </w:p>
    <w:p>
      <w:pPr>
        <w:spacing w:after="0" w:line="162"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As of February 9, 2024, we had 23 holders of record of our common stock. The actual number of shareholders is greater than this number of record holders, and includes shareholders who are beneficial owners, but whose shares are held in street name by brokers and other nominees. This number of holders of record also does not include shareholders whose shares may be held in trust by other entities.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121" w:lineRule="exact"/>
        <w:rPr>
          <w:sz w:val="20"/>
          <w:szCs w:val="20"/>
          <w:color w:val="auto"/>
        </w:rPr>
      </w:pPr>
    </w:p>
    <w:p>
      <w:pPr>
        <w:ind w:right="220" w:firstLine="509"/>
        <w:spacing w:after="0" w:line="261" w:lineRule="auto"/>
        <w:rPr>
          <w:sz w:val="20"/>
          <w:szCs w:val="20"/>
          <w:color w:val="auto"/>
        </w:rPr>
      </w:pPr>
      <w:r>
        <w:rPr>
          <w:rFonts w:ascii="Times New Roman" w:cs="Times New Roman" w:eastAsia="Times New Roman" w:hAnsi="Times New Roman"/>
          <w:sz w:val="18"/>
          <w:szCs w:val="18"/>
          <w:color w:val="auto"/>
        </w:rPr>
        <w:t>We have never declared or paid any cash dividends on our common stock. We currently anticipate that we will retain future earnings to fund development and growth of our business, and do not anticipate declaring or paying cash dividends in the foreseeable future. Any future determination to pay dividends will be, subject to applicable law, at the discretion of our board of directors and will depend upon, among other factors, our results of operations, financial condition, contractual restrictions, and capital requirements.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Performance Graph</w:t>
      </w:r>
    </w:p>
    <w:p>
      <w:pPr>
        <w:spacing w:after="0" w:line="121" w:lineRule="exact"/>
        <w:rPr>
          <w:sz w:val="20"/>
          <w:szCs w:val="20"/>
          <w:color w:val="auto"/>
        </w:rPr>
      </w:pPr>
    </w:p>
    <w:p>
      <w:pPr>
        <w:ind w:right="520" w:firstLine="509"/>
        <w:spacing w:after="0" w:line="266" w:lineRule="auto"/>
        <w:rPr>
          <w:sz w:val="20"/>
          <w:szCs w:val="20"/>
          <w:color w:val="auto"/>
        </w:rPr>
      </w:pPr>
      <w:r>
        <w:rPr>
          <w:rFonts w:ascii="Times New Roman" w:cs="Times New Roman" w:eastAsia="Times New Roman" w:hAnsi="Times New Roman"/>
          <w:sz w:val="18"/>
          <w:szCs w:val="18"/>
          <w:color w:val="auto"/>
        </w:rPr>
        <w:t>The following performance graph shall not be deemed “soliciting material” or to be “filed” with the Securities and Exchange Commission for purposes of Section 18 of the Exchange Act or otherwise subject to the liabilities under that Section, and shall not be deemed to be incorporated by reference into any filing of the company under the Securities Act of 1933, as amended (the “Securities Act”) or the Exchange Act.</w:t>
      </w:r>
    </w:p>
    <w:p>
      <w:pPr>
        <w:spacing w:after="0" w:line="176"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The following graph shows a comparison of the cumulative total return for our common stock, the Nasdaq Computer Index and the S&amp;P 500 Index for each of the last six fiscal years ended December 31, 2023. The graph assumes an initial investment of $100 in each of the Company’s common stock, the Nasdaq Computer Index and the S&amp;P 500. Such returns are based on historical results and are not intended to suggest future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1290955</wp:posOffset>
            </wp:positionH>
            <wp:positionV relativeFrom="paragraph">
              <wp:posOffset>123190</wp:posOffset>
            </wp:positionV>
            <wp:extent cx="4852035" cy="228028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4852035" cy="22802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2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12/31/2017</w:t>
            </w:r>
          </w:p>
        </w:tc>
        <w:tc>
          <w:tcPr>
            <w:tcW w:w="2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12/31/2018</w:t>
            </w:r>
          </w:p>
        </w:tc>
        <w:tc>
          <w:tcPr>
            <w:tcW w:w="2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12/31/2019</w:t>
            </w: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12/31/2020</w:t>
            </w:r>
          </w:p>
        </w:tc>
        <w:tc>
          <w:tcPr>
            <w:tcW w:w="2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12/31/2021</w:t>
            </w:r>
          </w:p>
        </w:tc>
        <w:tc>
          <w:tcPr>
            <w:tcW w:w="2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12/31/2022</w:t>
            </w:r>
          </w:p>
        </w:tc>
        <w:tc>
          <w:tcPr>
            <w:tcW w:w="2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12/31/2023</w:t>
            </w:r>
          </w:p>
        </w:tc>
        <w:tc>
          <w:tcPr>
            <w:tcW w:w="100" w:type="dxa"/>
            <w:vAlign w:val="bottom"/>
          </w:tcPr>
          <w:p>
            <w:pPr>
              <w:spacing w:after="0"/>
              <w:rPr>
                <w:sz w:val="16"/>
                <w:szCs w:val="16"/>
                <w:color w:val="auto"/>
              </w:rPr>
            </w:pPr>
          </w:p>
        </w:tc>
      </w:tr>
      <w:tr>
        <w:trPr>
          <w:trHeight w:val="236"/>
        </w:trPr>
        <w:tc>
          <w:tcPr>
            <w:tcW w:w="2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HubSpot</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4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3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3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448</w:t>
            </w:r>
          </w:p>
        </w:tc>
        <w:tc>
          <w:tcPr>
            <w:tcW w:w="3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746</w:t>
            </w:r>
          </w:p>
        </w:tc>
        <w:tc>
          <w:tcPr>
            <w:tcW w:w="3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3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657</w:t>
            </w:r>
          </w:p>
        </w:tc>
        <w:tc>
          <w:tcPr>
            <w:tcW w:w="100" w:type="dxa"/>
            <w:vAlign w:val="bottom"/>
            <w:shd w:val="clear" w:color="auto" w:fill="CFF0FC"/>
          </w:tcPr>
          <w:p>
            <w:pPr>
              <w:spacing w:after="0"/>
              <w:rPr>
                <w:sz w:val="20"/>
                <w:szCs w:val="20"/>
                <w:color w:val="auto"/>
              </w:rPr>
            </w:pPr>
          </w:p>
        </w:tc>
      </w:tr>
      <w:tr>
        <w:trPr>
          <w:trHeight w:val="239"/>
        </w:trPr>
        <w:tc>
          <w:tcPr>
            <w:tcW w:w="2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S&amp;P 500 Index</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4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3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100" w:type="dxa"/>
            <w:vAlign w:val="bottom"/>
          </w:tcPr>
          <w:p>
            <w:pPr>
              <w:spacing w:after="0"/>
              <w:rPr>
                <w:sz w:val="20"/>
                <w:szCs w:val="20"/>
                <w:color w:val="auto"/>
              </w:rPr>
            </w:pPr>
          </w:p>
        </w:tc>
      </w:tr>
      <w:tr>
        <w:trPr>
          <w:trHeight w:val="247"/>
        </w:trPr>
        <w:tc>
          <w:tcPr>
            <w:tcW w:w="2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Nasdaq Computer Index</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4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3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3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3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299</w:t>
            </w:r>
          </w:p>
        </w:tc>
        <w:tc>
          <w:tcPr>
            <w:tcW w:w="3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3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100" w:type="dxa"/>
            <w:vAlign w:val="bottom"/>
            <w:shd w:val="clear" w:color="auto" w:fill="CFF0FC"/>
          </w:tcPr>
          <w:p>
            <w:pPr>
              <w:spacing w:after="0"/>
              <w:rPr>
                <w:sz w:val="21"/>
                <w:szCs w:val="21"/>
                <w:color w:val="auto"/>
              </w:rPr>
            </w:pPr>
          </w:p>
        </w:tc>
      </w:tr>
      <w:tr>
        <w:trPr>
          <w:trHeight w:val="648"/>
        </w:trPr>
        <w:tc>
          <w:tcPr>
            <w:tcW w:w="2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jc w:val="right"/>
              <w:ind w:right="154"/>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63"/>
        </w:trPr>
        <w:tc>
          <w:tcPr>
            <w:tcW w:w="22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i w:val="1"/>
          <w:iCs w:val="1"/>
          <w:color w:val="auto"/>
        </w:rPr>
        <w:t>Recent Sales of Unregistered Securities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Purchases of Equity Securities by the Issuer and Affiliated Purchasers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Securities Authorized for Issuance Under Equity Compensation Plans</w:t>
      </w:r>
    </w:p>
    <w:p>
      <w:pPr>
        <w:spacing w:after="0" w:line="121" w:lineRule="exact"/>
        <w:rPr>
          <w:sz w:val="20"/>
          <w:szCs w:val="20"/>
          <w:color w:val="auto"/>
        </w:rPr>
      </w:pPr>
    </w:p>
    <w:p>
      <w:pPr>
        <w:ind w:right="340" w:firstLine="509"/>
        <w:spacing w:after="0" w:line="282" w:lineRule="auto"/>
        <w:rPr>
          <w:sz w:val="20"/>
          <w:szCs w:val="20"/>
          <w:color w:val="auto"/>
        </w:rPr>
      </w:pPr>
      <w:r>
        <w:rPr>
          <w:rFonts w:ascii="Times New Roman" w:cs="Times New Roman" w:eastAsia="Times New Roman" w:hAnsi="Times New Roman"/>
          <w:sz w:val="18"/>
          <w:szCs w:val="18"/>
          <w:color w:val="auto"/>
        </w:rPr>
        <w:t>See Item 12, “Security Ownership of Certain Beneficial Owners and Management and Related Stockholder Matters,” for information regarding securities authorized for issuance.</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Outstanding Convertible Senior Notes and Capped Call Options</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In June 2020, we issued $460 million aggregate principal amount of convertible senior notes due June 1, 2025 (the “2025 Notes”), of which $459.1 million of the principal amount remained outstanding as of December 31, 2023. In connection with the offering of the 2025 Notes, the Company purchased capped call options (“Capped Call Options”) that give the Company the option to purchase up to approximately 1.6 million shares of its common stock for $282.52 per share. See Note 9 in the Notes to the Consolidated Financial Statements for more information.</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30" w:right="39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200" w:lineRule="exact"/>
        <w:rPr>
          <w:sz w:val="20"/>
          <w:szCs w:val="20"/>
          <w:color w:val="auto"/>
        </w:rPr>
      </w:pPr>
    </w:p>
    <w:p>
      <w:pPr>
        <w:ind w:right="20" w:firstLine="509"/>
        <w:spacing w:after="0" w:line="257"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our consolidated financial statements and related notes that appear elsewhere in this Annual Report on Form 10-K. As discussed in the section titled “Special Note Regarding Forward-Looking Statements,” the following discussion and analysis contains forward-looking statements that involve risks and uncertainties, as well as assumptions that, if they never materialize or prove incorrect, could cause our results to differ materially from those expressed or implied by such forward-looking statements. Factors that could cause or contribute to such differences include, but are not limited to, those identified below, and those discussed in the section titled “Risk Factors” included under Part I, Item 1A within this Annual Report on Form 10-K.</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Overview</w:t>
      </w:r>
    </w:p>
    <w:p>
      <w:pPr>
        <w:spacing w:after="0" w:line="189" w:lineRule="exact"/>
        <w:rPr>
          <w:sz w:val="20"/>
          <w:szCs w:val="20"/>
          <w:color w:val="auto"/>
        </w:rPr>
      </w:pPr>
    </w:p>
    <w:p>
      <w:pPr>
        <w:jc w:val="both"/>
        <w:ind w:right="280" w:firstLine="509"/>
        <w:spacing w:after="0" w:line="266" w:lineRule="auto"/>
        <w:rPr>
          <w:sz w:val="20"/>
          <w:szCs w:val="20"/>
          <w:color w:val="auto"/>
        </w:rPr>
      </w:pPr>
      <w:r>
        <w:rPr>
          <w:rFonts w:ascii="Times New Roman" w:cs="Times New Roman" w:eastAsia="Times New Roman" w:hAnsi="Times New Roman"/>
          <w:sz w:val="18"/>
          <w:szCs w:val="18"/>
          <w:color w:val="212529"/>
        </w:rPr>
        <w:t>We provide a customer platform that helps businesses connect and grow better. We deliver seamless connection for customer-facing teams with a unified platform that includes three layers: AI-powered engagement hubs, a Smart CRM, and a connected ecosystem that extends the customer platform with app marketplace integrations, a community network, and educational content.</w:t>
      </w:r>
    </w:p>
    <w:p>
      <w:pPr>
        <w:spacing w:after="0" w:line="149" w:lineRule="exact"/>
        <w:rPr>
          <w:sz w:val="20"/>
          <w:szCs w:val="20"/>
          <w:color w:val="auto"/>
        </w:rPr>
      </w:pPr>
    </w:p>
    <w:p>
      <w:pPr>
        <w:ind w:right="140" w:firstLine="749"/>
        <w:spacing w:after="0" w:line="261" w:lineRule="auto"/>
        <w:rPr>
          <w:sz w:val="20"/>
          <w:szCs w:val="20"/>
          <w:color w:val="auto"/>
        </w:rPr>
      </w:pPr>
      <w:r>
        <w:rPr>
          <w:rFonts w:ascii="Times New Roman" w:cs="Times New Roman" w:eastAsia="Times New Roman" w:hAnsi="Times New Roman"/>
          <w:sz w:val="18"/>
          <w:szCs w:val="18"/>
          <w:color w:val="212529"/>
        </w:rPr>
        <w:t>Our engagement hubs include Marketing Hub, Sales Hub, Service Hub, Operations Hub, CMS Hub and Commerce Hub, as well as other tools and integrations that enable companies to attract, engage, and delight customers throughout the customer experience. Our customer platform features a central database of lead and customer interactions and integrated applications designed to help businesses attract visitors to their websites, convert visitors into leads, close leads into customers, transact with those customers, and delight them so they become promoters of those businesses.</w:t>
      </w:r>
    </w:p>
    <w:p>
      <w:pPr>
        <w:spacing w:after="0" w:line="139"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212529"/>
        </w:rPr>
        <w:t>The core of our customer platform is our Smart CRM: a single database of lead and customer information that allows businesses to track their interactions with contacts and customers, manage their customer activities, and report on their pipeline and sales. Our customer platform was built to easily and seamlessly integrate third party applications to further customize to an individual company’s industry or needs. As data is becoming more important to our customers’ success and a differentiator for our business, there is a need to move quickly on data enrichment. The acquisition of Clearbit will allow us to build enriched B2B records directly into our customer platform.</w:t>
      </w:r>
    </w:p>
    <w:p>
      <w:pPr>
        <w:spacing w:after="0" w:line="143"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212529"/>
        </w:rPr>
        <w:t>We designed and built our customer platform to serve a broad range of customers globally. Our customer platform starts completely free and grows with our customers to meet their needs at different stages in their life-cycles. It supports multiple languages and currencies and offers an array of sophisticated features, including content partitioning at the enterprise level for companies operating in or serving multiple countries.</w:t>
      </w:r>
    </w:p>
    <w:p>
      <w:pPr>
        <w:spacing w:after="0" w:line="149" w:lineRule="exact"/>
        <w:rPr>
          <w:sz w:val="20"/>
          <w:szCs w:val="20"/>
          <w:color w:val="auto"/>
        </w:rPr>
      </w:pPr>
    </w:p>
    <w:p>
      <w:pPr>
        <w:ind w:right="180" w:firstLine="509"/>
        <w:spacing w:after="0" w:line="272" w:lineRule="auto"/>
        <w:rPr>
          <w:sz w:val="20"/>
          <w:szCs w:val="20"/>
          <w:color w:val="auto"/>
        </w:rPr>
      </w:pPr>
      <w:r>
        <w:rPr>
          <w:rFonts w:ascii="Times New Roman" w:cs="Times New Roman" w:eastAsia="Times New Roman" w:hAnsi="Times New Roman"/>
          <w:sz w:val="17"/>
          <w:szCs w:val="17"/>
          <w:color w:val="auto"/>
        </w:rPr>
        <w:t>We focus on selling to mid-market business-to-business, or B2B, companies, which we define as companies that have between two and 2,000 employees. While our customer platform was built to grow with any company, we focus on selling to mid-market businesses because we believe we have significant competitive advantages attracting and serving this market segment. These mid-market businesses seek an integrated, easy-to-implement and easy-to-use solution to reach customers and compete with organizations that have larger marketing, sales, and customer service budgets. We efficiently reach these businesses at scale through our proven inbound methodology, our Solutions Partners, and our “freemium” model. A Solutions Partner is a service provider that helps businesses with strategy, execution, and implementation of go-to-market activities and technology solutions. Our freemium model attracts customers who begin using our customer platform through our free products and then upgrade to our paid products. As of December 31, 2023, we had 7,663 full-time employees and 205,091 Customers of varying sizes in more than 135 countries, representing many industries.</w:t>
      </w:r>
    </w:p>
    <w:p>
      <w:pPr>
        <w:spacing w:after="0" w:line="131"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Our customer platform is a multi-tenant, globally available software-as-a-service product delivered through APIs, web browsers or mobile applications. We sell our customer platform on a subscription basis. Our total revenue increased to $2.2 billion in 2023, from $1.7 billion in 2022, and from $1.3 billion in 2021, representing year-over-year increases of 25% in 2023 and 33% in 2022. We had net losses of $176.3 million in 2023, $112.7 million in 2022, and $77.8 million in 2021.</w:t>
      </w:r>
    </w:p>
    <w:p>
      <w:pPr>
        <w:spacing w:after="0" w:line="139"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We derive most of our revenue from subscriptions to our cloud-based customer platform and related professional services, which consist of customer on-boarding, training and consulting services. Subscription revenue accounted for 98% of our total revenue for the years ended December 31, 2023 and 2022, and 97% of our total revenue for the year ended December 31, 2021. We sell multiple product plans at different base prices on a subscription basis, each of which includes our Smart CRM and integrated applications to meet the needs of the various customers we serve. Customers pay additional fees if the number of contacts stored and tracked in the customer’s database exceeds specified thresholds. We also generate additional revenue based on the purchase of additional subscriptions and products, and the number of account users and subdomains. Most of our Customers’ subscriptions are one year or less in duration.</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7" w:right="339" w:bottom="1440" w:gutter="0" w:footer="0" w:header="0"/>
        </w:sectPr>
      </w:pPr>
    </w:p>
    <w:bookmarkStart w:id="47" w:name="page48"/>
    <w:bookmarkEnd w:id="47"/>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Subscriptions are billed in advance on various schedules. Because the mix of billing terms for orders can vary from period to period, the annualized value of the orders we enter into with our customers will not be completely reflected in deferred revenue at any single point in time. Accordingly, we do not believe that change in deferred revenue is an accurate indicator of future revenue.</w:t>
      </w:r>
    </w:p>
    <w:p>
      <w:pPr>
        <w:spacing w:after="0" w:line="149" w:lineRule="exact"/>
        <w:rPr>
          <w:sz w:val="20"/>
          <w:szCs w:val="20"/>
          <w:color w:val="auto"/>
        </w:rPr>
      </w:pPr>
    </w:p>
    <w:p>
      <w:pPr>
        <w:ind w:right="280" w:firstLine="509"/>
        <w:spacing w:after="0" w:line="261" w:lineRule="auto"/>
        <w:rPr>
          <w:sz w:val="20"/>
          <w:szCs w:val="20"/>
          <w:color w:val="auto"/>
        </w:rPr>
      </w:pPr>
      <w:r>
        <w:rPr>
          <w:rFonts w:ascii="Times New Roman" w:cs="Times New Roman" w:eastAsia="Times New Roman" w:hAnsi="Times New Roman"/>
          <w:sz w:val="18"/>
          <w:szCs w:val="18"/>
          <w:color w:val="auto"/>
        </w:rPr>
        <w:t>Many of our customers purchase on-boarding, training, and consulting services, as well as other tools, which are designed to help customers enhance their ability to attract, engage and delight their customers using our customer platform. We also generate revenue from Commerce Hub and a number of revenue-share agreements with other companies based on mutually agreed upon terms. Professional services and other revenue accounted for 2% of total revenue for the years ended December 31, 2023 and 2022, and 3% of total revenue for the year ended December 31, 2021.</w:t>
      </w:r>
    </w:p>
    <w:p>
      <w:pPr>
        <w:spacing w:after="0" w:line="139" w:lineRule="exact"/>
        <w:rPr>
          <w:sz w:val="20"/>
          <w:szCs w:val="20"/>
          <w:color w:val="auto"/>
        </w:rPr>
      </w:pPr>
    </w:p>
    <w:p>
      <w:pPr>
        <w:jc w:val="both"/>
        <w:ind w:right="120" w:firstLine="509"/>
        <w:spacing w:after="0" w:line="266" w:lineRule="auto"/>
        <w:rPr>
          <w:sz w:val="20"/>
          <w:szCs w:val="20"/>
          <w:color w:val="auto"/>
        </w:rPr>
      </w:pPr>
      <w:r>
        <w:rPr>
          <w:rFonts w:ascii="Times New Roman" w:cs="Times New Roman" w:eastAsia="Times New Roman" w:hAnsi="Times New Roman"/>
          <w:sz w:val="18"/>
          <w:szCs w:val="18"/>
          <w:color w:val="auto"/>
        </w:rPr>
        <w:t>We have focused on rapidly growing our business and plan to continue to make investments to help us address some of the challenges facing us to support this growth, such as demand for our customer platform by existing and new customers, significant competition from other providers of marketing, sales, customer service, operations, commerce, and content management software and related applications and rapid technological change in our industry.</w:t>
      </w:r>
    </w:p>
    <w:p>
      <w:pPr>
        <w:spacing w:after="0" w:line="135"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We believe that the growth of our business is dependent on many factors, including our ability to expand our customer base, increase adoption of our customer platform within existing customers, develop new products and applications to extend the functionality of our customer platform and provide a high level of customer service. We have invested and intend to continue investing for long-term growth. We intend to continue to invest in sales and marketing to support our growth. We plan to continue to invest in research and development as we continue to introduce new products and applications to extend the functionality of our customer platform. We intend to continue maintaining a high level of customer service and support which we consider critical for our continued success. We also plan to continue investing in our data center infrastructure and services capabilities in order to support continued future customer growth. We also expect to continue to incur additional general and administrative expenses as a result of both our growth and the infrastructure required to be a public company. We expect to use our cash flow from operations and the proceeds from our convertible debt to fund these growth strategies and support our business.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Global Economic Conditions</w:t>
      </w:r>
    </w:p>
    <w:p>
      <w:pPr>
        <w:spacing w:after="0" w:line="189"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Our results of operations may be significantly influenced by general macroeconomic conditions, including, but not limited to, the impact of pandemics (such as the COVID-19 pandemic), geo-political conflicts, foreign currency fluctuations, interest rates, inflation, recession risks, existing and new domestic and foreign laws and regulations, all of which are beyond our control. Fluctuations in foreign exchange rates and rising inflation have had, and may continue to have an adverse impact on our financial condition and operating results in future periods. As we continue to monitor the direct and indirect impacts of these circumstances, the broader implications of these macroeconomic events on our business, results of operations and overall financial position, particularly in the long term, remain uncertain. See Part I, Item 1A. "Risk Factors" for further discussion of the impact and possible future impacts of pandemics, geo-politcal conflicts, and other general macroeconomic impacts on our business.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Business Metrics</w:t>
      </w:r>
    </w:p>
    <w:p>
      <w:pPr>
        <w:spacing w:after="0" w:line="189" w:lineRule="exact"/>
        <w:rPr>
          <w:sz w:val="20"/>
          <w:szCs w:val="20"/>
          <w:color w:val="auto"/>
        </w:rPr>
      </w:pPr>
    </w:p>
    <w:p>
      <w:pPr>
        <w:ind w:right="100" w:firstLine="509"/>
        <w:spacing w:after="0" w:line="255" w:lineRule="auto"/>
        <w:rPr>
          <w:sz w:val="20"/>
          <w:szCs w:val="20"/>
          <w:color w:val="auto"/>
        </w:rPr>
      </w:pPr>
      <w:r>
        <w:rPr>
          <w:rFonts w:ascii="Times New Roman" w:cs="Times New Roman" w:eastAsia="Times New Roman" w:hAnsi="Times New Roman"/>
          <w:sz w:val="18"/>
          <w:szCs w:val="18"/>
          <w:color w:val="auto"/>
        </w:rPr>
        <w:t>The following key business metrics are presented in this Annual Report on Form 10-K or in our press releases announcing our financial results which are furnished on Form 8-K. We use these key business metrics to evaluate our business, measure our performance, identify trends affecting our business and results of operations, formulate financial projections and make strategic decisions. These key business metrics may be calculated in a manner different than similar key business metrics used by other companies.</w:t>
      </w:r>
    </w:p>
    <w:p>
      <w:pPr>
        <w:spacing w:after="0" w:line="3" w:lineRule="exact"/>
        <w:rPr>
          <w:sz w:val="20"/>
          <w:szCs w:val="20"/>
          <w:color w:val="auto"/>
        </w:rPr>
      </w:pPr>
    </w:p>
    <w:tbl>
      <w:tblPr>
        <w:tblLayout w:type="fixed"/>
        <w:tblInd w:w="1140" w:type="dxa"/>
        <w:tblCellMar>
          <w:top w:w="0" w:type="dxa"/>
          <w:left w:w="0" w:type="dxa"/>
          <w:bottom w:w="0" w:type="dxa"/>
          <w:right w:w="0" w:type="dxa"/>
        </w:tblCellMar>
      </w:tblPr>
      <w:tr>
        <w:trPr>
          <w:trHeight w:val="175"/>
        </w:trPr>
        <w:tc>
          <w:tcPr>
            <w:tcW w:w="446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gridSpan w:val="4"/>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69"/>
        </w:trPr>
        <w:tc>
          <w:tcPr>
            <w:tcW w:w="44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237"/>
        </w:trPr>
        <w:tc>
          <w:tcPr>
            <w:tcW w:w="4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Customers</w:t>
            </w:r>
          </w:p>
        </w:tc>
        <w:tc>
          <w:tcPr>
            <w:tcW w:w="30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205,091</w:t>
            </w:r>
          </w:p>
        </w:tc>
        <w:tc>
          <w:tcPr>
            <w:tcW w:w="2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167,386</w:t>
            </w:r>
          </w:p>
        </w:tc>
        <w:tc>
          <w:tcPr>
            <w:tcW w:w="20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135,442</w:t>
            </w:r>
          </w:p>
        </w:tc>
        <w:tc>
          <w:tcPr>
            <w:tcW w:w="80" w:type="dxa"/>
            <w:vAlign w:val="bottom"/>
            <w:shd w:val="clear" w:color="auto" w:fill="CFF0FC"/>
          </w:tcPr>
          <w:p>
            <w:pPr>
              <w:spacing w:after="0"/>
              <w:rPr>
                <w:sz w:val="20"/>
                <w:szCs w:val="20"/>
                <w:color w:val="auto"/>
              </w:rPr>
            </w:pPr>
          </w:p>
        </w:tc>
        <w:tc>
          <w:tcPr>
            <w:tcW w:w="80" w:type="dxa"/>
            <w:vAlign w:val="bottom"/>
          </w:tcPr>
          <w:p>
            <w:pPr>
              <w:spacing w:after="0"/>
              <w:rPr>
                <w:sz w:val="20"/>
                <w:szCs w:val="20"/>
                <w:color w:val="auto"/>
              </w:rPr>
            </w:pPr>
          </w:p>
        </w:tc>
      </w:tr>
      <w:tr>
        <w:trPr>
          <w:trHeight w:val="234"/>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Average Subscription Revenue per Customer</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11,384</w:t>
            </w:r>
          </w:p>
        </w:tc>
        <w:tc>
          <w:tcPr>
            <w:tcW w:w="5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11,163</w:t>
            </w:r>
          </w:p>
        </w:tc>
        <w:tc>
          <w:tcPr>
            <w:tcW w:w="20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10,486</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38"/>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Net Revenue Retention</w:t>
            </w:r>
          </w:p>
        </w:tc>
        <w:tc>
          <w:tcPr>
            <w:tcW w:w="300" w:type="dxa"/>
            <w:vAlign w:val="bottom"/>
          </w:tcPr>
          <w:p>
            <w:pPr>
              <w:spacing w:after="0"/>
              <w:rPr>
                <w:sz w:val="20"/>
                <w:szCs w:val="20"/>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103.9 %</w:t>
            </w:r>
          </w:p>
        </w:tc>
        <w:tc>
          <w:tcPr>
            <w:tcW w:w="300" w:type="dxa"/>
            <w:vAlign w:val="bottom"/>
          </w:tcPr>
          <w:p>
            <w:pPr>
              <w:spacing w:after="0"/>
              <w:rPr>
                <w:sz w:val="20"/>
                <w:szCs w:val="20"/>
                <w:color w:val="auto"/>
              </w:rPr>
            </w:pP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110.3 %</w:t>
            </w:r>
          </w:p>
        </w:tc>
        <w:tc>
          <w:tcPr>
            <w:tcW w:w="300" w:type="dxa"/>
            <w:vAlign w:val="bottom"/>
          </w:tcPr>
          <w:p>
            <w:pPr>
              <w:spacing w:after="0"/>
              <w:rPr>
                <w:sz w:val="20"/>
                <w:szCs w:val="20"/>
                <w:color w:val="auto"/>
              </w:rPr>
            </w:pP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115.2 %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-145415</wp:posOffset>
            </wp:positionV>
            <wp:extent cx="5700395" cy="15430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700395" cy="154305"/>
                    </a:xfrm>
                    <a:prstGeom prst="rect">
                      <a:avLst/>
                    </a:prstGeom>
                    <a:noFill/>
                  </pic:spPr>
                </pic:pic>
              </a:graphicData>
            </a:graphic>
          </wp:anchor>
        </w:drawing>
      </w:r>
    </w:p>
    <w:p>
      <w:pPr>
        <w:spacing w:after="0" w:line="160" w:lineRule="exact"/>
        <w:rPr>
          <w:sz w:val="20"/>
          <w:szCs w:val="20"/>
          <w:color w:val="auto"/>
        </w:rPr>
      </w:pPr>
    </w:p>
    <w:p>
      <w:pPr>
        <w:ind w:right="140" w:firstLine="509"/>
        <w:spacing w:after="0" w:line="257" w:lineRule="auto"/>
        <w:rPr>
          <w:sz w:val="20"/>
          <w:szCs w:val="20"/>
          <w:color w:val="auto"/>
        </w:rPr>
      </w:pPr>
      <w:r>
        <w:rPr>
          <w:rFonts w:ascii="Times New Roman" w:cs="Times New Roman" w:eastAsia="Times New Roman" w:hAnsi="Times New Roman"/>
          <w:sz w:val="18"/>
          <w:szCs w:val="18"/>
          <w:b w:val="1"/>
          <w:bCs w:val="1"/>
          <w:color w:val="auto"/>
        </w:rPr>
        <w:t>Customers</w:t>
      </w:r>
      <w:r>
        <w:rPr>
          <w:rFonts w:ascii="Times New Roman" w:cs="Times New Roman" w:eastAsia="Times New Roman" w:hAnsi="Times New Roman"/>
          <w:sz w:val="18"/>
          <w:szCs w:val="18"/>
          <w:color w:val="auto"/>
        </w:rPr>
        <w:t>. We believe that our ability to increase our customer base is an indicator of our market penetration, the growth of our business, and our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potential future business opportunities as we continue to expand our sales force and invest in marketing efforts. We define our Customers at the end of a particular period as the number of business entities with one or more paid subscriptions to our customer platform either purchased directly with us or purchased from a Solutions Partner. We do not include in Customers any legacy PieSync or Clearbit products. A single customer may have separate paid subscriptions to our customer platform, but we count these as one Customer if certain customer-provided information such as company name, URL, or email address indicate that these subscriptions are managed by the same business entity.</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48" w:name="page49"/>
    <w:bookmarkEnd w:id="48"/>
    <w:p>
      <w:pPr>
        <w:ind w:firstLine="509"/>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Average Subscription Revenue per Customer. </w:t>
      </w:r>
      <w:r>
        <w:rPr>
          <w:rFonts w:ascii="Times New Roman" w:cs="Times New Roman" w:eastAsia="Times New Roman" w:hAnsi="Times New Roman"/>
          <w:sz w:val="18"/>
          <w:szCs w:val="18"/>
          <w:color w:val="auto"/>
        </w:rPr>
        <w:t>We believe that our ability to increase the Average Subscription Revenue per Customer is 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indicator of our ability to grow the long-term value of our existing customer relationships. We define Average Subscription Revenue per Customer during a particular period as subscription revenue, excluding revenue from our legacy PieSync and Clearbit products, from our Customers during the period divided by the average Customers during the same period.</w:t>
      </w:r>
    </w:p>
    <w:p>
      <w:pPr>
        <w:spacing w:after="0" w:line="149" w:lineRule="exact"/>
        <w:rPr>
          <w:sz w:val="20"/>
          <w:szCs w:val="20"/>
          <w:color w:val="auto"/>
        </w:rPr>
      </w:pPr>
    </w:p>
    <w:p>
      <w:pPr>
        <w:ind w:right="40" w:firstLine="509"/>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Net Revenue Retention. </w:t>
      </w:r>
      <w:r>
        <w:rPr>
          <w:rFonts w:ascii="Times New Roman" w:cs="Times New Roman" w:eastAsia="Times New Roman" w:hAnsi="Times New Roman"/>
          <w:sz w:val="18"/>
          <w:szCs w:val="18"/>
          <w:color w:val="auto"/>
        </w:rPr>
        <w:t>We believe that our ability to retain and expand a customer relationship is an indicator of the stability of our revenue base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the long-term value of our Customers. Net Revenue Retention is a measure of the percentage of recurring revenue retained from Customers over a given period of time. Our Net Revenue Retention for a given period is calculated by first dividing Retained Subscription Revenue by Retention Base Revenue in the given period, calculating the weighted average of these rates using the Retention Base Revenue for the period, and then annualizing the resulting rates. A definition of each of the key terms used to calculate Net Revenue Retention is included below.</w:t>
      </w:r>
    </w:p>
    <w:p>
      <w:pPr>
        <w:spacing w:after="0" w:line="141" w:lineRule="exact"/>
        <w:rPr>
          <w:sz w:val="20"/>
          <w:szCs w:val="20"/>
          <w:color w:val="auto"/>
        </w:rPr>
      </w:pPr>
    </w:p>
    <w:p>
      <w:pPr>
        <w:ind w:right="180" w:firstLine="50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Retained Subscription Revenue. </w:t>
      </w:r>
      <w:r>
        <w:rPr>
          <w:rFonts w:ascii="Times New Roman" w:cs="Times New Roman" w:eastAsia="Times New Roman" w:hAnsi="Times New Roman"/>
          <w:sz w:val="18"/>
          <w:szCs w:val="18"/>
          <w:color w:val="auto"/>
        </w:rPr>
        <w:t>Contractual Monthly Subscription Revenue of the same cohort of Customers as those that comprise the Retention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Base Revenue at the end of the same month.</w:t>
      </w:r>
    </w:p>
    <w:p>
      <w:pPr>
        <w:spacing w:after="0" w:line="11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 xml:space="preserve">Retention Base Revenue. </w:t>
      </w:r>
      <w:r>
        <w:rPr>
          <w:rFonts w:ascii="Times New Roman" w:cs="Times New Roman" w:eastAsia="Times New Roman" w:hAnsi="Times New Roman"/>
          <w:sz w:val="18"/>
          <w:szCs w:val="18"/>
          <w:color w:val="auto"/>
        </w:rPr>
        <w:t>Contractual Monthly Subscription Revenue of our Customers as of the beginning of each month.</w:t>
      </w:r>
    </w:p>
    <w:p>
      <w:pPr>
        <w:spacing w:after="0" w:line="200" w:lineRule="exact"/>
        <w:rPr>
          <w:sz w:val="20"/>
          <w:szCs w:val="20"/>
          <w:color w:val="auto"/>
        </w:rPr>
      </w:pPr>
    </w:p>
    <w:p>
      <w:pPr>
        <w:spacing w:after="0" w:line="214" w:lineRule="exact"/>
        <w:rPr>
          <w:sz w:val="20"/>
          <w:szCs w:val="20"/>
          <w:color w:val="auto"/>
        </w:rPr>
      </w:pPr>
    </w:p>
    <w:p>
      <w:pPr>
        <w:ind w:right="720" w:firstLine="509"/>
        <w:spacing w:after="0" w:line="315" w:lineRule="auto"/>
        <w:rPr>
          <w:sz w:val="20"/>
          <w:szCs w:val="20"/>
          <w:color w:val="auto"/>
        </w:rPr>
      </w:pPr>
      <w:r>
        <w:rPr>
          <w:rFonts w:ascii="Times New Roman" w:cs="Times New Roman" w:eastAsia="Times New Roman" w:hAnsi="Times New Roman"/>
          <w:sz w:val="17"/>
          <w:szCs w:val="17"/>
          <w:i w:val="1"/>
          <w:iCs w:val="1"/>
          <w:color w:val="auto"/>
        </w:rPr>
        <w:t xml:space="preserve">Contractual Monthly Subscription Revenue. </w:t>
      </w:r>
      <w:r>
        <w:rPr>
          <w:rFonts w:ascii="Times New Roman" w:cs="Times New Roman" w:eastAsia="Times New Roman" w:hAnsi="Times New Roman"/>
          <w:sz w:val="17"/>
          <w:szCs w:val="17"/>
          <w:color w:val="auto"/>
        </w:rPr>
        <w:t>The subscription fees contractually committed to be paid for a full month under our Customer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agreements, converted into USD at fixed rates that are held consistent over time, excluding commissions owed to our Solutions Partners.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Components of Consolidated Statements of Operations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w:t>
      </w:r>
    </w:p>
    <w:p>
      <w:pPr>
        <w:spacing w:after="0" w:line="202" w:lineRule="exact"/>
        <w:rPr>
          <w:sz w:val="20"/>
          <w:szCs w:val="20"/>
          <w:color w:val="auto"/>
        </w:rPr>
      </w:pPr>
    </w:p>
    <w:p>
      <w:pPr>
        <w:ind w:right="220" w:firstLine="509"/>
        <w:spacing w:after="0" w:line="282" w:lineRule="auto"/>
        <w:rPr>
          <w:sz w:val="20"/>
          <w:szCs w:val="20"/>
          <w:color w:val="auto"/>
        </w:rPr>
      </w:pPr>
      <w:r>
        <w:rPr>
          <w:rFonts w:ascii="Times New Roman" w:cs="Times New Roman" w:eastAsia="Times New Roman" w:hAnsi="Times New Roman"/>
          <w:sz w:val="18"/>
          <w:szCs w:val="18"/>
          <w:color w:val="auto"/>
        </w:rPr>
        <w:t>We derive our revenue from two major sources, revenue from subscriptions to our customer platform and professional services and other revenue consisting mainly of on-boarding, training, and consulting services fees.</w:t>
      </w:r>
    </w:p>
    <w:p>
      <w:pPr>
        <w:spacing w:after="0" w:line="121"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Subscription based revenue is derived from customers using our customer platform for their inbound marketing, sales, service, operations, and content management needs. Our customer platform includes a system of engagement for efficiently engaging customers through SEO, web content, social, blogging, email, marketing automation, messaging, support ticketing, knowledge base, commerce, conversation routing, video hosting, and data enrichment. Over 1,500 integrations and applications are available for our users, across a wide range of categories, including integrations with leading social media, email, sales, video, analytics, content and webinar tools. All subscription fees that are billed in advance of service are recorded in deferred revenue. Subscription based revenue is recognized net of consideration paid to Solutions Partners when those Solutions Partners purchase a subscription to our customer platform.</w:t>
      </w:r>
    </w:p>
    <w:p>
      <w:pPr>
        <w:spacing w:after="0" w:line="148"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Professional services and other revenue are derived primarily from customer on-boarding, training, and consulting services. Depending on which Hubs and services a customer purchases, they receive on-boarding guidance or one-on-one training from one of our on-boarding, inbound consultants, or technical consultants by web meetings. Training is generally sold in connection with a customer’s initial subscription and is billed in advance. The training is also available to be purchased separately following a customer’s purchase of its initial subscription and our Solutions Partners routinely provide the same training to customers. We also derive revenue from Commerce Hub and a number of revenue-share agreements with other companies based on mutually agreed upon terms.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Cost of Revenue, Operating and Other Expenses</w:t>
      </w:r>
    </w:p>
    <w:p>
      <w:pPr>
        <w:spacing w:after="0" w:line="18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Cost of Revenue</w:t>
      </w:r>
    </w:p>
    <w:p>
      <w:pPr>
        <w:spacing w:after="0" w:line="189"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Cost of subscription revenue consists primarily of managed hosting providers and other third-party service providers, employee-related costs including payroll, benefits and stock-based compensation expense for our customer support team, amortization of capitalized software development costs and acquired technology, and allocated overhead costs, which we define as facilities, depreciation of fixed assets, and costs related to information technology.</w:t>
      </w:r>
    </w:p>
    <w:p>
      <w:pPr>
        <w:spacing w:after="0" w:line="153" w:lineRule="exact"/>
        <w:rPr>
          <w:sz w:val="20"/>
          <w:szCs w:val="20"/>
          <w:color w:val="auto"/>
        </w:rPr>
      </w:pPr>
    </w:p>
    <w:p>
      <w:pPr>
        <w:ind w:right="240" w:firstLine="509"/>
        <w:spacing w:after="0" w:line="261" w:lineRule="auto"/>
        <w:rPr>
          <w:sz w:val="20"/>
          <w:szCs w:val="20"/>
          <w:color w:val="auto"/>
        </w:rPr>
      </w:pPr>
      <w:r>
        <w:rPr>
          <w:rFonts w:ascii="Times New Roman" w:cs="Times New Roman" w:eastAsia="Times New Roman" w:hAnsi="Times New Roman"/>
          <w:sz w:val="18"/>
          <w:szCs w:val="18"/>
          <w:color w:val="auto"/>
        </w:rPr>
        <w:t>Cost of professional services and other revenue consists primarily of personnel costs of our professional services organization, including salaries, benefits, bonuses and stock-based compensation, amortization of capitalized software development costs associated with our internally built software platform, as well as professional fees and allocated overhead costs, which we define as facilities, depreciation of fixed assets, and costs related to information technology.</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57" w:right="379" w:bottom="1440" w:gutter="0" w:footer="0" w:header="0"/>
        </w:sectPr>
      </w:pPr>
    </w:p>
    <w:bookmarkStart w:id="49" w:name="page50"/>
    <w:bookmarkEnd w:id="49"/>
    <w:p>
      <w:pPr>
        <w:ind w:right="220" w:firstLine="509"/>
        <w:spacing w:after="0" w:line="261" w:lineRule="auto"/>
        <w:rPr>
          <w:sz w:val="20"/>
          <w:szCs w:val="20"/>
          <w:color w:val="auto"/>
        </w:rPr>
      </w:pPr>
      <w:r>
        <w:rPr>
          <w:rFonts w:ascii="Times New Roman" w:cs="Times New Roman" w:eastAsia="Times New Roman" w:hAnsi="Times New Roman"/>
          <w:sz w:val="18"/>
          <w:szCs w:val="18"/>
          <w:color w:val="auto"/>
        </w:rPr>
        <w:t>We expect that the cost of subscription and professional services and other revenue will increase in absolute dollars as we continue to invest in growing our business. Over time, we expect to gain benefits of scale associated with our costs of hosting our customer platform relative to subscription revenues, resulting in improved subscription gross margin, exclusive of stock-based compensation. We expect professional services and other margins to breakeven for the foreseeable future, exclusive of stock-based compensation.</w:t>
      </w:r>
    </w:p>
    <w:p>
      <w:pPr>
        <w:spacing w:after="0" w:line="14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189"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Research and development expenses consist primarily of personnel costs of our development team, including payroll, benefits and stock-based compensation expense, professional and contractor fees and allocated overhead costs. We capitalize certain software development costs that are attributable to developing new products and adding incremental functionality to our customer platform and amortize such costs as costs of subscription and cost of professional services and other revenue over the estimated life of the new product or incremental functionality, which is generally two years. We also capitalize certain development costs that are attributable to developing our internally developed software platforms and amortize such costs throughout the consolidated statement of operations over the estimated life of our internally developed software platforms, which is generally five years. We focus our research and development efforts on improving our products and developing new ones, delivering new functionality and enhancing the customer experience. We believe delivering new functionality for our customers is an integral part of our solution and provides our customers with access to a broad array of options and information critical to their marketing, sales, and customer service efforts. We expect to continue to make investments in and expand our offerings to enhance our customers’ experience and satisfaction and attract new customers. Over time, we expect research and development expenses to increase in absolute dollars as we continue to increase the functionality of our customer platform and remain consistent as a percentage of total revenue, exclusive of stock-based compensation expense.</w:t>
      </w:r>
    </w:p>
    <w:p>
      <w:pPr>
        <w:spacing w:after="0" w:line="14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Sales and Marketing</w:t>
      </w:r>
    </w:p>
    <w:p>
      <w:pPr>
        <w:spacing w:after="0" w:line="202"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Sales and marketing expenses consist primarily of personnel costs of our sales and marketing employees, including sales commissions and incentives, benefits and stock-based compensation expense, marketing programs, including lead generation, costs of our annual INBOUND conference, other brand building expenses, amortization of intangible assets, professional and contractor fees and allocated overhead costs. Sales and marketing expenses also include commissions paid to our Solutions Partners in instances where the end customer purchases and pays for a subscription to our customer platform. We defer certain sales and Solutions Partner commissions related to acquiring new contracts and amortize them ratably over a period of benefit that we have determined to be approximately two to four years.</w:t>
      </w:r>
    </w:p>
    <w:p>
      <w:pPr>
        <w:spacing w:after="0" w:line="147"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We plan to continue to invest in sales and marketing to grow our customer base and increase sales to existing customers. This growth will include adding sales personnel and expanding our marketing activities to continue to generate leads and build brand awareness. We expect sales and marketing expenses to increase in absolute dollars as we continue to develop our sales and marketing teams. Over time, we expect sales and marketing expenses will decline as a percentage of total revenue, exclusive of stock-based compensation.</w:t>
      </w:r>
    </w:p>
    <w:p>
      <w:pPr>
        <w:spacing w:after="0" w:line="13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w:t>
      </w:r>
    </w:p>
    <w:p>
      <w:pPr>
        <w:spacing w:after="0" w:line="202"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General and administrative expenses consist of personnel costs and related expenses for executive, finance, legal, human resources, employee-related information technology, administrative personnel, including payroll, benefits and stock-based compensation expense, professional fees for external legal, accounting and other consulting services, and allocated overhead costs. We expect that general and administrative expenses will increase on an absolute dollar basis and remain relatively consistent as a percentage of total revenue, exclusive of stock-based compensation expense, as we focus on processes, systems and controls to enable our internal support functions to scale with the growth of our business. We also anticipate continuing increases to general and administrative expenses as we incur the costs of compliance associated with being a publicly traded company, including audit and consulting fees.</w:t>
      </w:r>
    </w:p>
    <w:p>
      <w:pPr>
        <w:spacing w:after="0" w:line="14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Restructuring</w:t>
      </w:r>
    </w:p>
    <w:p>
      <w:pPr>
        <w:spacing w:after="0" w:line="189" w:lineRule="exact"/>
        <w:rPr>
          <w:sz w:val="20"/>
          <w:szCs w:val="20"/>
          <w:color w:val="auto"/>
        </w:rPr>
      </w:pPr>
    </w:p>
    <w:p>
      <w:pPr>
        <w:ind w:right="300" w:firstLine="509"/>
        <w:spacing w:after="0" w:line="266" w:lineRule="auto"/>
        <w:rPr>
          <w:sz w:val="20"/>
          <w:szCs w:val="20"/>
          <w:color w:val="auto"/>
        </w:rPr>
      </w:pPr>
      <w:r>
        <w:rPr>
          <w:rFonts w:ascii="Times New Roman" w:cs="Times New Roman" w:eastAsia="Times New Roman" w:hAnsi="Times New Roman"/>
          <w:sz w:val="18"/>
          <w:szCs w:val="18"/>
          <w:color w:val="auto"/>
        </w:rPr>
        <w:t>Restructuring expenses primarily consist primarily of lease consolidation charges and personnel costs, such as employee severance payments, benefits, and stock-based compensation expense, associated with our workforce reduction, which are described in Note 17 to our consolidated financial statements included elsewhere in this Annual Report on Form 10-K</w:t>
      </w:r>
    </w:p>
    <w:p>
      <w:pPr>
        <w:spacing w:after="0" w:line="14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w:t>
      </w:r>
    </w:p>
    <w:p>
      <w:pPr>
        <w:spacing w:after="0" w:line="189" w:lineRule="exact"/>
        <w:rPr>
          <w:sz w:val="20"/>
          <w:szCs w:val="20"/>
          <w:color w:val="auto"/>
        </w:rPr>
      </w:pPr>
    </w:p>
    <w:p>
      <w:pPr>
        <w:ind w:right="180" w:firstLine="509"/>
        <w:spacing w:after="0" w:line="266" w:lineRule="auto"/>
        <w:rPr>
          <w:sz w:val="20"/>
          <w:szCs w:val="20"/>
          <w:color w:val="auto"/>
        </w:rPr>
      </w:pPr>
      <w:r>
        <w:rPr>
          <w:rFonts w:ascii="Times New Roman" w:cs="Times New Roman" w:eastAsia="Times New Roman" w:hAnsi="Times New Roman"/>
          <w:sz w:val="18"/>
          <w:szCs w:val="18"/>
          <w:color w:val="auto"/>
        </w:rPr>
        <w:t>Interest income primarily consists of interest earned on invested cash and cash equivalents balances and investments. Interest expense primarily consists of amortization of the debt discount, issuance costs and contractual interest expense related to our Notes, and the loss on early extinguishment of our 2022 Notes. On January 1, 2022, we adopted the new guidance for convertible instruments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61" w:right="359" w:bottom="1440" w:gutter="0" w:footer="0" w:header="0"/>
        </w:sectPr>
      </w:pPr>
    </w:p>
    <w:bookmarkStart w:id="50" w:name="page51"/>
    <w:bookmarkEnd w:id="50"/>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which eliminates the recognition of the debt discount and losses on early extinguishment. In 2023 and 2022, interest expense consisted of amortization of issuance costs and contract interest expense related to our Notes. Other income (expense) primarily consists of the impact of foreign currency transaction gains and losses associated with monetary assets and liabilities and any gains or impairments on our strategic investments.</w:t>
      </w:r>
    </w:p>
    <w:p>
      <w:pPr>
        <w:spacing w:after="0" w:line="14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w:t>
      </w:r>
    </w:p>
    <w:p>
      <w:pPr>
        <w:spacing w:after="0" w:line="189" w:lineRule="exact"/>
        <w:rPr>
          <w:sz w:val="20"/>
          <w:szCs w:val="20"/>
          <w:color w:val="auto"/>
        </w:rPr>
      </w:pPr>
    </w:p>
    <w:p>
      <w:pPr>
        <w:ind w:right="420" w:firstLine="509"/>
        <w:spacing w:after="0" w:line="282" w:lineRule="auto"/>
        <w:rPr>
          <w:sz w:val="20"/>
          <w:szCs w:val="20"/>
          <w:color w:val="auto"/>
        </w:rPr>
      </w:pPr>
      <w:r>
        <w:rPr>
          <w:rFonts w:ascii="Times New Roman" w:cs="Times New Roman" w:eastAsia="Times New Roman" w:hAnsi="Times New Roman"/>
          <w:sz w:val="18"/>
          <w:szCs w:val="18"/>
          <w:color w:val="auto"/>
        </w:rPr>
        <w:t>Income tax expense consists of current and deferred taxes for U.S. and foreign jurisdictions. We have a history of losses in our most significant jurisdiction, the U.S., and a full valuation allowance against the majority of our deferred tax assets.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0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tables set forth certain consolidated financial data in dollar amounts and as a percentage of total revenue.</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140" w:type="dxa"/>
            <w:vAlign w:val="bottom"/>
          </w:tcPr>
          <w:p>
            <w:pPr>
              <w:spacing w:after="0"/>
              <w:rPr>
                <w:sz w:val="16"/>
                <w:szCs w:val="16"/>
                <w:color w:val="auto"/>
              </w:rPr>
            </w:pPr>
          </w:p>
        </w:tc>
        <w:tc>
          <w:tcPr>
            <w:tcW w:w="344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6"/>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8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114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14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gridSpan w:val="2"/>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1140" w:type="dxa"/>
            <w:vAlign w:val="bottom"/>
          </w:tcPr>
          <w:p>
            <w:pPr>
              <w:spacing w:after="0"/>
              <w:rPr>
                <w:sz w:val="21"/>
                <w:szCs w:val="21"/>
                <w:color w:val="auto"/>
              </w:rPr>
            </w:pPr>
          </w:p>
        </w:tc>
        <w:tc>
          <w:tcPr>
            <w:tcW w:w="3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18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1140" w:type="dxa"/>
            <w:vAlign w:val="bottom"/>
          </w:tcPr>
          <w:p>
            <w:pPr>
              <w:spacing w:after="0"/>
              <w:rPr>
                <w:sz w:val="20"/>
                <w:szCs w:val="20"/>
                <w:color w:val="auto"/>
              </w:rPr>
            </w:pPr>
          </w:p>
        </w:tc>
        <w:tc>
          <w:tcPr>
            <w:tcW w:w="3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Subscription</w:t>
            </w:r>
          </w:p>
        </w:tc>
        <w:tc>
          <w:tcPr>
            <w:tcW w:w="21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2,123,479</w:t>
            </w:r>
          </w:p>
        </w:tc>
        <w:tc>
          <w:tcPr>
            <w:tcW w:w="220" w:type="dxa"/>
            <w:vAlign w:val="bottom"/>
          </w:tcPr>
          <w:p>
            <w:pPr>
              <w:spacing w:after="0"/>
              <w:rPr>
                <w:sz w:val="20"/>
                <w:szCs w:val="20"/>
                <w:color w:val="auto"/>
              </w:rPr>
            </w:pPr>
          </w:p>
        </w:tc>
        <w:tc>
          <w:tcPr>
            <w:tcW w:w="22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1,690,538</w:t>
            </w:r>
          </w:p>
        </w:tc>
        <w:tc>
          <w:tcPr>
            <w:tcW w:w="20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1,258,319</w:t>
            </w: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1140" w:type="dxa"/>
            <w:vAlign w:val="bottom"/>
          </w:tcPr>
          <w:p>
            <w:pPr>
              <w:spacing w:after="0"/>
              <w:rPr>
                <w:sz w:val="21"/>
                <w:szCs w:val="21"/>
                <w:color w:val="auto"/>
              </w:rPr>
            </w:pPr>
          </w:p>
        </w:tc>
        <w:tc>
          <w:tcPr>
            <w:tcW w:w="344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Professional services and other</w:t>
            </w:r>
          </w:p>
        </w:tc>
        <w:tc>
          <w:tcPr>
            <w:tcW w:w="188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46,751</w:t>
            </w:r>
          </w:p>
        </w:tc>
        <w:tc>
          <w:tcPr>
            <w:tcW w:w="22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40,431</w:t>
            </w:r>
          </w:p>
        </w:tc>
        <w:tc>
          <w:tcPr>
            <w:tcW w:w="20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42,339</w:t>
            </w:r>
          </w:p>
        </w:tc>
        <w:tc>
          <w:tcPr>
            <w:tcW w:w="80" w:type="dxa"/>
            <w:vAlign w:val="bottom"/>
            <w:tcBorders>
              <w:bottom w:val="single" w:sz="8" w:color="CFF0FC"/>
            </w:tcBorders>
            <w:shd w:val="clear" w:color="auto" w:fill="CFF0FC"/>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1140" w:type="dxa"/>
            <w:vAlign w:val="bottom"/>
          </w:tcPr>
          <w:p>
            <w:pPr>
              <w:spacing w:after="0"/>
              <w:rPr>
                <w:sz w:val="20"/>
                <w:szCs w:val="20"/>
                <w:color w:val="auto"/>
              </w:rPr>
            </w:pPr>
          </w:p>
        </w:tc>
        <w:tc>
          <w:tcPr>
            <w:tcW w:w="3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revenue</w:t>
            </w:r>
          </w:p>
        </w:tc>
        <w:tc>
          <w:tcPr>
            <w:tcW w:w="18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2,170,230</w:t>
            </w: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1,730,969</w:t>
            </w:r>
          </w:p>
        </w:tc>
        <w:tc>
          <w:tcPr>
            <w:tcW w:w="2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1,300,658</w:t>
            </w: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140" w:type="dxa"/>
            <w:vAlign w:val="bottom"/>
          </w:tcPr>
          <w:p>
            <w:pPr>
              <w:spacing w:after="0"/>
              <w:rPr>
                <w:sz w:val="20"/>
                <w:szCs w:val="20"/>
                <w:color w:val="auto"/>
              </w:rPr>
            </w:pPr>
          </w:p>
        </w:tc>
        <w:tc>
          <w:tcPr>
            <w:tcW w:w="3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18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1140" w:type="dxa"/>
            <w:vAlign w:val="bottom"/>
          </w:tcPr>
          <w:p>
            <w:pPr>
              <w:spacing w:after="0"/>
              <w:rPr>
                <w:sz w:val="20"/>
                <w:szCs w:val="20"/>
                <w:color w:val="auto"/>
              </w:rPr>
            </w:pPr>
          </w:p>
        </w:tc>
        <w:tc>
          <w:tcPr>
            <w:tcW w:w="3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Subscription</w:t>
            </w:r>
          </w:p>
        </w:tc>
        <w:tc>
          <w:tcPr>
            <w:tcW w:w="1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290,802</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257,513</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211,132</w:t>
            </w: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1140" w:type="dxa"/>
            <w:vAlign w:val="bottom"/>
          </w:tcPr>
          <w:p>
            <w:pPr>
              <w:spacing w:after="0"/>
              <w:rPr>
                <w:sz w:val="21"/>
                <w:szCs w:val="21"/>
                <w:color w:val="auto"/>
              </w:rPr>
            </w:pPr>
          </w:p>
        </w:tc>
        <w:tc>
          <w:tcPr>
            <w:tcW w:w="344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Professional services and other</w:t>
            </w:r>
          </w:p>
        </w:tc>
        <w:tc>
          <w:tcPr>
            <w:tcW w:w="188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54,687</w:t>
            </w:r>
          </w:p>
        </w:tc>
        <w:tc>
          <w:tcPr>
            <w:tcW w:w="22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56,746</w:t>
            </w:r>
          </w:p>
        </w:tc>
        <w:tc>
          <w:tcPr>
            <w:tcW w:w="20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47,725</w:t>
            </w:r>
          </w:p>
        </w:tc>
        <w:tc>
          <w:tcPr>
            <w:tcW w:w="80" w:type="dxa"/>
            <w:vAlign w:val="bottom"/>
            <w:tcBorders>
              <w:bottom w:val="single" w:sz="8" w:color="CFF0FC"/>
            </w:tcBorders>
            <w:shd w:val="clear" w:color="auto" w:fill="CFF0FC"/>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1140" w:type="dxa"/>
            <w:vAlign w:val="bottom"/>
          </w:tcPr>
          <w:p>
            <w:pPr>
              <w:spacing w:after="0"/>
              <w:rPr>
                <w:sz w:val="20"/>
                <w:szCs w:val="20"/>
                <w:color w:val="auto"/>
              </w:rPr>
            </w:pPr>
          </w:p>
        </w:tc>
        <w:tc>
          <w:tcPr>
            <w:tcW w:w="3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cost of revenue</w:t>
            </w:r>
          </w:p>
        </w:tc>
        <w:tc>
          <w:tcPr>
            <w:tcW w:w="18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345,489</w:t>
            </w: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314,259</w:t>
            </w:r>
          </w:p>
        </w:tc>
        <w:tc>
          <w:tcPr>
            <w:tcW w:w="2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258,857</w:t>
            </w: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1140" w:type="dxa"/>
            <w:vAlign w:val="bottom"/>
          </w:tcPr>
          <w:p>
            <w:pPr>
              <w:spacing w:after="0"/>
              <w:rPr>
                <w:sz w:val="20"/>
                <w:szCs w:val="20"/>
                <w:color w:val="auto"/>
              </w:rPr>
            </w:pPr>
          </w:p>
        </w:tc>
        <w:tc>
          <w:tcPr>
            <w:tcW w:w="34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88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1,824,741</w:t>
            </w:r>
          </w:p>
        </w:tc>
        <w:tc>
          <w:tcPr>
            <w:tcW w:w="22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1,416,710</w:t>
            </w:r>
          </w:p>
        </w:tc>
        <w:tc>
          <w:tcPr>
            <w:tcW w:w="20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1,041,801</w:t>
            </w:r>
          </w:p>
        </w:tc>
        <w:tc>
          <w:tcPr>
            <w:tcW w:w="80" w:type="dxa"/>
            <w:vAlign w:val="bottom"/>
            <w:tcBorders>
              <w:bottom w:val="single" w:sz="8" w:color="CFF0FC"/>
            </w:tcBorders>
            <w:shd w:val="clear" w:color="auto" w:fill="CFF0FC"/>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1140" w:type="dxa"/>
            <w:vAlign w:val="bottom"/>
          </w:tcPr>
          <w:p>
            <w:pPr>
              <w:spacing w:after="0"/>
              <w:rPr>
                <w:sz w:val="20"/>
                <w:szCs w:val="20"/>
                <w:color w:val="auto"/>
              </w:rPr>
            </w:pPr>
          </w:p>
        </w:tc>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1140" w:type="dxa"/>
            <w:vAlign w:val="bottom"/>
          </w:tcPr>
          <w:p>
            <w:pPr>
              <w:spacing w:after="0"/>
              <w:rPr>
                <w:sz w:val="21"/>
                <w:szCs w:val="21"/>
                <w:color w:val="auto"/>
              </w:rPr>
            </w:pPr>
          </w:p>
        </w:tc>
        <w:tc>
          <w:tcPr>
            <w:tcW w:w="34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8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617,745</w:t>
            </w:r>
          </w:p>
        </w:tc>
        <w:tc>
          <w:tcPr>
            <w:tcW w:w="2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442,022</w:t>
            </w:r>
          </w:p>
        </w:tc>
        <w:tc>
          <w:tcPr>
            <w:tcW w:w="2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301,970</w:t>
            </w:r>
          </w:p>
        </w:tc>
        <w:tc>
          <w:tcPr>
            <w:tcW w:w="80" w:type="dxa"/>
            <w:vAlign w:val="bottom"/>
            <w:shd w:val="clear" w:color="auto" w:fill="CFF0FC"/>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1140" w:type="dxa"/>
            <w:vAlign w:val="bottom"/>
          </w:tcPr>
          <w:p>
            <w:pPr>
              <w:spacing w:after="0"/>
              <w:rPr>
                <w:sz w:val="20"/>
                <w:szCs w:val="20"/>
                <w:color w:val="auto"/>
              </w:rPr>
            </w:pPr>
          </w:p>
        </w:tc>
        <w:tc>
          <w:tcPr>
            <w:tcW w:w="3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Sales and marketing</w:t>
            </w:r>
          </w:p>
        </w:tc>
        <w:tc>
          <w:tcPr>
            <w:tcW w:w="1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1,068,560</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886,069</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649,681</w:t>
            </w: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1140" w:type="dxa"/>
            <w:vAlign w:val="bottom"/>
          </w:tcPr>
          <w:p>
            <w:pPr>
              <w:spacing w:after="0"/>
              <w:rPr>
                <w:sz w:val="21"/>
                <w:szCs w:val="21"/>
                <w:color w:val="auto"/>
              </w:rPr>
            </w:pPr>
          </w:p>
        </w:tc>
        <w:tc>
          <w:tcPr>
            <w:tcW w:w="34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8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249,649</w:t>
            </w:r>
          </w:p>
        </w:tc>
        <w:tc>
          <w:tcPr>
            <w:tcW w:w="2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197,720</w:t>
            </w:r>
          </w:p>
        </w:tc>
        <w:tc>
          <w:tcPr>
            <w:tcW w:w="2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144,949</w:t>
            </w:r>
          </w:p>
        </w:tc>
        <w:tc>
          <w:tcPr>
            <w:tcW w:w="80" w:type="dxa"/>
            <w:vAlign w:val="bottom"/>
            <w:shd w:val="clear" w:color="auto" w:fill="CFF0FC"/>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40" w:type="dxa"/>
            <w:vAlign w:val="bottom"/>
          </w:tcPr>
          <w:p>
            <w:pPr>
              <w:spacing w:after="0"/>
              <w:rPr>
                <w:sz w:val="21"/>
                <w:szCs w:val="21"/>
                <w:color w:val="auto"/>
              </w:rPr>
            </w:pPr>
          </w:p>
        </w:tc>
        <w:tc>
          <w:tcPr>
            <w:tcW w:w="3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Restructuring</w:t>
            </w:r>
          </w:p>
        </w:tc>
        <w:tc>
          <w:tcPr>
            <w:tcW w:w="18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96,843</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1140" w:type="dxa"/>
            <w:vAlign w:val="bottom"/>
          </w:tcPr>
          <w:p>
            <w:pPr>
              <w:spacing w:after="0"/>
              <w:rPr>
                <w:sz w:val="20"/>
                <w:szCs w:val="20"/>
                <w:color w:val="auto"/>
              </w:rPr>
            </w:pPr>
          </w:p>
        </w:tc>
        <w:tc>
          <w:tcPr>
            <w:tcW w:w="3440" w:type="dxa"/>
            <w:vAlign w:val="bottom"/>
            <w:tcBorders>
              <w:bottom w:val="single" w:sz="8" w:color="CFF0FC"/>
            </w:tcBorders>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88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top w:val="single" w:sz="8" w:color="auto"/>
              <w:bottom w:val="single" w:sz="8" w:color="auto"/>
            </w:tcBorders>
            <w:shd w:val="clear" w:color="auto" w:fill="CFF0FC"/>
          </w:tcPr>
          <w:p>
            <w:pPr>
              <w:spacing w:after="0"/>
              <w:rPr>
                <w:sz w:val="20"/>
                <w:szCs w:val="20"/>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2,032,797</w:t>
            </w:r>
          </w:p>
        </w:tc>
        <w:tc>
          <w:tcPr>
            <w:tcW w:w="22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top w:val="single" w:sz="8" w:color="auto"/>
              <w:bottom w:val="single" w:sz="8" w:color="auto"/>
            </w:tcBorders>
            <w:shd w:val="clear" w:color="auto" w:fill="CFF0FC"/>
          </w:tcPr>
          <w:p>
            <w:pPr>
              <w:spacing w:after="0"/>
              <w:rPr>
                <w:sz w:val="20"/>
                <w:szCs w:val="20"/>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1,525,811</w:t>
            </w:r>
          </w:p>
        </w:tc>
        <w:tc>
          <w:tcPr>
            <w:tcW w:w="20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top w:val="single" w:sz="8" w:color="auto"/>
              <w:bottom w:val="single" w:sz="8" w:color="auto"/>
            </w:tcBorders>
            <w:shd w:val="clear" w:color="auto" w:fill="CFF0FC"/>
          </w:tcPr>
          <w:p>
            <w:pPr>
              <w:spacing w:after="0"/>
              <w:rPr>
                <w:sz w:val="20"/>
                <w:szCs w:val="20"/>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1,096,600</w:t>
            </w:r>
          </w:p>
        </w:tc>
        <w:tc>
          <w:tcPr>
            <w:tcW w:w="80" w:type="dxa"/>
            <w:vAlign w:val="bottom"/>
            <w:tcBorders>
              <w:bottom w:val="single" w:sz="8" w:color="CFF0FC"/>
            </w:tcBorders>
            <w:shd w:val="clear" w:color="auto" w:fill="CFF0FC"/>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140" w:type="dxa"/>
            <w:vAlign w:val="bottom"/>
          </w:tcPr>
          <w:p>
            <w:pPr>
              <w:spacing w:after="0"/>
              <w:rPr>
                <w:sz w:val="20"/>
                <w:szCs w:val="20"/>
                <w:color w:val="auto"/>
              </w:rPr>
            </w:pPr>
          </w:p>
        </w:tc>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(208,056 )</w:t>
            </w:r>
          </w:p>
        </w:tc>
        <w:tc>
          <w:tcPr>
            <w:tcW w:w="220" w:type="dxa"/>
            <w:vAlign w:val="bottom"/>
          </w:tcPr>
          <w:p>
            <w:pPr>
              <w:spacing w:after="0"/>
              <w:rPr>
                <w:sz w:val="20"/>
                <w:szCs w:val="20"/>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(109,101 )</w:t>
            </w:r>
          </w:p>
        </w:tc>
        <w:tc>
          <w:tcPr>
            <w:tcW w:w="200" w:type="dxa"/>
            <w:vAlign w:val="bottom"/>
          </w:tcPr>
          <w:p>
            <w:pPr>
              <w:spacing w:after="0"/>
              <w:rPr>
                <w:sz w:val="20"/>
                <w:szCs w:val="20"/>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(54,799 )</w:t>
            </w: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1140" w:type="dxa"/>
            <w:vAlign w:val="bottom"/>
          </w:tcPr>
          <w:p>
            <w:pPr>
              <w:spacing w:after="0"/>
              <w:rPr>
                <w:sz w:val="20"/>
                <w:szCs w:val="20"/>
                <w:color w:val="auto"/>
              </w:rPr>
            </w:pPr>
          </w:p>
        </w:tc>
        <w:tc>
          <w:tcPr>
            <w:tcW w:w="3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expense:</w:t>
            </w:r>
          </w:p>
        </w:tc>
        <w:tc>
          <w:tcPr>
            <w:tcW w:w="1880" w:type="dxa"/>
            <w:vAlign w:val="bottom"/>
            <w:shd w:val="clear" w:color="auto" w:fill="CFF0FC"/>
          </w:tcPr>
          <w:p>
            <w:pPr>
              <w:spacing w:after="0"/>
              <w:rPr>
                <w:sz w:val="20"/>
                <w:szCs w:val="20"/>
                <w:color w:val="auto"/>
              </w:rPr>
            </w:pPr>
          </w:p>
        </w:tc>
        <w:tc>
          <w:tcPr>
            <w:tcW w:w="220" w:type="dxa"/>
            <w:vAlign w:val="bottom"/>
            <w:tcBorders>
              <w:top w:val="single" w:sz="8" w:color="auto"/>
            </w:tcBorders>
            <w:shd w:val="clear" w:color="auto" w:fill="CFF0FC"/>
          </w:tcPr>
          <w:p>
            <w:pPr>
              <w:spacing w:after="0"/>
              <w:rPr>
                <w:sz w:val="20"/>
                <w:szCs w:val="20"/>
                <w:color w:val="auto"/>
              </w:rPr>
            </w:pPr>
          </w:p>
        </w:tc>
        <w:tc>
          <w:tcPr>
            <w:tcW w:w="840" w:type="dxa"/>
            <w:vAlign w:val="bottom"/>
            <w:tcBorders>
              <w:top w:val="single" w:sz="8" w:color="auto"/>
            </w:tcBorders>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20" w:type="dxa"/>
            <w:vAlign w:val="bottom"/>
            <w:tcBorders>
              <w:top w:val="single" w:sz="8" w:color="auto"/>
            </w:tcBorders>
            <w:shd w:val="clear" w:color="auto" w:fill="CFF0FC"/>
          </w:tcPr>
          <w:p>
            <w:pPr>
              <w:spacing w:after="0"/>
              <w:rPr>
                <w:sz w:val="20"/>
                <w:szCs w:val="20"/>
                <w:color w:val="auto"/>
              </w:rPr>
            </w:pPr>
          </w:p>
        </w:tc>
        <w:tc>
          <w:tcPr>
            <w:tcW w:w="840" w:type="dxa"/>
            <w:vAlign w:val="bottom"/>
            <w:tcBorders>
              <w:top w:val="single" w:sz="8" w:color="auto"/>
            </w:tcBorders>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200" w:type="dxa"/>
            <w:vAlign w:val="bottom"/>
            <w:tcBorders>
              <w:top w:val="single" w:sz="8" w:color="auto"/>
            </w:tcBorders>
            <w:shd w:val="clear" w:color="auto" w:fill="CFF0FC"/>
          </w:tcPr>
          <w:p>
            <w:pPr>
              <w:spacing w:after="0"/>
              <w:rPr>
                <w:sz w:val="20"/>
                <w:szCs w:val="20"/>
                <w:color w:val="auto"/>
              </w:rPr>
            </w:pPr>
          </w:p>
        </w:tc>
        <w:tc>
          <w:tcPr>
            <w:tcW w:w="840" w:type="dxa"/>
            <w:vAlign w:val="bottom"/>
            <w:tcBorders>
              <w:top w:val="single" w:sz="8" w:color="auto"/>
            </w:tcBorders>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1140" w:type="dxa"/>
            <w:vAlign w:val="bottom"/>
          </w:tcPr>
          <w:p>
            <w:pPr>
              <w:spacing w:after="0"/>
              <w:rPr>
                <w:sz w:val="20"/>
                <w:szCs w:val="20"/>
                <w:color w:val="auto"/>
              </w:rPr>
            </w:pPr>
          </w:p>
        </w:tc>
        <w:tc>
          <w:tcPr>
            <w:tcW w:w="3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income</w:t>
            </w:r>
          </w:p>
        </w:tc>
        <w:tc>
          <w:tcPr>
            <w:tcW w:w="1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58,828</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1,173</w:t>
            </w: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1140" w:type="dxa"/>
            <w:vAlign w:val="bottom"/>
          </w:tcPr>
          <w:p>
            <w:pPr>
              <w:spacing w:after="0"/>
              <w:rPr>
                <w:sz w:val="21"/>
                <w:szCs w:val="21"/>
                <w:color w:val="auto"/>
              </w:rPr>
            </w:pPr>
          </w:p>
        </w:tc>
        <w:tc>
          <w:tcPr>
            <w:tcW w:w="34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18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(3,801 )</w:t>
            </w:r>
          </w:p>
        </w:tc>
        <w:tc>
          <w:tcPr>
            <w:tcW w:w="220" w:type="dxa"/>
            <w:vAlign w:val="bottom"/>
            <w:shd w:val="clear" w:color="auto" w:fill="CFF0FC"/>
          </w:tcPr>
          <w:p>
            <w:pPr>
              <w:spacing w:after="0"/>
              <w:rPr>
                <w:sz w:val="21"/>
                <w:szCs w:val="21"/>
                <w:color w:val="auto"/>
              </w:rPr>
            </w:pPr>
          </w:p>
        </w:tc>
        <w:tc>
          <w:tcPr>
            <w:tcW w:w="10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(3,762 )</w:t>
            </w:r>
          </w:p>
        </w:tc>
        <w:tc>
          <w:tcPr>
            <w:tcW w:w="200" w:type="dxa"/>
            <w:vAlign w:val="bottom"/>
            <w:shd w:val="clear" w:color="auto" w:fill="CFF0FC"/>
          </w:tcPr>
          <w:p>
            <w:pPr>
              <w:spacing w:after="0"/>
              <w:rPr>
                <w:sz w:val="21"/>
                <w:szCs w:val="21"/>
                <w:color w:val="auto"/>
              </w:rPr>
            </w:pPr>
          </w:p>
        </w:tc>
        <w:tc>
          <w:tcPr>
            <w:tcW w:w="9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(30,282 )</w:t>
            </w: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40" w:type="dxa"/>
            <w:vAlign w:val="bottom"/>
          </w:tcPr>
          <w:p>
            <w:pPr>
              <w:spacing w:after="0"/>
              <w:rPr>
                <w:sz w:val="21"/>
                <w:szCs w:val="21"/>
                <w:color w:val="auto"/>
              </w:rPr>
            </w:pPr>
          </w:p>
        </w:tc>
        <w:tc>
          <w:tcPr>
            <w:tcW w:w="3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(expense) income</w:t>
            </w:r>
          </w:p>
        </w:tc>
        <w:tc>
          <w:tcPr>
            <w:tcW w:w="18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(4,673 )</w:t>
            </w:r>
          </w:p>
        </w:tc>
        <w:tc>
          <w:tcPr>
            <w:tcW w:w="220" w:type="dxa"/>
            <w:vAlign w:val="bottom"/>
          </w:tcPr>
          <w:p>
            <w:pPr>
              <w:spacing w:after="0"/>
              <w:rPr>
                <w:sz w:val="21"/>
                <w:szCs w:val="21"/>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(6,829 )</w:t>
            </w:r>
          </w:p>
        </w:tc>
        <w:tc>
          <w:tcPr>
            <w:tcW w:w="2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10,090</w:t>
            </w:r>
          </w:p>
        </w:tc>
        <w:tc>
          <w:tcPr>
            <w:tcW w:w="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1140" w:type="dxa"/>
            <w:vAlign w:val="bottom"/>
          </w:tcPr>
          <w:p>
            <w:pPr>
              <w:spacing w:after="0"/>
              <w:rPr>
                <w:sz w:val="20"/>
                <w:szCs w:val="20"/>
                <w:color w:val="auto"/>
              </w:rPr>
            </w:pPr>
          </w:p>
        </w:tc>
        <w:tc>
          <w:tcPr>
            <w:tcW w:w="344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Total other income (expense)</w:t>
            </w:r>
          </w:p>
        </w:tc>
        <w:tc>
          <w:tcPr>
            <w:tcW w:w="18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50,354</w:t>
            </w:r>
          </w:p>
        </w:tc>
        <w:tc>
          <w:tcPr>
            <w:tcW w:w="2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4,409</w:t>
            </w:r>
          </w:p>
        </w:tc>
        <w:tc>
          <w:tcPr>
            <w:tcW w:w="2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9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(19,019 )</w:t>
            </w: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440" w:type="dxa"/>
            <w:vAlign w:val="bottom"/>
            <w:shd w:val="clear" w:color="auto" w:fill="CFF0FC"/>
          </w:tcPr>
          <w:p>
            <w:pPr>
              <w:spacing w:after="0" w:line="20" w:lineRule="exact"/>
              <w:rPr>
                <w:sz w:val="1"/>
                <w:szCs w:val="1"/>
                <w:color w:val="auto"/>
              </w:rPr>
            </w:pPr>
          </w:p>
        </w:tc>
        <w:tc>
          <w:tcPr>
            <w:tcW w:w="188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1140" w:type="dxa"/>
            <w:vAlign w:val="bottom"/>
          </w:tcPr>
          <w:p>
            <w:pPr>
              <w:spacing w:after="0"/>
              <w:rPr>
                <w:sz w:val="20"/>
                <w:szCs w:val="20"/>
                <w:color w:val="auto"/>
              </w:rPr>
            </w:pPr>
          </w:p>
        </w:tc>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Loss before income tax expense</w:t>
            </w:r>
          </w:p>
        </w:tc>
        <w:tc>
          <w:tcPr>
            <w:tcW w:w="1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(157,702 )</w:t>
            </w:r>
          </w:p>
        </w:tc>
        <w:tc>
          <w:tcPr>
            <w:tcW w:w="220" w:type="dxa"/>
            <w:vAlign w:val="bottom"/>
          </w:tcPr>
          <w:p>
            <w:pPr>
              <w:spacing w:after="0"/>
              <w:rPr>
                <w:sz w:val="20"/>
                <w:szCs w:val="20"/>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(104,692 )</w:t>
            </w:r>
          </w:p>
        </w:tc>
        <w:tc>
          <w:tcPr>
            <w:tcW w:w="200" w:type="dxa"/>
            <w:vAlign w:val="bottom"/>
          </w:tcPr>
          <w:p>
            <w:pPr>
              <w:spacing w:after="0"/>
              <w:rPr>
                <w:sz w:val="20"/>
                <w:szCs w:val="20"/>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(73,818 )</w:t>
            </w: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1140" w:type="dxa"/>
            <w:vAlign w:val="bottom"/>
          </w:tcPr>
          <w:p>
            <w:pPr>
              <w:spacing w:after="0"/>
              <w:rPr>
                <w:sz w:val="21"/>
                <w:szCs w:val="21"/>
                <w:color w:val="auto"/>
              </w:rPr>
            </w:pPr>
          </w:p>
        </w:tc>
        <w:tc>
          <w:tcPr>
            <w:tcW w:w="344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Income tax expense</w:t>
            </w:r>
          </w:p>
        </w:tc>
        <w:tc>
          <w:tcPr>
            <w:tcW w:w="18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(18,593 )</w:t>
            </w:r>
          </w:p>
        </w:tc>
        <w:tc>
          <w:tcPr>
            <w:tcW w:w="220" w:type="dxa"/>
            <w:vAlign w:val="bottom"/>
            <w:shd w:val="clear" w:color="auto" w:fill="CFF0FC"/>
          </w:tcPr>
          <w:p>
            <w:pPr>
              <w:spacing w:after="0"/>
              <w:rPr>
                <w:sz w:val="21"/>
                <w:szCs w:val="21"/>
                <w:color w:val="auto"/>
              </w:rPr>
            </w:pPr>
          </w:p>
        </w:tc>
        <w:tc>
          <w:tcPr>
            <w:tcW w:w="10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(8,057 )</w:t>
            </w:r>
          </w:p>
        </w:tc>
        <w:tc>
          <w:tcPr>
            <w:tcW w:w="200" w:type="dxa"/>
            <w:vAlign w:val="bottom"/>
            <w:shd w:val="clear" w:color="auto" w:fill="CFF0FC"/>
          </w:tcPr>
          <w:p>
            <w:pPr>
              <w:spacing w:after="0"/>
              <w:rPr>
                <w:sz w:val="21"/>
                <w:szCs w:val="21"/>
                <w:color w:val="auto"/>
              </w:rPr>
            </w:pPr>
          </w:p>
        </w:tc>
        <w:tc>
          <w:tcPr>
            <w:tcW w:w="9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(4,019 )</w:t>
            </w: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440" w:type="dxa"/>
            <w:vAlign w:val="bottom"/>
            <w:shd w:val="clear" w:color="auto" w:fill="CFF0FC"/>
          </w:tcPr>
          <w:p>
            <w:pPr>
              <w:spacing w:after="0" w:line="20" w:lineRule="exact"/>
              <w:rPr>
                <w:sz w:val="1"/>
                <w:szCs w:val="1"/>
                <w:color w:val="auto"/>
              </w:rPr>
            </w:pPr>
          </w:p>
        </w:tc>
        <w:tc>
          <w:tcPr>
            <w:tcW w:w="188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140" w:type="dxa"/>
            <w:vAlign w:val="bottom"/>
          </w:tcPr>
          <w:p>
            <w:pPr>
              <w:spacing w:after="0"/>
              <w:rPr>
                <w:sz w:val="20"/>
                <w:szCs w:val="20"/>
                <w:color w:val="auto"/>
              </w:rPr>
            </w:pPr>
          </w:p>
        </w:tc>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88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(176,295 )</w:t>
            </w:r>
          </w:p>
        </w:tc>
        <w:tc>
          <w:tcPr>
            <w:tcW w:w="22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(112,749 )</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(77,837 )</w:t>
            </w: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1880" w:type="dxa"/>
            <w:vAlign w:val="bottom"/>
            <w:vMerge w:val="restart"/>
          </w:tcPr>
          <w:p>
            <w:pPr>
              <w:jc w:val="right"/>
              <w:ind w:right="650"/>
              <w:spacing w:after="0"/>
              <w:rPr>
                <w:sz w:val="20"/>
                <w:szCs w:val="20"/>
                <w:color w:val="auto"/>
              </w:rPr>
            </w:pPr>
            <w:r>
              <w:rPr>
                <w:rFonts w:ascii="Times New Roman" w:cs="Times New Roman" w:eastAsia="Times New Roman" w:hAnsi="Times New Roman"/>
                <w:sz w:val="18"/>
                <w:szCs w:val="18"/>
                <w:color w:val="auto"/>
              </w:rPr>
              <w:t>51</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114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188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1140" w:type="dxa"/>
            <w:vAlign w:val="bottom"/>
            <w:tcBorders>
              <w:bottom w:val="single" w:sz="8" w:color="9A9A9A"/>
            </w:tcBorders>
          </w:tcPr>
          <w:p>
            <w:pPr>
              <w:spacing w:after="0"/>
              <w:rPr>
                <w:sz w:val="24"/>
                <w:szCs w:val="24"/>
                <w:color w:val="auto"/>
              </w:rPr>
            </w:pPr>
          </w:p>
        </w:tc>
        <w:tc>
          <w:tcPr>
            <w:tcW w:w="3440" w:type="dxa"/>
            <w:vAlign w:val="bottom"/>
            <w:tcBorders>
              <w:bottom w:val="single" w:sz="8" w:color="9A9A9A"/>
            </w:tcBorders>
          </w:tcPr>
          <w:p>
            <w:pPr>
              <w:spacing w:after="0"/>
              <w:rPr>
                <w:sz w:val="24"/>
                <w:szCs w:val="24"/>
                <w:color w:val="auto"/>
              </w:rPr>
            </w:pPr>
          </w:p>
        </w:tc>
        <w:tc>
          <w:tcPr>
            <w:tcW w:w="18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4779645</wp:posOffset>
            </wp:positionH>
            <wp:positionV relativeFrom="paragraph">
              <wp:posOffset>-4268470</wp:posOffset>
            </wp:positionV>
            <wp:extent cx="5969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-4268470</wp:posOffset>
            </wp:positionV>
            <wp:extent cx="5143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-4268470</wp:posOffset>
            </wp:positionV>
            <wp:extent cx="5143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-3634105</wp:posOffset>
            </wp:positionV>
            <wp:extent cx="5969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-3634105</wp:posOffset>
            </wp:positionV>
            <wp:extent cx="5143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-3634105</wp:posOffset>
            </wp:positionV>
            <wp:extent cx="5143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-3308350</wp:posOffset>
            </wp:positionV>
            <wp:extent cx="5969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-3308350</wp:posOffset>
            </wp:positionV>
            <wp:extent cx="5143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-3308350</wp:posOffset>
            </wp:positionV>
            <wp:extent cx="5143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-2365375</wp:posOffset>
            </wp:positionV>
            <wp:extent cx="5969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-2365375</wp:posOffset>
            </wp:positionV>
            <wp:extent cx="5143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-2365375</wp:posOffset>
            </wp:positionV>
            <wp:extent cx="5143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-1414145</wp:posOffset>
            </wp:positionV>
            <wp:extent cx="5969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-1414145</wp:posOffset>
            </wp:positionV>
            <wp:extent cx="5143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-1414145</wp:posOffset>
            </wp:positionV>
            <wp:extent cx="5143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-1096645</wp:posOffset>
            </wp:positionV>
            <wp:extent cx="5969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-1096645</wp:posOffset>
            </wp:positionV>
            <wp:extent cx="5143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-1096645</wp:posOffset>
            </wp:positionV>
            <wp:extent cx="51435"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51" w:name="page52"/>
    <w:bookmarkEnd w:id="51"/>
    <w:p>
      <w:pPr>
        <w:ind w:left="7420"/>
        <w:spacing w:after="0"/>
        <w:rPr>
          <w:sz w:val="20"/>
          <w:szCs w:val="20"/>
          <w:color w:val="auto"/>
        </w:rPr>
      </w:pPr>
      <w:r>
        <w:rPr>
          <w:rFonts w:ascii="Times New Roman" w:cs="Times New Roman" w:eastAsia="Times New Roman" w:hAnsi="Times New Roman"/>
          <w:sz w:val="14"/>
          <w:szCs w:val="14"/>
          <w:b w:val="1"/>
          <w:bCs w:val="1"/>
          <w:color w:val="auto"/>
        </w:rPr>
        <w:t>Year Ended December 31,</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240" w:type="dxa"/>
            <w:vAlign w:val="bottom"/>
          </w:tcPr>
          <w:p>
            <w:pPr>
              <w:spacing w:after="0"/>
              <w:rPr>
                <w:sz w:val="14"/>
                <w:szCs w:val="14"/>
                <w:color w:val="auto"/>
              </w:rPr>
            </w:pPr>
          </w:p>
        </w:tc>
        <w:tc>
          <w:tcPr>
            <w:tcW w:w="6180" w:type="dxa"/>
            <w:vAlign w:val="bottom"/>
            <w:gridSpan w:val="2"/>
          </w:tcPr>
          <w:p>
            <w:pPr>
              <w:spacing w:after="0"/>
              <w:rPr>
                <w:sz w:val="14"/>
                <w:szCs w:val="14"/>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360" w:type="dxa"/>
            <w:vAlign w:val="bottom"/>
            <w:tcBorders>
              <w:top w:val="single" w:sz="8" w:color="auto"/>
              <w:bottom w:val="single" w:sz="8" w:color="auto"/>
            </w:tcBorders>
          </w:tcPr>
          <w:p>
            <w:pPr>
              <w:spacing w:after="0"/>
              <w:rPr>
                <w:sz w:val="14"/>
                <w:szCs w:val="14"/>
                <w:color w:val="auto"/>
              </w:rPr>
            </w:pPr>
          </w:p>
        </w:tc>
        <w:tc>
          <w:tcPr>
            <w:tcW w:w="180" w:type="dxa"/>
            <w:vAlign w:val="bottom"/>
            <w:tcBorders>
              <w:top w:val="single" w:sz="8" w:color="auto"/>
            </w:tcBorders>
            <w:gridSpan w:val="2"/>
          </w:tcPr>
          <w:p>
            <w:pPr>
              <w:spacing w:after="0"/>
              <w:rPr>
                <w:sz w:val="14"/>
                <w:szCs w:val="14"/>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360" w:type="dxa"/>
            <w:vAlign w:val="bottom"/>
            <w:tcBorders>
              <w:top w:val="single" w:sz="8" w:color="auto"/>
              <w:bottom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080" w:type="dxa"/>
            <w:vAlign w:val="bottom"/>
            <w:tcBorders>
              <w:top w:val="single" w:sz="8" w:color="auto"/>
              <w:bottom w:val="single" w:sz="8" w:color="auto"/>
            </w:tcBorders>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237"/>
        </w:trPr>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0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36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74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08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80" w:type="dxa"/>
            <w:vAlign w:val="bottom"/>
          </w:tcPr>
          <w:p>
            <w:pPr>
              <w:spacing w:after="0"/>
              <w:rPr>
                <w:sz w:val="20"/>
                <w:szCs w:val="20"/>
                <w:color w:val="auto"/>
              </w:rPr>
            </w:pPr>
          </w:p>
        </w:tc>
      </w:tr>
      <w:tr>
        <w:trPr>
          <w:trHeight w:val="239"/>
        </w:trPr>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0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Subscription</w:t>
            </w:r>
          </w:p>
        </w:tc>
        <w:tc>
          <w:tcPr>
            <w:tcW w:w="5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98 %</w:t>
            </w:r>
          </w:p>
        </w:tc>
        <w:tc>
          <w:tcPr>
            <w:tcW w:w="740" w:type="dxa"/>
            <w:vAlign w:val="bottom"/>
          </w:tcPr>
          <w:p>
            <w:pPr>
              <w:spacing w:after="0"/>
              <w:rPr>
                <w:sz w:val="20"/>
                <w:szCs w:val="20"/>
                <w:color w:val="auto"/>
              </w:rPr>
            </w:pPr>
          </w:p>
        </w:tc>
        <w:tc>
          <w:tcPr>
            <w:tcW w:w="5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98 %</w:t>
            </w: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97 %</w:t>
            </w:r>
          </w:p>
        </w:tc>
      </w:tr>
      <w:tr>
        <w:trPr>
          <w:trHeight w:val="247"/>
        </w:trPr>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28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Professional services and other</w:t>
            </w:r>
          </w:p>
        </w:tc>
        <w:tc>
          <w:tcPr>
            <w:tcW w:w="740" w:type="dxa"/>
            <w:vAlign w:val="bottom"/>
            <w:tcBorders>
              <w:bottom w:val="single" w:sz="8" w:color="auto"/>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740" w:type="dxa"/>
            <w:vAlign w:val="bottom"/>
            <w:tcBorders>
              <w:bottom w:val="single" w:sz="8" w:color="auto"/>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Borders>
              <w:bottom w:val="single" w:sz="8" w:color="CFF0FC"/>
            </w:tcBorders>
            <w:shd w:val="clear" w:color="auto" w:fill="CFF0FC"/>
          </w:tcPr>
          <w:p>
            <w:pPr>
              <w:spacing w:after="0"/>
              <w:rPr>
                <w:sz w:val="21"/>
                <w:szCs w:val="21"/>
                <w:color w:val="auto"/>
              </w:rPr>
            </w:pPr>
          </w:p>
        </w:tc>
        <w:tc>
          <w:tcPr>
            <w:tcW w:w="80" w:type="dxa"/>
            <w:vAlign w:val="bottom"/>
          </w:tcPr>
          <w:p>
            <w:pPr>
              <w:spacing w:after="0"/>
              <w:rPr>
                <w:sz w:val="21"/>
                <w:szCs w:val="21"/>
                <w:color w:val="auto"/>
              </w:rPr>
            </w:pPr>
          </w:p>
        </w:tc>
      </w:tr>
      <w:tr>
        <w:trPr>
          <w:trHeight w:val="237"/>
        </w:trPr>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revenue</w:t>
            </w:r>
          </w:p>
        </w:tc>
        <w:tc>
          <w:tcPr>
            <w:tcW w:w="74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36"/>
        </w:trPr>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0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36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74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08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80" w:type="dxa"/>
            <w:vAlign w:val="bottom"/>
          </w:tcPr>
          <w:p>
            <w:pPr>
              <w:spacing w:after="0"/>
              <w:rPr>
                <w:sz w:val="20"/>
                <w:szCs w:val="20"/>
                <w:color w:val="auto"/>
              </w:rPr>
            </w:pPr>
          </w:p>
        </w:tc>
      </w:tr>
      <w:tr>
        <w:trPr>
          <w:trHeight w:val="239"/>
        </w:trPr>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0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Subscription</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47"/>
        </w:trPr>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28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Professional services and other</w:t>
            </w:r>
          </w:p>
        </w:tc>
        <w:tc>
          <w:tcPr>
            <w:tcW w:w="740" w:type="dxa"/>
            <w:vAlign w:val="bottom"/>
            <w:tcBorders>
              <w:bottom w:val="single" w:sz="8" w:color="auto"/>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740" w:type="dxa"/>
            <w:vAlign w:val="bottom"/>
            <w:tcBorders>
              <w:bottom w:val="single" w:sz="8" w:color="auto"/>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tcBorders>
              <w:bottom w:val="single" w:sz="8" w:color="CFF0FC"/>
            </w:tcBorders>
            <w:shd w:val="clear" w:color="auto" w:fill="CFF0FC"/>
          </w:tcPr>
          <w:p>
            <w:pPr>
              <w:spacing w:after="0"/>
              <w:rPr>
                <w:sz w:val="21"/>
                <w:szCs w:val="21"/>
                <w:color w:val="auto"/>
              </w:rPr>
            </w:pPr>
          </w:p>
        </w:tc>
        <w:tc>
          <w:tcPr>
            <w:tcW w:w="80" w:type="dxa"/>
            <w:vAlign w:val="bottom"/>
          </w:tcPr>
          <w:p>
            <w:pPr>
              <w:spacing w:after="0"/>
              <w:rPr>
                <w:sz w:val="21"/>
                <w:szCs w:val="21"/>
                <w:color w:val="auto"/>
              </w:rPr>
            </w:pPr>
          </w:p>
        </w:tc>
      </w:tr>
      <w:tr>
        <w:trPr>
          <w:trHeight w:val="237"/>
        </w:trPr>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cost of revenue</w:t>
            </w:r>
          </w:p>
        </w:tc>
        <w:tc>
          <w:tcPr>
            <w:tcW w:w="74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37"/>
        </w:trPr>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2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740" w:type="dxa"/>
            <w:vAlign w:val="bottom"/>
            <w:tcBorders>
              <w:bottom w:val="single" w:sz="8" w:color="auto"/>
            </w:tcBorders>
            <w:shd w:val="clear" w:color="auto" w:fill="CFF0FC"/>
          </w:tcPr>
          <w:p>
            <w:pPr>
              <w:spacing w:after="0"/>
              <w:rPr>
                <w:sz w:val="20"/>
                <w:szCs w:val="20"/>
                <w:color w:val="auto"/>
              </w:rPr>
            </w:pPr>
          </w:p>
        </w:tc>
        <w:tc>
          <w:tcPr>
            <w:tcW w:w="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8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740" w:type="dxa"/>
            <w:vAlign w:val="bottom"/>
            <w:tcBorders>
              <w:bottom w:val="single" w:sz="8" w:color="auto"/>
            </w:tcBorders>
            <w:shd w:val="clear" w:color="auto" w:fill="CFF0FC"/>
          </w:tcPr>
          <w:p>
            <w:pPr>
              <w:spacing w:after="0"/>
              <w:rPr>
                <w:sz w:val="20"/>
                <w:szCs w:val="20"/>
                <w:color w:val="auto"/>
              </w:rPr>
            </w:pPr>
          </w:p>
        </w:tc>
        <w:tc>
          <w:tcPr>
            <w:tcW w:w="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80" w:type="dxa"/>
            <w:vAlign w:val="bottom"/>
            <w:tcBorders>
              <w:bottom w:val="single" w:sz="8" w:color="CFF0FC"/>
            </w:tcBorders>
            <w:shd w:val="clear" w:color="auto" w:fill="CFF0FC"/>
          </w:tcPr>
          <w:p>
            <w:pPr>
              <w:spacing w:after="0"/>
              <w:rPr>
                <w:sz w:val="20"/>
                <w:szCs w:val="20"/>
                <w:color w:val="auto"/>
              </w:rPr>
            </w:pPr>
          </w:p>
        </w:tc>
        <w:tc>
          <w:tcPr>
            <w:tcW w:w="80" w:type="dxa"/>
            <w:vAlign w:val="bottom"/>
            <w:tcBorders>
              <w:bottom w:val="single" w:sz="8" w:color="CFF0FC"/>
            </w:tcBorders>
            <w:shd w:val="clear" w:color="auto" w:fill="CFF0FC"/>
          </w:tcPr>
          <w:p>
            <w:pPr>
              <w:spacing w:after="0"/>
              <w:rPr>
                <w:sz w:val="20"/>
                <w:szCs w:val="20"/>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80" w:type="dxa"/>
            <w:vAlign w:val="bottom"/>
            <w:tcBorders>
              <w:bottom w:val="single" w:sz="8" w:color="CFF0FC"/>
            </w:tcBorders>
            <w:shd w:val="clear" w:color="auto" w:fill="CFF0FC"/>
          </w:tcPr>
          <w:p>
            <w:pPr>
              <w:spacing w:after="0"/>
              <w:rPr>
                <w:sz w:val="20"/>
                <w:szCs w:val="20"/>
                <w:color w:val="auto"/>
              </w:rPr>
            </w:pPr>
          </w:p>
        </w:tc>
        <w:tc>
          <w:tcPr>
            <w:tcW w:w="80" w:type="dxa"/>
            <w:vAlign w:val="bottom"/>
          </w:tcPr>
          <w:p>
            <w:pPr>
              <w:spacing w:after="0"/>
              <w:rPr>
                <w:sz w:val="20"/>
                <w:szCs w:val="20"/>
                <w:color w:val="auto"/>
              </w:rPr>
            </w:pPr>
          </w:p>
        </w:tc>
      </w:tr>
      <w:tr>
        <w:trPr>
          <w:trHeight w:val="232"/>
        </w:trPr>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47"/>
        </w:trPr>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602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740" w:type="dxa"/>
            <w:vAlign w:val="bottom"/>
            <w:shd w:val="clear" w:color="auto" w:fill="CFF0FC"/>
          </w:tcPr>
          <w:p>
            <w:pPr>
              <w:spacing w:after="0"/>
              <w:rPr>
                <w:sz w:val="21"/>
                <w:szCs w:val="21"/>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8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80" w:type="dxa"/>
            <w:vAlign w:val="bottom"/>
            <w:shd w:val="clear" w:color="auto" w:fill="CFF0FC"/>
          </w:tcPr>
          <w:p>
            <w:pPr>
              <w:spacing w:after="0"/>
              <w:rPr>
                <w:sz w:val="21"/>
                <w:szCs w:val="21"/>
                <w:color w:val="auto"/>
              </w:rPr>
            </w:pPr>
          </w:p>
        </w:tc>
        <w:tc>
          <w:tcPr>
            <w:tcW w:w="80" w:type="dxa"/>
            <w:vAlign w:val="bottom"/>
          </w:tcPr>
          <w:p>
            <w:pPr>
              <w:spacing w:after="0"/>
              <w:rPr>
                <w:sz w:val="21"/>
                <w:szCs w:val="21"/>
                <w:color w:val="auto"/>
              </w:rPr>
            </w:pPr>
          </w:p>
        </w:tc>
      </w:tr>
      <w:tr>
        <w:trPr>
          <w:trHeight w:val="239"/>
        </w:trPr>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0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Sales and marketing</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47"/>
        </w:trPr>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602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740" w:type="dxa"/>
            <w:vAlign w:val="bottom"/>
            <w:shd w:val="clear" w:color="auto" w:fill="CFF0FC"/>
          </w:tcPr>
          <w:p>
            <w:pPr>
              <w:spacing w:after="0"/>
              <w:rPr>
                <w:sz w:val="21"/>
                <w:szCs w:val="21"/>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shd w:val="clear" w:color="auto" w:fill="CFF0FC"/>
          </w:tcPr>
          <w:p>
            <w:pPr>
              <w:spacing w:after="0"/>
              <w:rPr>
                <w:sz w:val="21"/>
                <w:szCs w:val="21"/>
                <w:color w:val="auto"/>
              </w:rPr>
            </w:pPr>
          </w:p>
        </w:tc>
        <w:tc>
          <w:tcPr>
            <w:tcW w:w="80" w:type="dxa"/>
            <w:vAlign w:val="bottom"/>
          </w:tcPr>
          <w:p>
            <w:pPr>
              <w:spacing w:after="0"/>
              <w:rPr>
                <w:sz w:val="21"/>
                <w:szCs w:val="21"/>
                <w:color w:val="auto"/>
              </w:rPr>
            </w:pPr>
          </w:p>
        </w:tc>
      </w:tr>
      <w:tr>
        <w:trPr>
          <w:trHeight w:val="243"/>
        </w:trPr>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Restructuring</w:t>
            </w:r>
          </w:p>
        </w:tc>
        <w:tc>
          <w:tcPr>
            <w:tcW w:w="74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37"/>
        </w:trPr>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280" w:type="dxa"/>
            <w:vAlign w:val="bottom"/>
            <w:tcBorders>
              <w:bottom w:val="single" w:sz="8" w:color="CFF0FC"/>
            </w:tcBorders>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740" w:type="dxa"/>
            <w:vAlign w:val="bottom"/>
            <w:tcBorders>
              <w:bottom w:val="single" w:sz="8" w:color="auto"/>
            </w:tcBorders>
            <w:shd w:val="clear" w:color="auto" w:fill="CFF0FC"/>
          </w:tcPr>
          <w:p>
            <w:pPr>
              <w:spacing w:after="0"/>
              <w:rPr>
                <w:sz w:val="20"/>
                <w:szCs w:val="20"/>
                <w:color w:val="auto"/>
              </w:rPr>
            </w:pPr>
          </w:p>
        </w:tc>
        <w:tc>
          <w:tcPr>
            <w:tcW w:w="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8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740" w:type="dxa"/>
            <w:vAlign w:val="bottom"/>
            <w:tcBorders>
              <w:bottom w:val="single" w:sz="8" w:color="auto"/>
            </w:tcBorders>
            <w:shd w:val="clear" w:color="auto" w:fill="CFF0FC"/>
          </w:tcPr>
          <w:p>
            <w:pPr>
              <w:spacing w:after="0"/>
              <w:rPr>
                <w:sz w:val="20"/>
                <w:szCs w:val="20"/>
                <w:color w:val="auto"/>
              </w:rPr>
            </w:pPr>
          </w:p>
        </w:tc>
        <w:tc>
          <w:tcPr>
            <w:tcW w:w="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80" w:type="dxa"/>
            <w:vAlign w:val="bottom"/>
            <w:tcBorders>
              <w:bottom w:val="single" w:sz="8" w:color="CFF0FC"/>
            </w:tcBorders>
            <w:shd w:val="clear" w:color="auto" w:fill="CFF0FC"/>
          </w:tcPr>
          <w:p>
            <w:pPr>
              <w:spacing w:after="0"/>
              <w:rPr>
                <w:sz w:val="20"/>
                <w:szCs w:val="20"/>
                <w:color w:val="auto"/>
              </w:rPr>
            </w:pPr>
          </w:p>
        </w:tc>
        <w:tc>
          <w:tcPr>
            <w:tcW w:w="80" w:type="dxa"/>
            <w:vAlign w:val="bottom"/>
            <w:tcBorders>
              <w:bottom w:val="single" w:sz="8" w:color="auto"/>
            </w:tcBorders>
            <w:shd w:val="clear" w:color="auto" w:fill="CFF0FC"/>
          </w:tcPr>
          <w:p>
            <w:pPr>
              <w:spacing w:after="0"/>
              <w:rPr>
                <w:sz w:val="20"/>
                <w:szCs w:val="20"/>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80" w:type="dxa"/>
            <w:vAlign w:val="bottom"/>
            <w:tcBorders>
              <w:bottom w:val="single" w:sz="8" w:color="CFF0FC"/>
            </w:tcBorders>
            <w:shd w:val="clear" w:color="auto" w:fill="CFF0FC"/>
          </w:tcPr>
          <w:p>
            <w:pPr>
              <w:spacing w:after="0"/>
              <w:rPr>
                <w:sz w:val="20"/>
                <w:szCs w:val="20"/>
                <w:color w:val="auto"/>
              </w:rPr>
            </w:pPr>
          </w:p>
        </w:tc>
        <w:tc>
          <w:tcPr>
            <w:tcW w:w="80" w:type="dxa"/>
            <w:vAlign w:val="bottom"/>
          </w:tcPr>
          <w:p>
            <w:pPr>
              <w:spacing w:after="0"/>
              <w:rPr>
                <w:sz w:val="20"/>
                <w:szCs w:val="20"/>
                <w:color w:val="auto"/>
              </w:rPr>
            </w:pPr>
          </w:p>
        </w:tc>
      </w:tr>
      <w:tr>
        <w:trPr>
          <w:trHeight w:val="232"/>
        </w:trPr>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(10 )</w:t>
            </w: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(6 )</w:t>
            </w:r>
          </w:p>
        </w:tc>
        <w:tc>
          <w:tcPr>
            <w:tcW w:w="80" w:type="dxa"/>
            <w:vAlign w:val="bottom"/>
          </w:tcPr>
          <w:p>
            <w:pPr>
              <w:spacing w:after="0"/>
              <w:rPr>
                <w:sz w:val="20"/>
                <w:szCs w:val="20"/>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(4 )</w:t>
            </w:r>
          </w:p>
        </w:tc>
        <w:tc>
          <w:tcPr>
            <w:tcW w:w="80" w:type="dxa"/>
            <w:vAlign w:val="bottom"/>
          </w:tcPr>
          <w:p>
            <w:pPr>
              <w:spacing w:after="0"/>
              <w:rPr>
                <w:sz w:val="20"/>
                <w:szCs w:val="20"/>
                <w:color w:val="auto"/>
              </w:rPr>
            </w:pPr>
          </w:p>
        </w:tc>
      </w:tr>
      <w:tr>
        <w:trPr>
          <w:trHeight w:val="247"/>
        </w:trPr>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28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Total other expense</w:t>
            </w:r>
          </w:p>
        </w:tc>
        <w:tc>
          <w:tcPr>
            <w:tcW w:w="740" w:type="dxa"/>
            <w:vAlign w:val="bottom"/>
            <w:shd w:val="clear" w:color="auto" w:fill="CFF0FC"/>
          </w:tcPr>
          <w:p>
            <w:pPr>
              <w:spacing w:after="0"/>
              <w:rPr>
                <w:sz w:val="21"/>
                <w:szCs w:val="21"/>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740" w:type="dxa"/>
            <w:vAlign w:val="bottom"/>
            <w:shd w:val="clear" w:color="auto" w:fill="CFF0FC"/>
          </w:tcPr>
          <w:p>
            <w:pPr>
              <w:spacing w:after="0"/>
              <w:rPr>
                <w:sz w:val="21"/>
                <w:szCs w:val="21"/>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8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(1 )</w:t>
            </w:r>
          </w:p>
        </w:tc>
        <w:tc>
          <w:tcPr>
            <w:tcW w:w="80" w:type="dxa"/>
            <w:vAlign w:val="bottom"/>
          </w:tcPr>
          <w:p>
            <w:pPr>
              <w:spacing w:after="0"/>
              <w:rPr>
                <w:sz w:val="21"/>
                <w:szCs w:val="21"/>
                <w:color w:val="auto"/>
              </w:rPr>
            </w:pPr>
          </w:p>
        </w:tc>
      </w:tr>
      <w:tr>
        <w:trPr>
          <w:trHeight w:val="20"/>
        </w:trPr>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280" w:type="dxa"/>
            <w:vAlign w:val="bottom"/>
            <w:shd w:val="clear" w:color="auto" w:fill="CFF0FC"/>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2"/>
        </w:trPr>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Loss before income tax expense</w:t>
            </w:r>
          </w:p>
        </w:tc>
        <w:tc>
          <w:tcPr>
            <w:tcW w:w="740" w:type="dxa"/>
            <w:vAlign w:val="bottom"/>
          </w:tcPr>
          <w:p>
            <w:pPr>
              <w:spacing w:after="0"/>
              <w:rPr>
                <w:sz w:val="20"/>
                <w:szCs w:val="20"/>
                <w:color w:val="auto"/>
              </w:rPr>
            </w:pPr>
          </w:p>
        </w:tc>
        <w:tc>
          <w:tcPr>
            <w:tcW w:w="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(7 )</w:t>
            </w: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(6 )</w:t>
            </w:r>
          </w:p>
        </w:tc>
        <w:tc>
          <w:tcPr>
            <w:tcW w:w="80" w:type="dxa"/>
            <w:vAlign w:val="bottom"/>
          </w:tcPr>
          <w:p>
            <w:pPr>
              <w:spacing w:after="0"/>
              <w:rPr>
                <w:sz w:val="20"/>
                <w:szCs w:val="20"/>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(6 )</w:t>
            </w:r>
          </w:p>
        </w:tc>
        <w:tc>
          <w:tcPr>
            <w:tcW w:w="80" w:type="dxa"/>
            <w:vAlign w:val="bottom"/>
          </w:tcPr>
          <w:p>
            <w:pPr>
              <w:spacing w:after="0"/>
              <w:rPr>
                <w:sz w:val="20"/>
                <w:szCs w:val="20"/>
                <w:color w:val="auto"/>
              </w:rPr>
            </w:pPr>
          </w:p>
        </w:tc>
      </w:tr>
      <w:tr>
        <w:trPr>
          <w:trHeight w:val="247"/>
        </w:trPr>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2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Income tax expense</w:t>
            </w:r>
          </w:p>
        </w:tc>
        <w:tc>
          <w:tcPr>
            <w:tcW w:w="740" w:type="dxa"/>
            <w:vAlign w:val="bottom"/>
            <w:shd w:val="clear" w:color="auto" w:fill="CFF0FC"/>
          </w:tcPr>
          <w:p>
            <w:pPr>
              <w:spacing w:after="0"/>
              <w:rPr>
                <w:sz w:val="21"/>
                <w:szCs w:val="21"/>
                <w:color w:val="auto"/>
              </w:rPr>
            </w:pPr>
          </w:p>
        </w:tc>
        <w:tc>
          <w:tcPr>
            <w:tcW w:w="4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(1 )</w:t>
            </w:r>
          </w:p>
        </w:tc>
        <w:tc>
          <w:tcPr>
            <w:tcW w:w="100" w:type="dxa"/>
            <w:vAlign w:val="bottom"/>
            <w:shd w:val="clear" w:color="auto" w:fill="CFF0FC"/>
          </w:tcPr>
          <w:p>
            <w:pPr>
              <w:spacing w:after="0"/>
              <w:rPr>
                <w:sz w:val="21"/>
                <w:szCs w:val="21"/>
                <w:color w:val="auto"/>
              </w:rPr>
            </w:pPr>
          </w:p>
        </w:tc>
        <w:tc>
          <w:tcPr>
            <w:tcW w:w="740" w:type="dxa"/>
            <w:vAlign w:val="bottom"/>
            <w:shd w:val="clear" w:color="auto" w:fill="CFF0FC"/>
          </w:tcPr>
          <w:p>
            <w:pPr>
              <w:spacing w:after="0"/>
              <w:rPr>
                <w:sz w:val="21"/>
                <w:szCs w:val="21"/>
                <w:color w:val="auto"/>
              </w:rPr>
            </w:pPr>
          </w:p>
        </w:tc>
        <w:tc>
          <w:tcPr>
            <w:tcW w:w="4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(0 )</w:t>
            </w:r>
          </w:p>
        </w:tc>
        <w:tc>
          <w:tcPr>
            <w:tcW w:w="8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(0 )</w:t>
            </w:r>
          </w:p>
        </w:tc>
        <w:tc>
          <w:tcPr>
            <w:tcW w:w="80" w:type="dxa"/>
            <w:vAlign w:val="bottom"/>
          </w:tcPr>
          <w:p>
            <w:pPr>
              <w:spacing w:after="0"/>
              <w:rPr>
                <w:sz w:val="21"/>
                <w:szCs w:val="21"/>
                <w:color w:val="auto"/>
              </w:rPr>
            </w:pPr>
          </w:p>
        </w:tc>
      </w:tr>
      <w:tr>
        <w:trPr>
          <w:trHeight w:val="20"/>
        </w:trPr>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280" w:type="dxa"/>
            <w:vAlign w:val="bottom"/>
            <w:shd w:val="clear" w:color="auto" w:fill="CFF0FC"/>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6"/>
        </w:trPr>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740" w:type="dxa"/>
            <w:vAlign w:val="bottom"/>
          </w:tcPr>
          <w:p>
            <w:pPr>
              <w:spacing w:after="0"/>
              <w:rPr>
                <w:sz w:val="20"/>
                <w:szCs w:val="20"/>
                <w:color w:val="auto"/>
              </w:rPr>
            </w:pPr>
          </w:p>
        </w:tc>
        <w:tc>
          <w:tcPr>
            <w:tcW w:w="5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-8 %</w:t>
            </w:r>
          </w:p>
        </w:tc>
        <w:tc>
          <w:tcPr>
            <w:tcW w:w="740" w:type="dxa"/>
            <w:vAlign w:val="bottom"/>
          </w:tcPr>
          <w:p>
            <w:pPr>
              <w:spacing w:after="0"/>
              <w:rPr>
                <w:sz w:val="20"/>
                <w:szCs w:val="20"/>
                <w:color w:val="auto"/>
              </w:rPr>
            </w:pPr>
          </w:p>
        </w:tc>
        <w:tc>
          <w:tcPr>
            <w:tcW w:w="5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-6 %</w:t>
            </w:r>
          </w:p>
        </w:tc>
      </w:tr>
      <w:tr>
        <w:trPr>
          <w:trHeight w:val="20"/>
        </w:trPr>
        <w:tc>
          <w:tcPr>
            <w:tcW w:w="240" w:type="dxa"/>
            <w:vAlign w:val="bottom"/>
          </w:tcPr>
          <w:p>
            <w:pPr>
              <w:spacing w:after="0" w:line="20" w:lineRule="exact"/>
              <w:rPr>
                <w:sz w:val="1"/>
                <w:szCs w:val="1"/>
                <w:color w:val="auto"/>
              </w:rPr>
            </w:pPr>
          </w:p>
        </w:tc>
        <w:tc>
          <w:tcPr>
            <w:tcW w:w="6180" w:type="dxa"/>
            <w:vAlign w:val="bottom"/>
            <w:gridSpan w:val="2"/>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40"/>
        </w:trPr>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6920" w:type="dxa"/>
            <w:vAlign w:val="bottom"/>
            <w:gridSpan w:val="3"/>
          </w:tcPr>
          <w:p>
            <w:pPr>
              <w:jc w:val="right"/>
              <w:ind w:right="1208"/>
              <w:spacing w:after="0"/>
              <w:rPr>
                <w:sz w:val="20"/>
                <w:szCs w:val="20"/>
                <w:color w:val="auto"/>
              </w:rPr>
            </w:pPr>
            <w:r>
              <w:rPr>
                <w:rFonts w:ascii="Times New Roman" w:cs="Times New Roman" w:eastAsia="Times New Roman" w:hAnsi="Times New Roman"/>
                <w:sz w:val="18"/>
                <w:szCs w:val="18"/>
                <w:color w:val="auto"/>
              </w:rPr>
              <w:t>Percentages are based on actual values. Totals may not sum due to rounding.</w:t>
            </w: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4771390</wp:posOffset>
            </wp:positionH>
            <wp:positionV relativeFrom="paragraph">
              <wp:posOffset>-3016885</wp:posOffset>
            </wp:positionV>
            <wp:extent cx="6032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-3016885</wp:posOffset>
            </wp:positionV>
            <wp:extent cx="5143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-3016885</wp:posOffset>
            </wp:positionV>
            <wp:extent cx="5143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-2382520</wp:posOffset>
            </wp:positionV>
            <wp:extent cx="60325"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-2382520</wp:posOffset>
            </wp:positionV>
            <wp:extent cx="51435"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-2382520</wp:posOffset>
            </wp:positionV>
            <wp:extent cx="51435"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-2056765</wp:posOffset>
            </wp:positionV>
            <wp:extent cx="6032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-2056765</wp:posOffset>
            </wp:positionV>
            <wp:extent cx="5143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-2056765</wp:posOffset>
            </wp:positionV>
            <wp:extent cx="5143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-1113790</wp:posOffset>
            </wp:positionV>
            <wp:extent cx="6032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-1113790</wp:posOffset>
            </wp:positionV>
            <wp:extent cx="5143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-1113790</wp:posOffset>
            </wp:positionV>
            <wp:extent cx="5143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-796925</wp:posOffset>
            </wp:positionV>
            <wp:extent cx="6032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-796925</wp:posOffset>
            </wp:positionV>
            <wp:extent cx="5143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-796925</wp:posOffset>
            </wp:positionV>
            <wp:extent cx="5143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-479425</wp:posOffset>
            </wp:positionV>
            <wp:extent cx="6032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-479425</wp:posOffset>
            </wp:positionV>
            <wp:extent cx="5143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-479425</wp:posOffset>
            </wp:positionV>
            <wp:extent cx="5143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Year Ended December 31, 2023 Compared to the Year Ended December 31, 2022</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36" w:lineRule="exact"/>
        <w:rPr>
          <w:sz w:val="20"/>
          <w:szCs w:val="20"/>
          <w:color w:val="auto"/>
        </w:rPr>
      </w:pPr>
    </w:p>
    <w:tbl>
      <w:tblPr>
        <w:tblLayout w:type="fixed"/>
        <w:tblInd w:w="580" w:type="dxa"/>
        <w:tblCellMar>
          <w:top w:w="0" w:type="dxa"/>
          <w:left w:w="0" w:type="dxa"/>
          <w:bottom w:w="0" w:type="dxa"/>
          <w:right w:w="0" w:type="dxa"/>
        </w:tblCellMar>
      </w:tblPr>
      <w:tr>
        <w:trPr>
          <w:trHeight w:val="187"/>
        </w:trPr>
        <w:tc>
          <w:tcPr>
            <w:tcW w:w="52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gridSpan w:val="4"/>
          </w:tcPr>
          <w:p>
            <w:pPr>
              <w:jc w:val="right"/>
              <w:ind w:right="277"/>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ind w:left="7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7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69"/>
        </w:trPr>
        <w:tc>
          <w:tcPr>
            <w:tcW w:w="52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97"/>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97"/>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8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9"/>
        </w:trPr>
        <w:tc>
          <w:tcPr>
            <w:tcW w:w="5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580" w:type="dxa"/>
            <w:vAlign w:val="bottom"/>
            <w:gridSpan w:val="6"/>
          </w:tcPr>
          <w:p>
            <w:pPr>
              <w:ind w:left="26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34"/>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Subscription</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2,123,479</w:t>
            </w: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1,690,538</w:t>
            </w:r>
          </w:p>
        </w:tc>
        <w:tc>
          <w:tcPr>
            <w:tcW w:w="3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432,941</w:t>
            </w: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26 %</w:t>
            </w:r>
          </w:p>
        </w:tc>
      </w:tr>
      <w:tr>
        <w:trPr>
          <w:trHeight w:val="252"/>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Professional services and other</w:t>
            </w:r>
          </w:p>
        </w:tc>
        <w:tc>
          <w:tcPr>
            <w:tcW w:w="20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46,751</w:t>
            </w:r>
          </w:p>
        </w:tc>
        <w:tc>
          <w:tcPr>
            <w:tcW w:w="2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40,431</w:t>
            </w:r>
          </w:p>
        </w:tc>
        <w:tc>
          <w:tcPr>
            <w:tcW w:w="2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6,320</w:t>
            </w:r>
          </w:p>
        </w:tc>
        <w:tc>
          <w:tcPr>
            <w:tcW w:w="1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16 %</w:t>
            </w:r>
          </w:p>
        </w:tc>
      </w:tr>
      <w:tr>
        <w:trPr>
          <w:trHeight w:val="236"/>
        </w:trPr>
        <w:tc>
          <w:tcPr>
            <w:tcW w:w="5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revenue</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2,170,230</w:t>
            </w: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1,730,969</w:t>
            </w:r>
          </w:p>
        </w:tc>
        <w:tc>
          <w:tcPr>
            <w:tcW w:w="3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439,261</w:t>
            </w: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25 %</w:t>
            </w:r>
          </w:p>
        </w:tc>
      </w:tr>
      <w:tr>
        <w:trPr>
          <w:trHeight w:val="20"/>
        </w:trPr>
        <w:tc>
          <w:tcPr>
            <w:tcW w:w="5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-496570</wp:posOffset>
            </wp:positionV>
            <wp:extent cx="6412230" cy="15430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412230" cy="154305"/>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-179705</wp:posOffset>
            </wp:positionV>
            <wp:extent cx="6412230" cy="18034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412230" cy="180340"/>
                    </a:xfrm>
                    <a:prstGeom prst="rect">
                      <a:avLst/>
                    </a:prstGeom>
                    <a:noFill/>
                  </pic:spPr>
                </pic:pic>
              </a:graphicData>
            </a:graphic>
          </wp:anchor>
        </w:drawing>
      </w:r>
    </w:p>
    <w:p>
      <w:pPr>
        <w:spacing w:after="0" w:line="245" w:lineRule="exact"/>
        <w:rPr>
          <w:sz w:val="20"/>
          <w:szCs w:val="20"/>
          <w:color w:val="auto"/>
        </w:rPr>
      </w:pPr>
    </w:p>
    <w:p>
      <w:pPr>
        <w:ind w:right="80" w:firstLine="578"/>
        <w:spacing w:after="0" w:line="256" w:lineRule="auto"/>
        <w:rPr>
          <w:sz w:val="20"/>
          <w:szCs w:val="20"/>
          <w:color w:val="auto"/>
        </w:rPr>
      </w:pPr>
      <w:r>
        <w:rPr>
          <w:rFonts w:ascii="Times New Roman" w:cs="Times New Roman" w:eastAsia="Times New Roman" w:hAnsi="Times New Roman"/>
          <w:sz w:val="18"/>
          <w:szCs w:val="18"/>
          <w:color w:val="auto"/>
        </w:rPr>
        <w:t>Subscription revenue increased during 2023 due to the increase in Customers, which grew from 167,386 as of December 31, 2022 to 205,091 as of December 31, 2023. Average Subscription Revenue per Customer also increased from $11,163 for the year ended December 31, 2022 to $11,384 for the year ended December 31, 2023. The growth in Customers was primarily driven by increased demand for our lower-priced Starter products. The increase in Average Subscription Revenue per Customer was primarily driven by a continued demand for our Professional and Enterprise products and adoption of multiple Hubs, as well as impact of foreign currency translation primarily attributable to the increase in the value of the Euro and British Pound Sterling relative to the U.S. Dollar, partially offset by continued purchases of our lower-priced Starter products.</w:t>
      </w:r>
    </w:p>
    <w:p>
      <w:pPr>
        <w:spacing w:after="0" w:line="214" w:lineRule="exact"/>
        <w:rPr>
          <w:sz w:val="20"/>
          <w:szCs w:val="20"/>
          <w:color w:val="auto"/>
        </w:rPr>
      </w:pPr>
    </w:p>
    <w:p>
      <w:pPr>
        <w:ind w:right="180" w:firstLine="509"/>
        <w:spacing w:after="0" w:line="282" w:lineRule="auto"/>
        <w:rPr>
          <w:sz w:val="20"/>
          <w:szCs w:val="20"/>
          <w:color w:val="auto"/>
        </w:rPr>
      </w:pPr>
      <w:r>
        <w:rPr>
          <w:rFonts w:ascii="Times New Roman" w:cs="Times New Roman" w:eastAsia="Times New Roman" w:hAnsi="Times New Roman"/>
          <w:sz w:val="18"/>
          <w:szCs w:val="18"/>
          <w:color w:val="auto"/>
        </w:rPr>
        <w:t>Professional services and other revenue increased during 2023 primarily due to an increase in overall services revenue from on-boarding and other revenue streams, including Commerce Hub.</w:t>
      </w:r>
    </w:p>
    <w:p>
      <w:pPr>
        <w:spacing w:after="0" w:line="200" w:lineRule="exact"/>
        <w:rPr>
          <w:sz w:val="20"/>
          <w:szCs w:val="20"/>
          <w:color w:val="auto"/>
        </w:rPr>
      </w:pPr>
    </w:p>
    <w:p>
      <w:pPr>
        <w:spacing w:after="0" w:line="20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i w:val="1"/>
          <w:iCs w:val="1"/>
          <w:color w:val="auto"/>
        </w:rPr>
        <w:t>Cost of Revenue, Gross Profit and Gross Margin Percentage</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80" w:type="dxa"/>
            <w:vAlign w:val="bottom"/>
          </w:tcPr>
          <w:p>
            <w:pPr>
              <w:spacing w:after="0"/>
              <w:rPr>
                <w:sz w:val="16"/>
                <w:szCs w:val="16"/>
                <w:color w:val="auto"/>
              </w:rPr>
            </w:pPr>
          </w:p>
        </w:tc>
        <w:tc>
          <w:tcPr>
            <w:tcW w:w="374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16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3"/>
          </w:tcPr>
          <w:p>
            <w:pPr>
              <w:ind w:left="6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6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r>
      <w:tr>
        <w:trPr>
          <w:trHeight w:val="169"/>
        </w:trPr>
        <w:tc>
          <w:tcPr>
            <w:tcW w:w="58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40" w:type="dxa"/>
            <w:vAlign w:val="bottom"/>
          </w:tcPr>
          <w:p>
            <w:pPr>
              <w:jc w:val="right"/>
              <w:ind w:right="716"/>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60" w:type="dxa"/>
            <w:vAlign w:val="bottom"/>
          </w:tcPr>
          <w:p>
            <w:pPr>
              <w:jc w:val="right"/>
              <w:ind w:right="735"/>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680" w:type="dxa"/>
            <w:vAlign w:val="bottom"/>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69"/>
        </w:trPr>
        <w:tc>
          <w:tcPr>
            <w:tcW w:w="58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144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900" w:type="dxa"/>
            <w:vAlign w:val="bottom"/>
            <w:tcBorders>
              <w:top w:val="single" w:sz="8" w:color="auto"/>
            </w:tcBorders>
            <w:gridSpan w:val="2"/>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234"/>
        </w:trPr>
        <w:tc>
          <w:tcPr>
            <w:tcW w:w="580" w:type="dxa"/>
            <w:vAlign w:val="bottom"/>
          </w:tcPr>
          <w:p>
            <w:pPr>
              <w:spacing w:after="0"/>
              <w:rPr>
                <w:sz w:val="20"/>
                <w:szCs w:val="20"/>
                <w:color w:val="auto"/>
              </w:rPr>
            </w:pPr>
          </w:p>
        </w:tc>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Total cost of revenue</w:t>
            </w: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345,489</w:t>
            </w:r>
          </w:p>
        </w:tc>
        <w:tc>
          <w:tcPr>
            <w:tcW w:w="220" w:type="dxa"/>
            <w:vAlign w:val="bottom"/>
          </w:tcPr>
          <w:p>
            <w:pPr>
              <w:spacing w:after="0"/>
              <w:rPr>
                <w:sz w:val="20"/>
                <w:szCs w:val="20"/>
                <w:color w:val="auto"/>
              </w:rPr>
            </w:pPr>
          </w:p>
        </w:tc>
        <w:tc>
          <w:tcPr>
            <w:tcW w:w="740" w:type="dxa"/>
            <w:vAlign w:val="bottom"/>
          </w:tcPr>
          <w:p>
            <w:pPr>
              <w:jc w:val="right"/>
              <w:ind w:right="559"/>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314,259</w:t>
            </w:r>
          </w:p>
        </w:tc>
        <w:tc>
          <w:tcPr>
            <w:tcW w:w="2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31,230</w:t>
            </w: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40" w:type="dxa"/>
            <w:vAlign w:val="bottom"/>
            <w:gridSpan w:val="3"/>
          </w:tcPr>
          <w:p>
            <w:pPr>
              <w:jc w:val="right"/>
              <w:ind w:right="500"/>
              <w:spacing w:after="0"/>
              <w:rPr>
                <w:sz w:val="20"/>
                <w:szCs w:val="20"/>
                <w:color w:val="auto"/>
              </w:rPr>
            </w:pPr>
            <w:r>
              <w:rPr>
                <w:rFonts w:ascii="Times New Roman" w:cs="Times New Roman" w:eastAsia="Times New Roman" w:hAnsi="Times New Roman"/>
                <w:sz w:val="18"/>
                <w:szCs w:val="18"/>
                <w:color w:val="auto"/>
              </w:rPr>
              <w:t>10 %</w:t>
            </w:r>
          </w:p>
        </w:tc>
      </w:tr>
      <w:tr>
        <w:trPr>
          <w:trHeight w:val="245"/>
        </w:trPr>
        <w:tc>
          <w:tcPr>
            <w:tcW w:w="580" w:type="dxa"/>
            <w:vAlign w:val="bottom"/>
          </w:tcPr>
          <w:p>
            <w:pPr>
              <w:spacing w:after="0"/>
              <w:rPr>
                <w:sz w:val="21"/>
                <w:szCs w:val="21"/>
                <w:color w:val="auto"/>
              </w:rPr>
            </w:pPr>
          </w:p>
        </w:tc>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4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1,824,741</w:t>
            </w:r>
          </w:p>
        </w:tc>
        <w:tc>
          <w:tcPr>
            <w:tcW w:w="2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1,416,710</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408,031</w:t>
            </w:r>
          </w:p>
        </w:tc>
        <w:tc>
          <w:tcPr>
            <w:tcW w:w="1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40" w:type="dxa"/>
            <w:vAlign w:val="bottom"/>
            <w:gridSpan w:val="3"/>
          </w:tcPr>
          <w:p>
            <w:pPr>
              <w:jc w:val="right"/>
              <w:ind w:right="500"/>
              <w:spacing w:after="0"/>
              <w:rPr>
                <w:sz w:val="20"/>
                <w:szCs w:val="20"/>
                <w:color w:val="auto"/>
              </w:rPr>
            </w:pPr>
            <w:r>
              <w:rPr>
                <w:rFonts w:ascii="Times New Roman" w:cs="Times New Roman" w:eastAsia="Times New Roman" w:hAnsi="Times New Roman"/>
                <w:sz w:val="18"/>
                <w:szCs w:val="18"/>
                <w:color w:val="auto"/>
              </w:rPr>
              <w:t>29 %</w:t>
            </w:r>
          </w:p>
        </w:tc>
      </w:tr>
      <w:tr>
        <w:trPr>
          <w:trHeight w:val="250"/>
        </w:trPr>
        <w:tc>
          <w:tcPr>
            <w:tcW w:w="580" w:type="dxa"/>
            <w:vAlign w:val="bottom"/>
          </w:tcPr>
          <w:p>
            <w:pPr>
              <w:spacing w:after="0"/>
              <w:rPr>
                <w:sz w:val="21"/>
                <w:szCs w:val="21"/>
                <w:color w:val="auto"/>
              </w:rPr>
            </w:pPr>
          </w:p>
        </w:tc>
        <w:tc>
          <w:tcPr>
            <w:tcW w:w="3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460" w:type="dxa"/>
            <w:vAlign w:val="bottom"/>
            <w:shd w:val="clear" w:color="auto" w:fill="CFF0FC"/>
          </w:tcPr>
          <w:p>
            <w:pPr>
              <w:spacing w:after="0"/>
              <w:rPr>
                <w:sz w:val="21"/>
                <w:szCs w:val="21"/>
                <w:color w:val="auto"/>
              </w:rPr>
            </w:pPr>
          </w:p>
        </w:tc>
        <w:tc>
          <w:tcPr>
            <w:tcW w:w="16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84 %</w:t>
            </w:r>
          </w:p>
        </w:tc>
        <w:tc>
          <w:tcPr>
            <w:tcW w:w="740" w:type="dxa"/>
            <w:vAlign w:val="bottom"/>
            <w:shd w:val="clear" w:color="auto" w:fill="CFF0FC"/>
          </w:tcPr>
          <w:p>
            <w:pPr>
              <w:spacing w:after="0"/>
              <w:rPr>
                <w:sz w:val="21"/>
                <w:szCs w:val="21"/>
                <w:color w:val="auto"/>
              </w:rPr>
            </w:pPr>
          </w:p>
        </w:tc>
        <w:tc>
          <w:tcPr>
            <w:tcW w:w="13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82 %</w:t>
            </w:r>
          </w:p>
        </w:tc>
        <w:tc>
          <w:tcPr>
            <w:tcW w:w="140" w:type="dxa"/>
            <w:vAlign w:val="bottom"/>
            <w:shd w:val="clear" w:color="auto" w:fill="CFF0FC"/>
          </w:tcPr>
          <w:p>
            <w:pPr>
              <w:spacing w:after="0"/>
              <w:rPr>
                <w:sz w:val="21"/>
                <w:szCs w:val="21"/>
                <w:color w:val="auto"/>
              </w:rPr>
            </w:pPr>
          </w:p>
        </w:tc>
        <w:tc>
          <w:tcPr>
            <w:tcW w:w="7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6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560" w:type="dxa"/>
            <w:vAlign w:val="bottom"/>
          </w:tcPr>
          <w:p>
            <w:pPr>
              <w:spacing w:after="0"/>
              <w:rPr>
                <w:sz w:val="21"/>
                <w:szCs w:val="21"/>
                <w:color w:val="auto"/>
              </w:rPr>
            </w:pPr>
          </w:p>
        </w:tc>
      </w:tr>
      <w:tr>
        <w:trPr>
          <w:trHeight w:val="689"/>
        </w:trPr>
        <w:tc>
          <w:tcPr>
            <w:tcW w:w="58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40" w:type="dxa"/>
            <w:vAlign w:val="bottom"/>
          </w:tcPr>
          <w:p>
            <w:pPr>
              <w:jc w:val="right"/>
              <w:ind w:right="416"/>
              <w:spacing w:after="0"/>
              <w:rPr>
                <w:sz w:val="20"/>
                <w:szCs w:val="20"/>
                <w:color w:val="auto"/>
              </w:rPr>
            </w:pPr>
            <w:r>
              <w:rPr>
                <w:rFonts w:ascii="Times New Roman" w:cs="Times New Roman" w:eastAsia="Times New Roman" w:hAnsi="Times New Roman"/>
                <w:sz w:val="18"/>
                <w:szCs w:val="18"/>
                <w:color w:val="auto"/>
              </w:rPr>
              <w:t>52</w:t>
            </w: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763"/>
        </w:trPr>
        <w:tc>
          <w:tcPr>
            <w:tcW w:w="580" w:type="dxa"/>
            <w:vAlign w:val="bottom"/>
            <w:tcBorders>
              <w:bottom w:val="single" w:sz="8" w:color="9A9A9A"/>
            </w:tcBorders>
          </w:tcPr>
          <w:p>
            <w:pPr>
              <w:spacing w:after="0"/>
              <w:rPr>
                <w:sz w:val="24"/>
                <w:szCs w:val="24"/>
                <w:color w:val="auto"/>
              </w:rPr>
            </w:pPr>
          </w:p>
        </w:tc>
        <w:tc>
          <w:tcPr>
            <w:tcW w:w="374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-1396365</wp:posOffset>
            </wp:positionV>
            <wp:extent cx="6412230" cy="15430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412230" cy="15430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08" w:right="339" w:bottom="852" w:gutter="0" w:footer="0" w:header="0"/>
        </w:sectPr>
      </w:pPr>
    </w:p>
    <w:bookmarkStart w:id="52" w:name="page53"/>
    <w:bookmarkEnd w:id="52"/>
    <w:p>
      <w:pPr>
        <w:ind w:right="220" w:firstLine="509"/>
        <w:spacing w:after="0" w:line="266" w:lineRule="auto"/>
        <w:rPr>
          <w:sz w:val="20"/>
          <w:szCs w:val="20"/>
          <w:color w:val="auto"/>
        </w:rPr>
      </w:pPr>
      <w:r>
        <w:rPr>
          <w:rFonts w:ascii="Times New Roman" w:cs="Times New Roman" w:eastAsia="Times New Roman" w:hAnsi="Times New Roman"/>
          <w:sz w:val="18"/>
          <w:szCs w:val="18"/>
          <w:color w:val="auto"/>
        </w:rPr>
        <w:t>Total cost of revenue increased during 2023 primarily due to an increase in subscription and hosting costs, amortization of capitalized software development costs, amortization of acquired technology, offset by a decrease in employee-related costs and allocated overhead expenses. The increase in gross margin was primarily driven by benefits from hosting cost efficiencies from infrastructure optimization efforts.</w:t>
      </w:r>
    </w:p>
    <w:p>
      <w:pPr>
        <w:spacing w:after="0" w:line="237" w:lineRule="exact"/>
        <w:rPr>
          <w:sz w:val="20"/>
          <w:szCs w:val="20"/>
          <w:color w:val="auto"/>
        </w:rPr>
      </w:pPr>
    </w:p>
    <w:tbl>
      <w:tblPr>
        <w:tblLayout w:type="fixed"/>
        <w:tblInd w:w="580" w:type="dxa"/>
        <w:tblCellMar>
          <w:top w:w="0" w:type="dxa"/>
          <w:left w:w="0" w:type="dxa"/>
          <w:bottom w:w="0" w:type="dxa"/>
          <w:right w:w="0" w:type="dxa"/>
        </w:tblCellMar>
      </w:tblPr>
      <w:tr>
        <w:trPr>
          <w:trHeight w:val="187"/>
        </w:trPr>
        <w:tc>
          <w:tcPr>
            <w:tcW w:w="5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80" w:type="dxa"/>
            <w:vAlign w:val="bottom"/>
            <w:gridSpan w:val="5"/>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60" w:type="dxa"/>
            <w:vAlign w:val="bottom"/>
          </w:tcPr>
          <w:p>
            <w:pPr>
              <w:spacing w:after="0"/>
              <w:rPr>
                <w:sz w:val="16"/>
                <w:szCs w:val="16"/>
                <w:color w:val="auto"/>
              </w:rPr>
            </w:pPr>
          </w:p>
        </w:tc>
        <w:tc>
          <w:tcPr>
            <w:tcW w:w="1340" w:type="dxa"/>
            <w:vAlign w:val="bottom"/>
            <w:gridSpan w:val="3"/>
          </w:tcPr>
          <w:p>
            <w:pPr>
              <w:ind w:left="7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69"/>
        </w:trPr>
        <w:tc>
          <w:tcPr>
            <w:tcW w:w="524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340" w:type="dxa"/>
            <w:vAlign w:val="bottom"/>
            <w:tcBorders>
              <w:top w:val="single" w:sz="8" w:color="auto"/>
            </w:tcBorders>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740" w:type="dxa"/>
            <w:vAlign w:val="bottom"/>
            <w:tcBorders>
              <w:top w:val="single" w:sz="8" w:color="auto"/>
            </w:tcBorders>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9"/>
        </w:trPr>
        <w:tc>
          <w:tcPr>
            <w:tcW w:w="524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(dollars in</w:t>
            </w:r>
          </w:p>
        </w:tc>
        <w:tc>
          <w:tcPr>
            <w:tcW w:w="200" w:type="dxa"/>
            <w:vAlign w:val="bottom"/>
          </w:tcPr>
          <w:p>
            <w:pPr>
              <w:spacing w:after="0"/>
              <w:rPr>
                <w:sz w:val="14"/>
                <w:szCs w:val="14"/>
                <w:color w:val="auto"/>
              </w:rPr>
            </w:pPr>
          </w:p>
        </w:tc>
        <w:tc>
          <w:tcPr>
            <w:tcW w:w="98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thousands)</w:t>
            </w:r>
          </w:p>
        </w:tc>
        <w:tc>
          <w:tcPr>
            <w:tcW w:w="200" w:type="dxa"/>
            <w:vAlign w:val="bottom"/>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34"/>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Subscription cost of revenue</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290,802</w:t>
            </w:r>
          </w:p>
        </w:tc>
        <w:tc>
          <w:tcPr>
            <w:tcW w:w="24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257,513</w:t>
            </w:r>
          </w:p>
        </w:tc>
        <w:tc>
          <w:tcPr>
            <w:tcW w:w="200" w:type="dxa"/>
            <w:vAlign w:val="bottom"/>
          </w:tcPr>
          <w:p>
            <w:pPr>
              <w:spacing w:after="0"/>
              <w:rPr>
                <w:sz w:val="20"/>
                <w:szCs w:val="20"/>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33,289</w:t>
            </w: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13 %</w:t>
            </w:r>
          </w:p>
        </w:tc>
      </w:tr>
      <w:tr>
        <w:trPr>
          <w:trHeight w:val="238"/>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Percentage of subscription revenue</w:t>
            </w:r>
          </w:p>
        </w:tc>
        <w:tc>
          <w:tcPr>
            <w:tcW w:w="240" w:type="dxa"/>
            <w:vAlign w:val="bottom"/>
          </w:tcPr>
          <w:p>
            <w:pPr>
              <w:spacing w:after="0"/>
              <w:rPr>
                <w:sz w:val="20"/>
                <w:szCs w:val="20"/>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14 %</w:t>
            </w:r>
          </w:p>
        </w:tc>
        <w:tc>
          <w:tcPr>
            <w:tcW w:w="240" w:type="dxa"/>
            <w:vAlign w:val="bottom"/>
          </w:tcPr>
          <w:p>
            <w:pPr>
              <w:spacing w:after="0"/>
              <w:rPr>
                <w:sz w:val="20"/>
                <w:szCs w:val="20"/>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15 %</w:t>
            </w:r>
          </w:p>
        </w:tc>
        <w:tc>
          <w:tcPr>
            <w:tcW w:w="1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-299720</wp:posOffset>
            </wp:positionV>
            <wp:extent cx="6412230" cy="15430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412230" cy="154305"/>
                    </a:xfrm>
                    <a:prstGeom prst="rect">
                      <a:avLst/>
                    </a:prstGeom>
                    <a:noFill/>
                  </pic:spPr>
                </pic:pic>
              </a:graphicData>
            </a:graphic>
          </wp:anchor>
        </w:drawing>
      </w:r>
    </w:p>
    <w:p>
      <w:pPr>
        <w:spacing w:after="0" w:line="191" w:lineRule="exact"/>
        <w:rPr>
          <w:sz w:val="20"/>
          <w:szCs w:val="20"/>
          <w:color w:val="auto"/>
        </w:rPr>
      </w:pPr>
    </w:p>
    <w:p>
      <w:pPr>
        <w:ind w:right="220" w:firstLine="509"/>
        <w:spacing w:after="0" w:line="282" w:lineRule="auto"/>
        <w:rPr>
          <w:sz w:val="20"/>
          <w:szCs w:val="20"/>
          <w:color w:val="auto"/>
        </w:rPr>
      </w:pPr>
      <w:r>
        <w:rPr>
          <w:rFonts w:ascii="Times New Roman" w:cs="Times New Roman" w:eastAsia="Times New Roman" w:hAnsi="Times New Roman"/>
          <w:sz w:val="18"/>
          <w:szCs w:val="18"/>
          <w:color w:val="auto"/>
        </w:rPr>
        <w:t>The increase in subscription cost of revenue for the year ended December 31, 2023 compared to the year ended December 31, 2022 was primarily due to the following:</w:t>
      </w:r>
    </w:p>
    <w:p>
      <w:pPr>
        <w:spacing w:after="0" w:line="169" w:lineRule="exact"/>
        <w:rPr>
          <w:sz w:val="20"/>
          <w:szCs w:val="20"/>
          <w:color w:val="auto"/>
        </w:rPr>
      </w:pPr>
    </w:p>
    <w:tbl>
      <w:tblPr>
        <w:tblLayout w:type="fixed"/>
        <w:tblInd w:w="1700" w:type="dxa"/>
        <w:tblCellMar>
          <w:top w:w="0" w:type="dxa"/>
          <w:left w:w="0" w:type="dxa"/>
          <w:bottom w:w="0" w:type="dxa"/>
          <w:right w:w="0" w:type="dxa"/>
        </w:tblCellMar>
      </w:tblPr>
      <w:tr>
        <w:trPr>
          <w:trHeight w:val="187"/>
        </w:trPr>
        <w:tc>
          <w:tcPr>
            <w:tcW w:w="6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169"/>
        </w:trPr>
        <w:tc>
          <w:tcPr>
            <w:tcW w:w="644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0" w:type="dxa"/>
            <w:vAlign w:val="bottom"/>
          </w:tcPr>
          <w:p>
            <w:pPr>
              <w:spacing w:after="0"/>
              <w:rPr>
                <w:sz w:val="14"/>
                <w:szCs w:val="14"/>
                <w:color w:val="auto"/>
              </w:rPr>
            </w:pPr>
          </w:p>
        </w:tc>
      </w:tr>
      <w:tr>
        <w:trPr>
          <w:trHeight w:val="243"/>
        </w:trPr>
        <w:tc>
          <w:tcPr>
            <w:tcW w:w="6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Subscription and hosting costs</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24,374</w:t>
            </w:r>
          </w:p>
        </w:tc>
        <w:tc>
          <w:tcPr>
            <w:tcW w:w="80" w:type="dxa"/>
            <w:vAlign w:val="bottom"/>
            <w:shd w:val="clear" w:color="auto" w:fill="CFF0FC"/>
          </w:tcPr>
          <w:p>
            <w:pPr>
              <w:spacing w:after="0"/>
              <w:rPr>
                <w:sz w:val="21"/>
                <w:szCs w:val="21"/>
                <w:color w:val="auto"/>
              </w:rPr>
            </w:pPr>
          </w:p>
        </w:tc>
      </w:tr>
      <w:tr>
        <w:trPr>
          <w:trHeight w:val="239"/>
        </w:trPr>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capitalized software development costs</w:t>
            </w:r>
          </w:p>
        </w:tc>
        <w:tc>
          <w:tcPr>
            <w:tcW w:w="1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11,243</w:t>
            </w:r>
          </w:p>
        </w:tc>
        <w:tc>
          <w:tcPr>
            <w:tcW w:w="80" w:type="dxa"/>
            <w:vAlign w:val="bottom"/>
          </w:tcPr>
          <w:p>
            <w:pPr>
              <w:spacing w:after="0"/>
              <w:rPr>
                <w:sz w:val="20"/>
                <w:szCs w:val="20"/>
                <w:color w:val="auto"/>
              </w:rPr>
            </w:pPr>
          </w:p>
        </w:tc>
      </w:tr>
      <w:tr>
        <w:trPr>
          <w:trHeight w:val="247"/>
        </w:trPr>
        <w:tc>
          <w:tcPr>
            <w:tcW w:w="6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Amortization of acquired technology</w:t>
            </w:r>
          </w:p>
        </w:tc>
        <w:tc>
          <w:tcPr>
            <w:tcW w:w="16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920</w:t>
            </w:r>
          </w:p>
        </w:tc>
        <w:tc>
          <w:tcPr>
            <w:tcW w:w="80" w:type="dxa"/>
            <w:vAlign w:val="bottom"/>
            <w:shd w:val="clear" w:color="auto" w:fill="CFF0FC"/>
          </w:tcPr>
          <w:p>
            <w:pPr>
              <w:spacing w:after="0"/>
              <w:rPr>
                <w:sz w:val="21"/>
                <w:szCs w:val="21"/>
                <w:color w:val="auto"/>
              </w:rPr>
            </w:pPr>
          </w:p>
        </w:tc>
      </w:tr>
      <w:tr>
        <w:trPr>
          <w:trHeight w:val="234"/>
        </w:trPr>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Employee-related costs</w:t>
            </w:r>
          </w:p>
        </w:tc>
        <w:tc>
          <w:tcPr>
            <w:tcW w:w="160" w:type="dxa"/>
            <w:vAlign w:val="bottom"/>
          </w:tcPr>
          <w:p>
            <w:pPr>
              <w:spacing w:after="0"/>
              <w:rPr>
                <w:sz w:val="20"/>
                <w:szCs w:val="20"/>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(2,014 )</w:t>
            </w:r>
          </w:p>
        </w:tc>
      </w:tr>
      <w:tr>
        <w:trPr>
          <w:trHeight w:val="252"/>
        </w:trPr>
        <w:tc>
          <w:tcPr>
            <w:tcW w:w="6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Allocated overhead expenses</w:t>
            </w:r>
          </w:p>
        </w:tc>
        <w:tc>
          <w:tcPr>
            <w:tcW w:w="160" w:type="dxa"/>
            <w:vAlign w:val="bottom"/>
            <w:shd w:val="clear" w:color="auto" w:fill="CFF0FC"/>
          </w:tcPr>
          <w:p>
            <w:pPr>
              <w:spacing w:after="0"/>
              <w:rPr>
                <w:sz w:val="21"/>
                <w:szCs w:val="21"/>
                <w:color w:val="auto"/>
              </w:rPr>
            </w:pPr>
          </w:p>
        </w:tc>
        <w:tc>
          <w:tcPr>
            <w:tcW w:w="1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(1,234 )</w:t>
            </w:r>
          </w:p>
        </w:tc>
      </w:tr>
      <w:tr>
        <w:trPr>
          <w:trHeight w:val="232"/>
        </w:trPr>
        <w:tc>
          <w:tcPr>
            <w:tcW w:w="6440" w:type="dxa"/>
            <w:vAlign w:val="bottom"/>
            <w:tcBorders>
              <w:top w:val="single" w:sz="8" w:color="CFF0FC"/>
            </w:tcBorders>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33,289</w:t>
            </w:r>
          </w:p>
        </w:tc>
        <w:tc>
          <w:tcPr>
            <w:tcW w:w="80" w:type="dxa"/>
            <w:vAlign w:val="bottom"/>
            <w:tcBorders>
              <w:top w:val="single" w:sz="8" w:color="CFF0FC"/>
            </w:tcBorders>
          </w:tcPr>
          <w:p>
            <w:pPr>
              <w:spacing w:after="0"/>
              <w:rPr>
                <w:sz w:val="20"/>
                <w:szCs w:val="20"/>
                <w:color w:val="auto"/>
              </w:rPr>
            </w:pPr>
          </w:p>
        </w:tc>
      </w:tr>
      <w:tr>
        <w:trPr>
          <w:trHeight w:val="20"/>
        </w:trPr>
        <w:tc>
          <w:tcPr>
            <w:tcW w:w="64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6022975</wp:posOffset>
            </wp:positionH>
            <wp:positionV relativeFrom="paragraph">
              <wp:posOffset>-187960</wp:posOffset>
            </wp:positionV>
            <wp:extent cx="4318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205"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Subscription and hosting costs increased primarily due to growth in our Customer base from 167,386 at December 31, 2022 to 205,091 at December 31, 2023. We also saw higher subscription and hosting costs as we continued to focus on the security, reliability and performance of our customer platform. Amortization of capitalized software development costs increased due to the increased number of developers working on our software platform as we continued to develop new products and increased functionality. Amortization of acquired technology increased due to certain acquired technology being amortized using a method reflective of the expected economic benefit consumption over the expected useful life of the asset. Employee-related costs decreased as a result of the workforce reduction under the Restructuring Plan. Allocated overhead expenses decreased primarily due to the reduction of our leased space as a result of the global lease consolidation under the Restructuring Plan.</w:t>
      </w:r>
    </w:p>
    <w:p>
      <w:pPr>
        <w:spacing w:after="0" w:line="200" w:lineRule="exact"/>
        <w:rPr>
          <w:sz w:val="20"/>
          <w:szCs w:val="20"/>
          <w:color w:val="auto"/>
        </w:rPr>
      </w:pPr>
    </w:p>
    <w:p>
      <w:pPr>
        <w:spacing w:after="0" w:line="212" w:lineRule="exact"/>
        <w:rPr>
          <w:sz w:val="20"/>
          <w:szCs w:val="20"/>
          <w:color w:val="auto"/>
        </w:rPr>
      </w:pPr>
    </w:p>
    <w:tbl>
      <w:tblPr>
        <w:tblLayout w:type="fixed"/>
        <w:tblInd w:w="580" w:type="dxa"/>
        <w:tblCellMar>
          <w:top w:w="0" w:type="dxa"/>
          <w:left w:w="0" w:type="dxa"/>
          <w:bottom w:w="0" w:type="dxa"/>
          <w:right w:w="0" w:type="dxa"/>
        </w:tblCellMar>
      </w:tblPr>
      <w:tr>
        <w:trPr>
          <w:trHeight w:val="187"/>
        </w:trPr>
        <w:tc>
          <w:tcPr>
            <w:tcW w:w="5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80" w:type="dxa"/>
            <w:vAlign w:val="bottom"/>
            <w:gridSpan w:val="5"/>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60" w:type="dxa"/>
            <w:vAlign w:val="bottom"/>
          </w:tcPr>
          <w:p>
            <w:pPr>
              <w:spacing w:after="0"/>
              <w:rPr>
                <w:sz w:val="16"/>
                <w:szCs w:val="16"/>
                <w:color w:val="auto"/>
              </w:rPr>
            </w:pPr>
          </w:p>
        </w:tc>
        <w:tc>
          <w:tcPr>
            <w:tcW w:w="1340" w:type="dxa"/>
            <w:vAlign w:val="bottom"/>
            <w:gridSpan w:val="3"/>
          </w:tcPr>
          <w:p>
            <w:pPr>
              <w:ind w:left="7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69"/>
        </w:trPr>
        <w:tc>
          <w:tcPr>
            <w:tcW w:w="524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340" w:type="dxa"/>
            <w:vAlign w:val="bottom"/>
            <w:tcBorders>
              <w:top w:val="single" w:sz="8" w:color="auto"/>
            </w:tcBorders>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740" w:type="dxa"/>
            <w:vAlign w:val="bottom"/>
            <w:tcBorders>
              <w:top w:val="single" w:sz="8" w:color="auto"/>
            </w:tcBorders>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9"/>
        </w:trPr>
        <w:tc>
          <w:tcPr>
            <w:tcW w:w="524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(dollars in</w:t>
            </w:r>
          </w:p>
        </w:tc>
        <w:tc>
          <w:tcPr>
            <w:tcW w:w="200" w:type="dxa"/>
            <w:vAlign w:val="bottom"/>
          </w:tcPr>
          <w:p>
            <w:pPr>
              <w:spacing w:after="0"/>
              <w:rPr>
                <w:sz w:val="14"/>
                <w:szCs w:val="14"/>
                <w:color w:val="auto"/>
              </w:rPr>
            </w:pPr>
          </w:p>
        </w:tc>
        <w:tc>
          <w:tcPr>
            <w:tcW w:w="98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thousands)</w:t>
            </w:r>
          </w:p>
        </w:tc>
        <w:tc>
          <w:tcPr>
            <w:tcW w:w="200" w:type="dxa"/>
            <w:vAlign w:val="bottom"/>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34"/>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Professional services and other cost of revenue</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54,687</w:t>
            </w:r>
          </w:p>
        </w:tc>
        <w:tc>
          <w:tcPr>
            <w:tcW w:w="24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56,746</w:t>
            </w:r>
          </w:p>
        </w:tc>
        <w:tc>
          <w:tcPr>
            <w:tcW w:w="200" w:type="dxa"/>
            <w:vAlign w:val="bottom"/>
          </w:tcPr>
          <w:p>
            <w:pPr>
              <w:spacing w:after="0"/>
              <w:rPr>
                <w:sz w:val="20"/>
                <w:szCs w:val="20"/>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(2,059 )</w:t>
            </w:r>
          </w:p>
        </w:tc>
        <w:tc>
          <w:tcPr>
            <w:tcW w:w="320" w:type="dxa"/>
            <w:vAlign w:val="bottom"/>
          </w:tcPr>
          <w:p>
            <w:pPr>
              <w:spacing w:after="0"/>
              <w:rPr>
                <w:sz w:val="20"/>
                <w:szCs w:val="20"/>
                <w:color w:val="auto"/>
              </w:rPr>
            </w:pP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-4 %</w:t>
            </w:r>
          </w:p>
        </w:tc>
      </w:tr>
      <w:tr>
        <w:trPr>
          <w:trHeight w:val="238"/>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Percentage of professional services and other revenue</w:t>
            </w:r>
          </w:p>
        </w:tc>
        <w:tc>
          <w:tcPr>
            <w:tcW w:w="240" w:type="dxa"/>
            <w:vAlign w:val="bottom"/>
          </w:tcPr>
          <w:p>
            <w:pPr>
              <w:spacing w:after="0"/>
              <w:rPr>
                <w:sz w:val="20"/>
                <w:szCs w:val="20"/>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117 %</w:t>
            </w:r>
          </w:p>
        </w:tc>
        <w:tc>
          <w:tcPr>
            <w:tcW w:w="240" w:type="dxa"/>
            <w:vAlign w:val="bottom"/>
          </w:tcPr>
          <w:p>
            <w:pPr>
              <w:spacing w:after="0"/>
              <w:rPr>
                <w:sz w:val="20"/>
                <w:szCs w:val="20"/>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140 %</w:t>
            </w:r>
          </w:p>
        </w:tc>
        <w:tc>
          <w:tcPr>
            <w:tcW w:w="1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-299720</wp:posOffset>
            </wp:positionV>
            <wp:extent cx="6412230" cy="15430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412230" cy="154305"/>
                    </a:xfrm>
                    <a:prstGeom prst="rect">
                      <a:avLst/>
                    </a:prstGeom>
                    <a:noFill/>
                  </pic:spPr>
                </pic:pic>
              </a:graphicData>
            </a:graphic>
          </wp:anchor>
        </w:drawing>
      </w:r>
    </w:p>
    <w:p>
      <w:pPr>
        <w:spacing w:after="0" w:line="191" w:lineRule="exact"/>
        <w:rPr>
          <w:sz w:val="20"/>
          <w:szCs w:val="20"/>
          <w:color w:val="auto"/>
        </w:rPr>
      </w:pPr>
    </w:p>
    <w:p>
      <w:pPr>
        <w:ind w:right="280" w:firstLine="509"/>
        <w:spacing w:after="0" w:line="282" w:lineRule="auto"/>
        <w:rPr>
          <w:sz w:val="20"/>
          <w:szCs w:val="20"/>
          <w:color w:val="auto"/>
        </w:rPr>
      </w:pPr>
      <w:r>
        <w:rPr>
          <w:rFonts w:ascii="Times New Roman" w:cs="Times New Roman" w:eastAsia="Times New Roman" w:hAnsi="Times New Roman"/>
          <w:sz w:val="18"/>
          <w:szCs w:val="18"/>
          <w:color w:val="auto"/>
        </w:rPr>
        <w:t>The decrease in professional services and other cost of revenue for the year ended December 31, 2023 compared to the year ended December 31, 2022 was primarily due to the following:</w:t>
      </w:r>
    </w:p>
    <w:p>
      <w:pPr>
        <w:spacing w:after="0" w:line="169" w:lineRule="exact"/>
        <w:rPr>
          <w:sz w:val="20"/>
          <w:szCs w:val="20"/>
          <w:color w:val="auto"/>
        </w:rPr>
      </w:pPr>
    </w:p>
    <w:tbl>
      <w:tblPr>
        <w:tblLayout w:type="fixed"/>
        <w:tblInd w:w="1700" w:type="dxa"/>
        <w:tblCellMar>
          <w:top w:w="0" w:type="dxa"/>
          <w:left w:w="0" w:type="dxa"/>
          <w:bottom w:w="0" w:type="dxa"/>
          <w:right w:w="0" w:type="dxa"/>
        </w:tblCellMar>
      </w:tblPr>
      <w:tr>
        <w:trPr>
          <w:trHeight w:val="187"/>
        </w:trPr>
        <w:tc>
          <w:tcPr>
            <w:tcW w:w="6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169"/>
        </w:trPr>
        <w:tc>
          <w:tcPr>
            <w:tcW w:w="648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jc w:val="right"/>
              <w:ind w:right="137"/>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0" w:type="dxa"/>
            <w:vAlign w:val="bottom"/>
          </w:tcPr>
          <w:p>
            <w:pPr>
              <w:spacing w:after="0"/>
              <w:rPr>
                <w:sz w:val="14"/>
                <w:szCs w:val="14"/>
                <w:color w:val="auto"/>
              </w:rPr>
            </w:pPr>
          </w:p>
        </w:tc>
      </w:tr>
      <w:tr>
        <w:trPr>
          <w:trHeight w:val="243"/>
        </w:trPr>
        <w:tc>
          <w:tcPr>
            <w:tcW w:w="6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Allocated overhead and other expenses</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7,912</w:t>
            </w:r>
          </w:p>
        </w:tc>
        <w:tc>
          <w:tcPr>
            <w:tcW w:w="80" w:type="dxa"/>
            <w:vAlign w:val="bottom"/>
            <w:shd w:val="clear" w:color="auto" w:fill="CFF0FC"/>
          </w:tcPr>
          <w:p>
            <w:pPr>
              <w:spacing w:after="0"/>
              <w:rPr>
                <w:sz w:val="21"/>
                <w:szCs w:val="21"/>
                <w:color w:val="auto"/>
              </w:rPr>
            </w:pPr>
          </w:p>
        </w:tc>
      </w:tr>
      <w:tr>
        <w:trPr>
          <w:trHeight w:val="243"/>
        </w:trPr>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Employee-related costs</w:t>
            </w:r>
          </w:p>
        </w:tc>
        <w:tc>
          <w:tcPr>
            <w:tcW w:w="160" w:type="dxa"/>
            <w:vAlign w:val="bottom"/>
          </w:tcPr>
          <w:p>
            <w:pPr>
              <w:spacing w:after="0"/>
              <w:rPr>
                <w:sz w:val="21"/>
                <w:szCs w:val="21"/>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(9,971 )</w:t>
            </w:r>
          </w:p>
        </w:tc>
      </w:tr>
      <w:tr>
        <w:trPr>
          <w:trHeight w:val="20"/>
        </w:trPr>
        <w:tc>
          <w:tcPr>
            <w:tcW w:w="64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52"/>
        </w:trPr>
        <w:tc>
          <w:tcPr>
            <w:tcW w:w="6480" w:type="dxa"/>
            <w:vAlign w:val="bottom"/>
            <w:shd w:val="clear" w:color="auto" w:fill="CFF0FC"/>
          </w:tcPr>
          <w:p>
            <w:pPr>
              <w:spacing w:after="0"/>
              <w:rPr>
                <w:sz w:val="21"/>
                <w:szCs w:val="21"/>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(2,059 )</w:t>
            </w:r>
          </w:p>
        </w:tc>
      </w:tr>
      <w:tr>
        <w:trPr>
          <w:trHeight w:val="20"/>
        </w:trPr>
        <w:tc>
          <w:tcPr>
            <w:tcW w:w="648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6022975</wp:posOffset>
            </wp:positionH>
            <wp:positionV relativeFrom="paragraph">
              <wp:posOffset>-24765</wp:posOffset>
            </wp:positionV>
            <wp:extent cx="4318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-7620</wp:posOffset>
            </wp:positionV>
            <wp:extent cx="4318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178" w:lineRule="exact"/>
        <w:rPr>
          <w:sz w:val="20"/>
          <w:szCs w:val="20"/>
          <w:color w:val="auto"/>
        </w:rPr>
      </w:pPr>
    </w:p>
    <w:p>
      <w:pPr>
        <w:ind w:right="320" w:firstLine="509"/>
        <w:spacing w:after="0" w:line="266" w:lineRule="auto"/>
        <w:rPr>
          <w:sz w:val="20"/>
          <w:szCs w:val="20"/>
          <w:color w:val="auto"/>
        </w:rPr>
      </w:pPr>
      <w:r>
        <w:rPr>
          <w:rFonts w:ascii="Times New Roman" w:cs="Times New Roman" w:eastAsia="Times New Roman" w:hAnsi="Times New Roman"/>
          <w:sz w:val="18"/>
          <w:szCs w:val="18"/>
          <w:color w:val="auto"/>
        </w:rPr>
        <w:t>Allocated overhead and other expenses increased primarily due to increased costs associated with our other service offerings, offset slightly by a decrease in expense from the reduction of our leased office space under the Restructuring Plan. Employee-related costs decreased as a result of the workforce reduction under the Restructuring Plan.</w:t>
      </w:r>
    </w:p>
    <w:p>
      <w:pPr>
        <w:spacing w:after="0" w:line="200" w:lineRule="exact"/>
        <w:rPr>
          <w:sz w:val="20"/>
          <w:szCs w:val="20"/>
          <w:color w:val="auto"/>
        </w:rPr>
      </w:pPr>
    </w:p>
    <w:p>
      <w:pPr>
        <w:spacing w:after="0" w:line="29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04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80" w:type="dxa"/>
            <w:vAlign w:val="bottom"/>
            <w:gridSpan w:val="5"/>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60" w:type="dxa"/>
            <w:vAlign w:val="bottom"/>
          </w:tcPr>
          <w:p>
            <w:pPr>
              <w:spacing w:after="0"/>
              <w:rPr>
                <w:sz w:val="16"/>
                <w:szCs w:val="16"/>
                <w:color w:val="auto"/>
              </w:rPr>
            </w:pPr>
          </w:p>
        </w:tc>
        <w:tc>
          <w:tcPr>
            <w:tcW w:w="1340" w:type="dxa"/>
            <w:vAlign w:val="bottom"/>
            <w:gridSpan w:val="3"/>
          </w:tcPr>
          <w:p>
            <w:pPr>
              <w:ind w:left="7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r>
      <w:tr>
        <w:trPr>
          <w:trHeight w:val="169"/>
        </w:trPr>
        <w:tc>
          <w:tcPr>
            <w:tcW w:w="404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340" w:type="dxa"/>
            <w:vAlign w:val="bottom"/>
            <w:tcBorders>
              <w:top w:val="single" w:sz="8" w:color="auto"/>
            </w:tcBorders>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740" w:type="dxa"/>
            <w:vAlign w:val="bottom"/>
            <w:tcBorders>
              <w:top w:val="single" w:sz="8" w:color="auto"/>
            </w:tcBorders>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69"/>
        </w:trPr>
        <w:tc>
          <w:tcPr>
            <w:tcW w:w="404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(dollars in</w:t>
            </w:r>
          </w:p>
        </w:tc>
        <w:tc>
          <w:tcPr>
            <w:tcW w:w="200" w:type="dxa"/>
            <w:vAlign w:val="bottom"/>
          </w:tcPr>
          <w:p>
            <w:pPr>
              <w:spacing w:after="0"/>
              <w:rPr>
                <w:sz w:val="14"/>
                <w:szCs w:val="14"/>
                <w:color w:val="auto"/>
              </w:rPr>
            </w:pPr>
          </w:p>
        </w:tc>
        <w:tc>
          <w:tcPr>
            <w:tcW w:w="98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thousands)</w:t>
            </w:r>
          </w:p>
        </w:tc>
        <w:tc>
          <w:tcPr>
            <w:tcW w:w="200" w:type="dxa"/>
            <w:vAlign w:val="bottom"/>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234"/>
        </w:trPr>
        <w:tc>
          <w:tcPr>
            <w:tcW w:w="40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617,745</w:t>
            </w:r>
          </w:p>
        </w:tc>
        <w:tc>
          <w:tcPr>
            <w:tcW w:w="24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442,022</w:t>
            </w:r>
          </w:p>
        </w:tc>
        <w:tc>
          <w:tcPr>
            <w:tcW w:w="200" w:type="dxa"/>
            <w:vAlign w:val="bottom"/>
          </w:tcPr>
          <w:p>
            <w:pPr>
              <w:spacing w:after="0"/>
              <w:rPr>
                <w:sz w:val="20"/>
                <w:szCs w:val="20"/>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175,723</w:t>
            </w: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0" w:type="dxa"/>
            <w:vAlign w:val="bottom"/>
            <w:gridSpan w:val="3"/>
          </w:tcPr>
          <w:p>
            <w:pPr>
              <w:jc w:val="right"/>
              <w:ind w:right="500"/>
              <w:spacing w:after="0"/>
              <w:rPr>
                <w:sz w:val="20"/>
                <w:szCs w:val="20"/>
                <w:color w:val="auto"/>
              </w:rPr>
            </w:pPr>
            <w:r>
              <w:rPr>
                <w:rFonts w:ascii="Times New Roman" w:cs="Times New Roman" w:eastAsia="Times New Roman" w:hAnsi="Times New Roman"/>
                <w:sz w:val="18"/>
                <w:szCs w:val="18"/>
                <w:color w:val="auto"/>
              </w:rPr>
              <w:t>40 %</w:t>
            </w:r>
          </w:p>
        </w:tc>
      </w:tr>
      <w:tr>
        <w:trPr>
          <w:trHeight w:val="238"/>
        </w:trPr>
        <w:tc>
          <w:tcPr>
            <w:tcW w:w="40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Percentage of total revenue</w:t>
            </w:r>
          </w:p>
        </w:tc>
        <w:tc>
          <w:tcPr>
            <w:tcW w:w="17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28 %</w:t>
            </w:r>
          </w:p>
        </w:tc>
        <w:tc>
          <w:tcPr>
            <w:tcW w:w="240" w:type="dxa"/>
            <w:vAlign w:val="bottom"/>
          </w:tcPr>
          <w:p>
            <w:pPr>
              <w:spacing w:after="0"/>
              <w:rPr>
                <w:sz w:val="20"/>
                <w:szCs w:val="20"/>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26 %</w:t>
            </w:r>
          </w:p>
        </w:tc>
        <w:tc>
          <w:tcPr>
            <w:tcW w:w="1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661"/>
        </w:trPr>
        <w:tc>
          <w:tcPr>
            <w:tcW w:w="4040" w:type="dxa"/>
            <w:vAlign w:val="bottom"/>
          </w:tcPr>
          <w:p>
            <w:pPr>
              <w:spacing w:after="0"/>
              <w:rPr>
                <w:sz w:val="24"/>
                <w:szCs w:val="24"/>
                <w:color w:val="auto"/>
              </w:rPr>
            </w:pPr>
          </w:p>
        </w:tc>
        <w:tc>
          <w:tcPr>
            <w:tcW w:w="1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53</w:t>
            </w: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763"/>
        </w:trPr>
        <w:tc>
          <w:tcPr>
            <w:tcW w:w="4040" w:type="dxa"/>
            <w:vAlign w:val="bottom"/>
            <w:tcBorders>
              <w:bottom w:val="single" w:sz="8" w:color="9A9A9A"/>
            </w:tcBorders>
          </w:tcPr>
          <w:p>
            <w:pPr>
              <w:spacing w:after="0"/>
              <w:rPr>
                <w:sz w:val="24"/>
                <w:szCs w:val="24"/>
                <w:color w:val="auto"/>
              </w:rPr>
            </w:pPr>
          </w:p>
        </w:tc>
        <w:tc>
          <w:tcPr>
            <w:tcW w:w="17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-1216660</wp:posOffset>
            </wp:positionV>
            <wp:extent cx="6412230" cy="15430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412230" cy="15430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26" w:right="339" w:bottom="987" w:gutter="0" w:footer="0" w:header="0"/>
        </w:sectPr>
      </w:pPr>
    </w:p>
    <w:bookmarkStart w:id="53" w:name="page54"/>
    <w:bookmarkEnd w:id="53"/>
    <w:p>
      <w:pPr>
        <w:ind w:right="460" w:firstLine="509"/>
        <w:spacing w:after="0" w:line="282" w:lineRule="auto"/>
        <w:rPr>
          <w:sz w:val="20"/>
          <w:szCs w:val="20"/>
          <w:color w:val="auto"/>
        </w:rPr>
      </w:pPr>
      <w:r>
        <w:rPr>
          <w:rFonts w:ascii="Times New Roman" w:cs="Times New Roman" w:eastAsia="Times New Roman" w:hAnsi="Times New Roman"/>
          <w:sz w:val="18"/>
          <w:szCs w:val="18"/>
          <w:color w:val="auto"/>
        </w:rPr>
        <w:t>The increase in research and development expense for the year ended December 31, 2023 compared to the year ended December 31, 2022 was primarily due to the following:</w:t>
      </w:r>
    </w:p>
    <w:p>
      <w:pPr>
        <w:spacing w:after="0" w:line="169" w:lineRule="exact"/>
        <w:rPr>
          <w:sz w:val="20"/>
          <w:szCs w:val="20"/>
          <w:color w:val="auto"/>
        </w:rPr>
      </w:pPr>
    </w:p>
    <w:tbl>
      <w:tblPr>
        <w:tblLayout w:type="fixed"/>
        <w:tblInd w:w="1700" w:type="dxa"/>
        <w:tblCellMar>
          <w:top w:w="0" w:type="dxa"/>
          <w:left w:w="0" w:type="dxa"/>
          <w:bottom w:w="0" w:type="dxa"/>
          <w:right w:w="0" w:type="dxa"/>
        </w:tblCellMar>
      </w:tblPr>
      <w:tr>
        <w:trPr>
          <w:trHeight w:val="187"/>
        </w:trPr>
        <w:tc>
          <w:tcPr>
            <w:tcW w:w="6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169"/>
        </w:trPr>
        <w:tc>
          <w:tcPr>
            <w:tcW w:w="648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jc w:val="right"/>
              <w:ind w:right="137"/>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0" w:type="dxa"/>
            <w:vAlign w:val="bottom"/>
          </w:tcPr>
          <w:p>
            <w:pPr>
              <w:spacing w:after="0"/>
              <w:rPr>
                <w:sz w:val="14"/>
                <w:szCs w:val="14"/>
                <w:color w:val="auto"/>
              </w:rPr>
            </w:pPr>
          </w:p>
        </w:tc>
      </w:tr>
      <w:tr>
        <w:trPr>
          <w:trHeight w:val="243"/>
        </w:trPr>
        <w:tc>
          <w:tcPr>
            <w:tcW w:w="6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Employee-related costs</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168,490</w:t>
            </w:r>
          </w:p>
        </w:tc>
        <w:tc>
          <w:tcPr>
            <w:tcW w:w="80" w:type="dxa"/>
            <w:vAlign w:val="bottom"/>
            <w:shd w:val="clear" w:color="auto" w:fill="CFF0FC"/>
          </w:tcPr>
          <w:p>
            <w:pPr>
              <w:spacing w:after="0"/>
              <w:rPr>
                <w:sz w:val="21"/>
                <w:szCs w:val="21"/>
                <w:color w:val="auto"/>
              </w:rPr>
            </w:pPr>
          </w:p>
        </w:tc>
      </w:tr>
      <w:tr>
        <w:trPr>
          <w:trHeight w:val="243"/>
        </w:trPr>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Allocated overhead expenses</w:t>
            </w:r>
          </w:p>
        </w:tc>
        <w:tc>
          <w:tcPr>
            <w:tcW w:w="1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7,233</w:t>
            </w:r>
          </w:p>
        </w:tc>
        <w:tc>
          <w:tcPr>
            <w:tcW w:w="80" w:type="dxa"/>
            <w:vAlign w:val="bottom"/>
          </w:tcPr>
          <w:p>
            <w:pPr>
              <w:spacing w:after="0"/>
              <w:rPr>
                <w:sz w:val="21"/>
                <w:szCs w:val="21"/>
                <w:color w:val="auto"/>
              </w:rPr>
            </w:pPr>
          </w:p>
        </w:tc>
      </w:tr>
      <w:tr>
        <w:trPr>
          <w:trHeight w:val="272"/>
        </w:trPr>
        <w:tc>
          <w:tcPr>
            <w:tcW w:w="6480" w:type="dxa"/>
            <w:vAlign w:val="bottom"/>
            <w:tcBorders>
              <w:bottom w:val="single" w:sz="8" w:color="CFF0FC"/>
            </w:tcBorders>
            <w:shd w:val="clear" w:color="auto" w:fill="CFF0FC"/>
          </w:tcPr>
          <w:p>
            <w:pPr>
              <w:spacing w:after="0"/>
              <w:rPr>
                <w:sz w:val="23"/>
                <w:szCs w:val="23"/>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175,723</w:t>
            </w:r>
          </w:p>
        </w:tc>
        <w:tc>
          <w:tcPr>
            <w:tcW w:w="80" w:type="dxa"/>
            <w:vAlign w:val="bottom"/>
            <w:tcBorders>
              <w:bottom w:val="single" w:sz="8" w:color="CFF0FC"/>
            </w:tcBorders>
            <w:shd w:val="clear" w:color="auto" w:fill="CFF0FC"/>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6022975</wp:posOffset>
            </wp:positionH>
            <wp:positionV relativeFrom="paragraph">
              <wp:posOffset>-24765</wp:posOffset>
            </wp:positionV>
            <wp:extent cx="4318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-7620</wp:posOffset>
            </wp:positionV>
            <wp:extent cx="4318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205"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Employee-related costs increased as a result of increased headcount as we continued to grow our engineering organization to develop new products, increase functionality and to maintain our existing customer platform. Allocated overhead expenses increased due to an increase in shared company expenses associated with our systems and infrastructure as we continued to grow our business, offset slightly by a decrease in expense from the reduction of our leased office space under the Restructuring Plan.</w:t>
      </w:r>
    </w:p>
    <w:p>
      <w:pPr>
        <w:spacing w:after="0" w:line="2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Sales and Marketing</w:t>
      </w:r>
    </w:p>
    <w:p>
      <w:pPr>
        <w:spacing w:after="0" w:line="236" w:lineRule="exact"/>
        <w:rPr>
          <w:sz w:val="20"/>
          <w:szCs w:val="20"/>
          <w:color w:val="auto"/>
        </w:rPr>
      </w:pPr>
    </w:p>
    <w:tbl>
      <w:tblPr>
        <w:tblLayout w:type="fixed"/>
        <w:tblInd w:w="580" w:type="dxa"/>
        <w:tblCellMar>
          <w:top w:w="0" w:type="dxa"/>
          <w:left w:w="0" w:type="dxa"/>
          <w:bottom w:w="0" w:type="dxa"/>
          <w:right w:w="0" w:type="dxa"/>
        </w:tblCellMar>
      </w:tblPr>
      <w:tr>
        <w:trPr>
          <w:trHeight w:val="187"/>
        </w:trPr>
        <w:tc>
          <w:tcPr>
            <w:tcW w:w="47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560" w:type="dxa"/>
            <w:vAlign w:val="bottom"/>
            <w:gridSpan w:val="5"/>
          </w:tcPr>
          <w:p>
            <w:pPr>
              <w:jc w:val="right"/>
              <w:ind w:right="668"/>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00" w:type="dxa"/>
            <w:vAlign w:val="bottom"/>
          </w:tcPr>
          <w:p>
            <w:pPr>
              <w:spacing w:after="0"/>
              <w:rPr>
                <w:sz w:val="16"/>
                <w:szCs w:val="16"/>
                <w:color w:val="auto"/>
              </w:rPr>
            </w:pPr>
          </w:p>
        </w:tc>
        <w:tc>
          <w:tcPr>
            <w:tcW w:w="1360" w:type="dxa"/>
            <w:vAlign w:val="bottom"/>
            <w:gridSpan w:val="3"/>
          </w:tcPr>
          <w:p>
            <w:pPr>
              <w:ind w:left="7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69"/>
        </w:trPr>
        <w:tc>
          <w:tcPr>
            <w:tcW w:w="4780" w:type="dxa"/>
            <w:vAlign w:val="bottom"/>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1080" w:type="dxa"/>
            <w:vAlign w:val="bottom"/>
            <w:tcBorders>
              <w:top w:val="single" w:sz="8" w:color="auto"/>
              <w:bottom w:val="single" w:sz="8" w:color="auto"/>
            </w:tcBorders>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Borders>
              <w:top w:val="single" w:sz="8" w:color="auto"/>
            </w:tcBorders>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860" w:type="dxa"/>
            <w:vAlign w:val="bottom"/>
            <w:tcBorders>
              <w:top w:val="single" w:sz="8" w:color="auto"/>
              <w:bottom w:val="single" w:sz="8" w:color="auto"/>
            </w:tcBorders>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860" w:type="dxa"/>
            <w:vAlign w:val="bottom"/>
            <w:tcBorders>
              <w:top w:val="single" w:sz="8" w:color="auto"/>
              <w:bottom w:val="single" w:sz="8" w:color="auto"/>
            </w:tcBorders>
          </w:tcPr>
          <w:p>
            <w:pPr>
              <w:jc w:val="right"/>
              <w:ind w:right="202"/>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0" w:type="dxa"/>
            <w:vAlign w:val="bottom"/>
            <w:tcBorders>
              <w:top w:val="single" w:sz="8" w:color="auto"/>
            </w:tcBorders>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760" w:type="dxa"/>
            <w:vAlign w:val="bottom"/>
            <w:tcBorders>
              <w:top w:val="single" w:sz="8" w:color="auto"/>
              <w:bottom w:val="single" w:sz="8" w:color="auto"/>
            </w:tcBorders>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9"/>
        </w:trPr>
        <w:tc>
          <w:tcPr>
            <w:tcW w:w="4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(dollars in</w:t>
            </w:r>
          </w:p>
        </w:tc>
        <w:tc>
          <w:tcPr>
            <w:tcW w:w="1260" w:type="dxa"/>
            <w:vAlign w:val="bottom"/>
            <w:gridSpan w:val="3"/>
          </w:tcPr>
          <w:p>
            <w:pPr>
              <w:jc w:val="right"/>
              <w:ind w:right="602"/>
              <w:spacing w:after="0"/>
              <w:rPr>
                <w:sz w:val="20"/>
                <w:szCs w:val="20"/>
                <w:color w:val="auto"/>
              </w:rPr>
            </w:pPr>
            <w:r>
              <w:rPr>
                <w:rFonts w:ascii="Times New Roman" w:cs="Times New Roman" w:eastAsia="Times New Roman" w:hAnsi="Times New Roman"/>
                <w:sz w:val="14"/>
                <w:szCs w:val="14"/>
                <w:b w:val="1"/>
                <w:bCs w:val="1"/>
                <w:color w:val="auto"/>
                <w:w w:val="85"/>
              </w:rPr>
              <w:t>thousands)</w:t>
            </w: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34"/>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1,068,560</w:t>
            </w:r>
          </w:p>
        </w:tc>
        <w:tc>
          <w:tcPr>
            <w:tcW w:w="22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886,069</w:t>
            </w:r>
          </w:p>
        </w:tc>
        <w:tc>
          <w:tcPr>
            <w:tcW w:w="2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182,491</w:t>
            </w: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21 %</w:t>
            </w:r>
          </w:p>
        </w:tc>
      </w:tr>
      <w:tr>
        <w:trPr>
          <w:trHeight w:val="252"/>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Percentage of total revenue</w:t>
            </w:r>
          </w:p>
        </w:tc>
        <w:tc>
          <w:tcPr>
            <w:tcW w:w="340" w:type="dxa"/>
            <w:vAlign w:val="bottom"/>
          </w:tcPr>
          <w:p>
            <w:pPr>
              <w:spacing w:after="0"/>
              <w:rPr>
                <w:sz w:val="21"/>
                <w:szCs w:val="21"/>
                <w:color w:val="auto"/>
              </w:rPr>
            </w:pPr>
          </w:p>
        </w:tc>
        <w:tc>
          <w:tcPr>
            <w:tcW w:w="1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49 %</w:t>
            </w:r>
          </w:p>
        </w:tc>
        <w:tc>
          <w:tcPr>
            <w:tcW w:w="200" w:type="dxa"/>
            <w:vAlign w:val="bottom"/>
          </w:tcPr>
          <w:p>
            <w:pPr>
              <w:spacing w:after="0"/>
              <w:rPr>
                <w:sz w:val="21"/>
                <w:szCs w:val="21"/>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51 %</w:t>
            </w:r>
          </w:p>
        </w:tc>
        <w:tc>
          <w:tcPr>
            <w:tcW w:w="2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-307975</wp:posOffset>
            </wp:positionV>
            <wp:extent cx="6412230" cy="15430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412230" cy="154305"/>
                    </a:xfrm>
                    <a:prstGeom prst="rect">
                      <a:avLst/>
                    </a:prstGeom>
                    <a:noFill/>
                  </pic:spPr>
                </pic:pic>
              </a:graphicData>
            </a:graphic>
          </wp:anchor>
        </w:drawing>
      </w:r>
    </w:p>
    <w:p>
      <w:pPr>
        <w:spacing w:after="0" w:line="218" w:lineRule="exact"/>
        <w:rPr>
          <w:sz w:val="20"/>
          <w:szCs w:val="20"/>
          <w:color w:val="auto"/>
        </w:rPr>
      </w:pPr>
    </w:p>
    <w:p>
      <w:pPr>
        <w:ind w:right="180" w:firstLine="509"/>
        <w:spacing w:after="0" w:line="282" w:lineRule="auto"/>
        <w:rPr>
          <w:sz w:val="20"/>
          <w:szCs w:val="20"/>
          <w:color w:val="auto"/>
        </w:rPr>
      </w:pPr>
      <w:r>
        <w:rPr>
          <w:rFonts w:ascii="Times New Roman" w:cs="Times New Roman" w:eastAsia="Times New Roman" w:hAnsi="Times New Roman"/>
          <w:sz w:val="18"/>
          <w:szCs w:val="18"/>
          <w:color w:val="auto"/>
        </w:rPr>
        <w:t>The increase in sales and marketing expense for the year ended December 31, 2023 compared to the year ended December 31, 2022 was primarily due to the following:</w:t>
      </w:r>
    </w:p>
    <w:p>
      <w:pPr>
        <w:spacing w:after="0" w:line="169" w:lineRule="exact"/>
        <w:rPr>
          <w:sz w:val="20"/>
          <w:szCs w:val="20"/>
          <w:color w:val="auto"/>
        </w:rPr>
      </w:pPr>
    </w:p>
    <w:tbl>
      <w:tblPr>
        <w:tblLayout w:type="fixed"/>
        <w:tblInd w:w="2260" w:type="dxa"/>
        <w:tblCellMar>
          <w:top w:w="0" w:type="dxa"/>
          <w:left w:w="0" w:type="dxa"/>
          <w:bottom w:w="0" w:type="dxa"/>
          <w:right w:w="0" w:type="dxa"/>
        </w:tblCellMar>
      </w:tblPr>
      <w:tr>
        <w:trPr>
          <w:trHeight w:val="187"/>
        </w:trPr>
        <w:tc>
          <w:tcPr>
            <w:tcW w:w="5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169"/>
        </w:trPr>
        <w:tc>
          <w:tcPr>
            <w:tcW w:w="556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60" w:type="dxa"/>
            <w:vAlign w:val="bottom"/>
          </w:tcPr>
          <w:p>
            <w:pPr>
              <w:spacing w:after="0"/>
              <w:rPr>
                <w:sz w:val="14"/>
                <w:szCs w:val="14"/>
                <w:color w:val="auto"/>
              </w:rPr>
            </w:pPr>
          </w:p>
        </w:tc>
      </w:tr>
      <w:tr>
        <w:trPr>
          <w:trHeight w:val="243"/>
        </w:trPr>
        <w:tc>
          <w:tcPr>
            <w:tcW w:w="5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Employee-related costs</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119,846</w:t>
            </w:r>
          </w:p>
        </w:tc>
        <w:tc>
          <w:tcPr>
            <w:tcW w:w="60" w:type="dxa"/>
            <w:vAlign w:val="bottom"/>
            <w:shd w:val="clear" w:color="auto" w:fill="CFF0FC"/>
          </w:tcPr>
          <w:p>
            <w:pPr>
              <w:spacing w:after="0"/>
              <w:rPr>
                <w:sz w:val="21"/>
                <w:szCs w:val="21"/>
                <w:color w:val="auto"/>
              </w:rPr>
            </w:pPr>
          </w:p>
        </w:tc>
      </w:tr>
      <w:tr>
        <w:trPr>
          <w:trHeight w:val="239"/>
        </w:trPr>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Marketing programs</w:t>
            </w:r>
          </w:p>
        </w:tc>
        <w:tc>
          <w:tcPr>
            <w:tcW w:w="1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44,169</w:t>
            </w:r>
          </w:p>
        </w:tc>
        <w:tc>
          <w:tcPr>
            <w:tcW w:w="60" w:type="dxa"/>
            <w:vAlign w:val="bottom"/>
          </w:tcPr>
          <w:p>
            <w:pPr>
              <w:spacing w:after="0"/>
              <w:rPr>
                <w:sz w:val="20"/>
                <w:szCs w:val="20"/>
                <w:color w:val="auto"/>
              </w:rPr>
            </w:pPr>
          </w:p>
        </w:tc>
      </w:tr>
      <w:tr>
        <w:trPr>
          <w:trHeight w:val="247"/>
        </w:trPr>
        <w:tc>
          <w:tcPr>
            <w:tcW w:w="5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Solutions Partner commissions</w:t>
            </w:r>
          </w:p>
        </w:tc>
        <w:tc>
          <w:tcPr>
            <w:tcW w:w="10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14,596</w:t>
            </w:r>
          </w:p>
        </w:tc>
        <w:tc>
          <w:tcPr>
            <w:tcW w:w="60" w:type="dxa"/>
            <w:vAlign w:val="bottom"/>
            <w:shd w:val="clear" w:color="auto" w:fill="CFF0FC"/>
          </w:tcPr>
          <w:p>
            <w:pPr>
              <w:spacing w:after="0"/>
              <w:rPr>
                <w:sz w:val="21"/>
                <w:szCs w:val="21"/>
                <w:color w:val="auto"/>
              </w:rPr>
            </w:pPr>
          </w:p>
        </w:tc>
      </w:tr>
      <w:tr>
        <w:trPr>
          <w:trHeight w:val="239"/>
        </w:trPr>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intangible asset</w:t>
            </w:r>
          </w:p>
        </w:tc>
        <w:tc>
          <w:tcPr>
            <w:tcW w:w="1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1,727</w:t>
            </w:r>
          </w:p>
        </w:tc>
        <w:tc>
          <w:tcPr>
            <w:tcW w:w="60" w:type="dxa"/>
            <w:vAlign w:val="bottom"/>
          </w:tcPr>
          <w:p>
            <w:pPr>
              <w:spacing w:after="0"/>
              <w:rPr>
                <w:sz w:val="20"/>
                <w:szCs w:val="20"/>
                <w:color w:val="auto"/>
              </w:rPr>
            </w:pPr>
          </w:p>
        </w:tc>
      </w:tr>
      <w:tr>
        <w:trPr>
          <w:trHeight w:val="247"/>
        </w:trPr>
        <w:tc>
          <w:tcPr>
            <w:tcW w:w="55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Allocated overhead expenses</w:t>
            </w:r>
          </w:p>
        </w:tc>
        <w:tc>
          <w:tcPr>
            <w:tcW w:w="10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2,153</w:t>
            </w:r>
          </w:p>
        </w:tc>
        <w:tc>
          <w:tcPr>
            <w:tcW w:w="60" w:type="dxa"/>
            <w:vAlign w:val="bottom"/>
            <w:tcBorders>
              <w:bottom w:val="single" w:sz="8" w:color="CFF0FC"/>
            </w:tcBorders>
            <w:shd w:val="clear" w:color="auto" w:fill="CFF0FC"/>
          </w:tcPr>
          <w:p>
            <w:pPr>
              <w:spacing w:after="0"/>
              <w:rPr>
                <w:sz w:val="21"/>
                <w:szCs w:val="21"/>
                <w:color w:val="auto"/>
              </w:rPr>
            </w:pPr>
          </w:p>
        </w:tc>
      </w:tr>
      <w:tr>
        <w:trPr>
          <w:trHeight w:val="232"/>
        </w:trPr>
        <w:tc>
          <w:tcPr>
            <w:tcW w:w="5560" w:type="dxa"/>
            <w:vAlign w:val="bottom"/>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182,491</w:t>
            </w:r>
          </w:p>
        </w:tc>
        <w:tc>
          <w:tcPr>
            <w:tcW w:w="60" w:type="dxa"/>
            <w:vAlign w:val="bottom"/>
          </w:tcPr>
          <w:p>
            <w:pPr>
              <w:spacing w:after="0"/>
              <w:rPr>
                <w:sz w:val="20"/>
                <w:szCs w:val="20"/>
                <w:color w:val="auto"/>
              </w:rPr>
            </w:pPr>
          </w:p>
        </w:tc>
      </w:tr>
      <w:tr>
        <w:trPr>
          <w:trHeight w:val="20"/>
        </w:trPr>
        <w:tc>
          <w:tcPr>
            <w:tcW w:w="55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5680075</wp:posOffset>
            </wp:positionH>
            <wp:positionV relativeFrom="paragraph">
              <wp:posOffset>-187960</wp:posOffset>
            </wp:positionV>
            <wp:extent cx="3429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34290" cy="8890"/>
                    </a:xfrm>
                    <a:prstGeom prst="rect">
                      <a:avLst/>
                    </a:prstGeom>
                    <a:noFill/>
                  </pic:spPr>
                </pic:pic>
              </a:graphicData>
            </a:graphic>
          </wp:anchor>
        </w:drawing>
      </w:r>
    </w:p>
    <w:p>
      <w:pPr>
        <w:spacing w:after="0" w:line="205" w:lineRule="exact"/>
        <w:rPr>
          <w:sz w:val="20"/>
          <w:szCs w:val="20"/>
          <w:color w:val="auto"/>
        </w:rPr>
      </w:pPr>
    </w:p>
    <w:p>
      <w:pPr>
        <w:jc w:val="both"/>
        <w:ind w:right="80" w:firstLine="509"/>
        <w:spacing w:after="0" w:line="256" w:lineRule="auto"/>
        <w:rPr>
          <w:sz w:val="20"/>
          <w:szCs w:val="20"/>
          <w:color w:val="auto"/>
        </w:rPr>
      </w:pPr>
      <w:r>
        <w:rPr>
          <w:rFonts w:ascii="Times New Roman" w:cs="Times New Roman" w:eastAsia="Times New Roman" w:hAnsi="Times New Roman"/>
          <w:sz w:val="18"/>
          <w:szCs w:val="18"/>
          <w:color w:val="auto"/>
        </w:rPr>
        <w:t>Employee-related costs increased as a result of increased headcount as we expanded our selling and marketing organizations to grow our customer base. Marketing programs increased due to the timing and size of certain marketing efforts as we made investments in attracting new customers. Solutions Partner commissions increased as a result of increased revenue generated through our Solutions Partners, partially offset by certain costs that are deferred and amortized over two to four years. Amortization of intangible assets increased primarily due to the purchase of a domain name in the second quarter of 2022. Allocated overhead expenses increased due to an increase in shared company expenses associated with our systems and infrastructure, offset slightly by a decrease in expense from the reduction of our leased office space under the Restructuring Plan.</w:t>
      </w:r>
    </w:p>
    <w:p>
      <w:pPr>
        <w:spacing w:after="0" w:line="29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04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80" w:type="dxa"/>
            <w:vAlign w:val="bottom"/>
            <w:gridSpan w:val="5"/>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60" w:type="dxa"/>
            <w:vAlign w:val="bottom"/>
          </w:tcPr>
          <w:p>
            <w:pPr>
              <w:spacing w:after="0"/>
              <w:rPr>
                <w:sz w:val="16"/>
                <w:szCs w:val="16"/>
                <w:color w:val="auto"/>
              </w:rPr>
            </w:pPr>
          </w:p>
        </w:tc>
        <w:tc>
          <w:tcPr>
            <w:tcW w:w="1340" w:type="dxa"/>
            <w:vAlign w:val="bottom"/>
            <w:gridSpan w:val="3"/>
          </w:tcPr>
          <w:p>
            <w:pPr>
              <w:ind w:left="7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r>
      <w:tr>
        <w:trPr>
          <w:trHeight w:val="169"/>
        </w:trPr>
        <w:tc>
          <w:tcPr>
            <w:tcW w:w="404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340" w:type="dxa"/>
            <w:vAlign w:val="bottom"/>
            <w:tcBorders>
              <w:top w:val="single" w:sz="8" w:color="auto"/>
            </w:tcBorders>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740" w:type="dxa"/>
            <w:vAlign w:val="bottom"/>
            <w:tcBorders>
              <w:top w:val="single" w:sz="8" w:color="auto"/>
            </w:tcBorders>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69"/>
        </w:trPr>
        <w:tc>
          <w:tcPr>
            <w:tcW w:w="404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(dollars in</w:t>
            </w:r>
          </w:p>
        </w:tc>
        <w:tc>
          <w:tcPr>
            <w:tcW w:w="200" w:type="dxa"/>
            <w:vAlign w:val="bottom"/>
          </w:tcPr>
          <w:p>
            <w:pPr>
              <w:spacing w:after="0"/>
              <w:rPr>
                <w:sz w:val="14"/>
                <w:szCs w:val="14"/>
                <w:color w:val="auto"/>
              </w:rPr>
            </w:pPr>
          </w:p>
        </w:tc>
        <w:tc>
          <w:tcPr>
            <w:tcW w:w="98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thousands)</w:t>
            </w:r>
          </w:p>
        </w:tc>
        <w:tc>
          <w:tcPr>
            <w:tcW w:w="200" w:type="dxa"/>
            <w:vAlign w:val="bottom"/>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234"/>
        </w:trPr>
        <w:tc>
          <w:tcPr>
            <w:tcW w:w="40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249,649</w:t>
            </w:r>
          </w:p>
        </w:tc>
        <w:tc>
          <w:tcPr>
            <w:tcW w:w="24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197,720</w:t>
            </w:r>
          </w:p>
        </w:tc>
        <w:tc>
          <w:tcPr>
            <w:tcW w:w="200" w:type="dxa"/>
            <w:vAlign w:val="bottom"/>
          </w:tcPr>
          <w:p>
            <w:pPr>
              <w:spacing w:after="0"/>
              <w:rPr>
                <w:sz w:val="20"/>
                <w:szCs w:val="20"/>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51,929</w:t>
            </w: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0" w:type="dxa"/>
            <w:vAlign w:val="bottom"/>
            <w:gridSpan w:val="3"/>
          </w:tcPr>
          <w:p>
            <w:pPr>
              <w:jc w:val="right"/>
              <w:ind w:right="500"/>
              <w:spacing w:after="0"/>
              <w:rPr>
                <w:sz w:val="20"/>
                <w:szCs w:val="20"/>
                <w:color w:val="auto"/>
              </w:rPr>
            </w:pPr>
            <w:r>
              <w:rPr>
                <w:rFonts w:ascii="Times New Roman" w:cs="Times New Roman" w:eastAsia="Times New Roman" w:hAnsi="Times New Roman"/>
                <w:sz w:val="18"/>
                <w:szCs w:val="18"/>
                <w:color w:val="auto"/>
              </w:rPr>
              <w:t>26 %</w:t>
            </w:r>
          </w:p>
        </w:tc>
      </w:tr>
      <w:tr>
        <w:trPr>
          <w:trHeight w:val="252"/>
        </w:trPr>
        <w:tc>
          <w:tcPr>
            <w:tcW w:w="40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Percentage of total revenue</w:t>
            </w:r>
          </w:p>
        </w:tc>
        <w:tc>
          <w:tcPr>
            <w:tcW w:w="17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12 %</w:t>
            </w:r>
          </w:p>
        </w:tc>
        <w:tc>
          <w:tcPr>
            <w:tcW w:w="240" w:type="dxa"/>
            <w:vAlign w:val="bottom"/>
          </w:tcPr>
          <w:p>
            <w:pPr>
              <w:spacing w:after="0"/>
              <w:rPr>
                <w:sz w:val="21"/>
                <w:szCs w:val="21"/>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11 %</w:t>
            </w:r>
          </w:p>
        </w:tc>
        <w:tc>
          <w:tcPr>
            <w:tcW w:w="1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r>
      <w:tr>
        <w:trPr>
          <w:trHeight w:val="689"/>
        </w:trPr>
        <w:tc>
          <w:tcPr>
            <w:tcW w:w="4040" w:type="dxa"/>
            <w:vAlign w:val="bottom"/>
          </w:tcPr>
          <w:p>
            <w:pPr>
              <w:spacing w:after="0"/>
              <w:rPr>
                <w:sz w:val="24"/>
                <w:szCs w:val="24"/>
                <w:color w:val="auto"/>
              </w:rPr>
            </w:pPr>
          </w:p>
        </w:tc>
        <w:tc>
          <w:tcPr>
            <w:tcW w:w="1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54</w:t>
            </w: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763"/>
        </w:trPr>
        <w:tc>
          <w:tcPr>
            <w:tcW w:w="4040" w:type="dxa"/>
            <w:vAlign w:val="bottom"/>
            <w:tcBorders>
              <w:bottom w:val="single" w:sz="8" w:color="9A9A9A"/>
            </w:tcBorders>
          </w:tcPr>
          <w:p>
            <w:pPr>
              <w:spacing w:after="0"/>
              <w:rPr>
                <w:sz w:val="24"/>
                <w:szCs w:val="24"/>
                <w:color w:val="auto"/>
              </w:rPr>
            </w:pPr>
          </w:p>
        </w:tc>
        <w:tc>
          <w:tcPr>
            <w:tcW w:w="17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-1242060</wp:posOffset>
            </wp:positionV>
            <wp:extent cx="6412230" cy="15430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412230" cy="15430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54" w:name="page55"/>
    <w:bookmarkEnd w:id="54"/>
    <w:p>
      <w:pPr>
        <w:ind w:right="420" w:firstLine="509"/>
        <w:spacing w:after="0" w:line="282" w:lineRule="auto"/>
        <w:rPr>
          <w:sz w:val="20"/>
          <w:szCs w:val="20"/>
          <w:color w:val="auto"/>
        </w:rPr>
      </w:pPr>
      <w:r>
        <w:rPr>
          <w:rFonts w:ascii="Times New Roman" w:cs="Times New Roman" w:eastAsia="Times New Roman" w:hAnsi="Times New Roman"/>
          <w:sz w:val="18"/>
          <w:szCs w:val="18"/>
          <w:color w:val="auto"/>
        </w:rPr>
        <w:t>The increase in general and administrative expense for the year ended December 31, 2023 compared to the year ended December 31, 2022 was primarily due to the following:</w:t>
      </w:r>
    </w:p>
    <w:p>
      <w:pPr>
        <w:spacing w:after="0" w:line="169" w:lineRule="exact"/>
        <w:rPr>
          <w:sz w:val="20"/>
          <w:szCs w:val="20"/>
          <w:color w:val="auto"/>
        </w:rPr>
      </w:pPr>
    </w:p>
    <w:tbl>
      <w:tblPr>
        <w:tblLayout w:type="fixed"/>
        <w:tblInd w:w="2260" w:type="dxa"/>
        <w:tblCellMar>
          <w:top w:w="0" w:type="dxa"/>
          <w:left w:w="0" w:type="dxa"/>
          <w:bottom w:w="0" w:type="dxa"/>
          <w:right w:w="0" w:type="dxa"/>
        </w:tblCellMar>
      </w:tblPr>
      <w:tr>
        <w:trPr>
          <w:trHeight w:val="187"/>
        </w:trPr>
        <w:tc>
          <w:tcPr>
            <w:tcW w:w="5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169"/>
        </w:trPr>
        <w:tc>
          <w:tcPr>
            <w:tcW w:w="556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60" w:type="dxa"/>
            <w:vAlign w:val="bottom"/>
          </w:tcPr>
          <w:p>
            <w:pPr>
              <w:spacing w:after="0"/>
              <w:rPr>
                <w:sz w:val="14"/>
                <w:szCs w:val="14"/>
                <w:color w:val="auto"/>
              </w:rPr>
            </w:pPr>
          </w:p>
        </w:tc>
      </w:tr>
      <w:tr>
        <w:trPr>
          <w:trHeight w:val="243"/>
        </w:trPr>
        <w:tc>
          <w:tcPr>
            <w:tcW w:w="5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Employee-related costs</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36,633</w:t>
            </w:r>
          </w:p>
        </w:tc>
        <w:tc>
          <w:tcPr>
            <w:tcW w:w="60" w:type="dxa"/>
            <w:vAlign w:val="bottom"/>
            <w:shd w:val="clear" w:color="auto" w:fill="CFF0FC"/>
          </w:tcPr>
          <w:p>
            <w:pPr>
              <w:spacing w:after="0"/>
              <w:rPr>
                <w:sz w:val="21"/>
                <w:szCs w:val="21"/>
                <w:color w:val="auto"/>
              </w:rPr>
            </w:pPr>
          </w:p>
        </w:tc>
      </w:tr>
      <w:tr>
        <w:trPr>
          <w:trHeight w:val="239"/>
        </w:trPr>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Customer credit card fees</w:t>
            </w:r>
          </w:p>
        </w:tc>
        <w:tc>
          <w:tcPr>
            <w:tcW w:w="1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6,197</w:t>
            </w:r>
          </w:p>
        </w:tc>
        <w:tc>
          <w:tcPr>
            <w:tcW w:w="60" w:type="dxa"/>
            <w:vAlign w:val="bottom"/>
          </w:tcPr>
          <w:p>
            <w:pPr>
              <w:spacing w:after="0"/>
              <w:rPr>
                <w:sz w:val="20"/>
                <w:szCs w:val="20"/>
                <w:color w:val="auto"/>
              </w:rPr>
            </w:pPr>
          </w:p>
        </w:tc>
      </w:tr>
      <w:tr>
        <w:trPr>
          <w:trHeight w:val="247"/>
        </w:trPr>
        <w:tc>
          <w:tcPr>
            <w:tcW w:w="5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Professional fees</w:t>
            </w:r>
          </w:p>
        </w:tc>
        <w:tc>
          <w:tcPr>
            <w:tcW w:w="10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5,815</w:t>
            </w:r>
          </w:p>
        </w:tc>
        <w:tc>
          <w:tcPr>
            <w:tcW w:w="60" w:type="dxa"/>
            <w:vAlign w:val="bottom"/>
            <w:shd w:val="clear" w:color="auto" w:fill="CFF0FC"/>
          </w:tcPr>
          <w:p>
            <w:pPr>
              <w:spacing w:after="0"/>
              <w:rPr>
                <w:sz w:val="21"/>
                <w:szCs w:val="21"/>
                <w:color w:val="auto"/>
              </w:rPr>
            </w:pPr>
          </w:p>
        </w:tc>
      </w:tr>
      <w:tr>
        <w:trPr>
          <w:trHeight w:val="243"/>
        </w:trPr>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Allocated overhead expenses</w:t>
            </w: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3,284</w:t>
            </w:r>
          </w:p>
        </w:tc>
        <w:tc>
          <w:tcPr>
            <w:tcW w:w="60" w:type="dxa"/>
            <w:vAlign w:val="bottom"/>
          </w:tcPr>
          <w:p>
            <w:pPr>
              <w:spacing w:after="0"/>
              <w:rPr>
                <w:sz w:val="21"/>
                <w:szCs w:val="21"/>
                <w:color w:val="auto"/>
              </w:rPr>
            </w:pPr>
          </w:p>
        </w:tc>
      </w:tr>
      <w:tr>
        <w:trPr>
          <w:trHeight w:val="272"/>
        </w:trPr>
        <w:tc>
          <w:tcPr>
            <w:tcW w:w="5560" w:type="dxa"/>
            <w:vAlign w:val="bottom"/>
            <w:tcBorders>
              <w:bottom w:val="single" w:sz="8" w:color="CFF0FC"/>
            </w:tcBorders>
            <w:shd w:val="clear" w:color="auto" w:fill="CFF0FC"/>
          </w:tcPr>
          <w:p>
            <w:pPr>
              <w:spacing w:after="0"/>
              <w:rPr>
                <w:sz w:val="23"/>
                <w:szCs w:val="23"/>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51,929</w:t>
            </w:r>
          </w:p>
        </w:tc>
        <w:tc>
          <w:tcPr>
            <w:tcW w:w="60" w:type="dxa"/>
            <w:vAlign w:val="bottom"/>
            <w:tcBorders>
              <w:bottom w:val="single" w:sz="8" w:color="CFF0FC"/>
            </w:tcBorders>
            <w:shd w:val="clear" w:color="auto" w:fill="CFF0FC"/>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5680075</wp:posOffset>
            </wp:positionH>
            <wp:positionV relativeFrom="paragraph">
              <wp:posOffset>-25400</wp:posOffset>
            </wp:positionV>
            <wp:extent cx="3429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-7620</wp:posOffset>
            </wp:positionV>
            <wp:extent cx="3429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205"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Employee-related costs increased as a result of increased headcount as we grew our business and required additional personnel to support our expanded operations. Customer credit card fees increased due to increased customer transactions as we continue to grow our business. Professional fees increased primarily due expenses related to our acquisition of Clearbit in the fourth quarter of 2023 (Note 7). Allocated overhead expenses increased due to an increase in shared company expenses associated with our systems and infrastructure as we continued to grow our business, offset slightly by a decrease in expense from the reduction of our leased office space under the Restructuring Plan.</w:t>
      </w:r>
    </w:p>
    <w:p>
      <w:pPr>
        <w:spacing w:after="0" w:line="1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Restructuring</w:t>
      </w:r>
    </w:p>
    <w:p>
      <w:pPr>
        <w:spacing w:after="0" w:line="236" w:lineRule="exact"/>
        <w:rPr>
          <w:sz w:val="20"/>
          <w:szCs w:val="20"/>
          <w:color w:val="auto"/>
        </w:rPr>
      </w:pPr>
    </w:p>
    <w:tbl>
      <w:tblPr>
        <w:tblLayout w:type="fixed"/>
        <w:tblInd w:w="580" w:type="dxa"/>
        <w:tblCellMar>
          <w:top w:w="0" w:type="dxa"/>
          <w:left w:w="0" w:type="dxa"/>
          <w:bottom w:w="0" w:type="dxa"/>
          <w:right w:w="0" w:type="dxa"/>
        </w:tblCellMar>
      </w:tblPr>
      <w:tr>
        <w:trPr>
          <w:trHeight w:val="187"/>
        </w:trPr>
        <w:tc>
          <w:tcPr>
            <w:tcW w:w="37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00" w:type="dxa"/>
            <w:vAlign w:val="bottom"/>
            <w:vMerge w:val="restart"/>
          </w:tcPr>
          <w:p>
            <w:pPr>
              <w:spacing w:after="0"/>
              <w:rPr>
                <w:sz w:val="16"/>
                <w:szCs w:val="16"/>
                <w:color w:val="auto"/>
              </w:rPr>
            </w:pPr>
          </w:p>
        </w:tc>
        <w:tc>
          <w:tcPr>
            <w:tcW w:w="2580" w:type="dxa"/>
            <w:vAlign w:val="bottom"/>
            <w:tcBorders>
              <w:bottom w:val="single" w:sz="8" w:color="auto"/>
            </w:tcBorders>
            <w:gridSpan w:val="4"/>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8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vMerge w:val="restart"/>
          </w:tcPr>
          <w:p>
            <w:pPr>
              <w:jc w:val="right"/>
              <w:ind w:right="31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80" w:type="dxa"/>
            <w:vAlign w:val="bottom"/>
          </w:tcPr>
          <w:p>
            <w:pPr>
              <w:spacing w:after="0"/>
              <w:rPr>
                <w:sz w:val="16"/>
                <w:szCs w:val="16"/>
                <w:color w:val="auto"/>
              </w:rPr>
            </w:pPr>
          </w:p>
        </w:tc>
        <w:tc>
          <w:tcPr>
            <w:tcW w:w="1600" w:type="dxa"/>
            <w:vAlign w:val="bottom"/>
            <w:vMerge w:val="restart"/>
          </w:tcPr>
          <w:p>
            <w:pPr>
              <w:ind w:left="48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69"/>
        </w:trPr>
        <w:tc>
          <w:tcPr>
            <w:tcW w:w="3720" w:type="dxa"/>
            <w:vAlign w:val="bottom"/>
            <w:tcBorders>
              <w:bottom w:val="single" w:sz="8" w:color="auto"/>
            </w:tcBorders>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2022</w:t>
            </w:r>
          </w:p>
        </w:tc>
        <w:tc>
          <w:tcPr>
            <w:tcW w:w="38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vMerge w:val="continue"/>
          </w:tcPr>
          <w:p>
            <w:pPr>
              <w:spacing w:after="0"/>
              <w:rPr>
                <w:sz w:val="14"/>
                <w:szCs w:val="14"/>
                <w:color w:val="auto"/>
              </w:rPr>
            </w:pPr>
          </w:p>
        </w:tc>
        <w:tc>
          <w:tcPr>
            <w:tcW w:w="180" w:type="dxa"/>
            <w:vAlign w:val="bottom"/>
          </w:tcPr>
          <w:p>
            <w:pPr>
              <w:spacing w:after="0"/>
              <w:rPr>
                <w:sz w:val="14"/>
                <w:szCs w:val="14"/>
                <w:color w:val="auto"/>
              </w:rPr>
            </w:pPr>
          </w:p>
        </w:tc>
        <w:tc>
          <w:tcPr>
            <w:tcW w:w="160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38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Restructuring</w:t>
            </w:r>
          </w:p>
        </w:tc>
        <w:tc>
          <w:tcPr>
            <w:tcW w:w="860" w:type="dxa"/>
            <w:vAlign w:val="bottom"/>
            <w:shd w:val="clear" w:color="auto" w:fill="CFF0FC"/>
          </w:tcPr>
          <w:p>
            <w:pPr>
              <w:jc w:val="right"/>
              <w:ind w:right="662"/>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96,843</w:t>
            </w:r>
          </w:p>
        </w:tc>
        <w:tc>
          <w:tcPr>
            <w:tcW w:w="220" w:type="dxa"/>
            <w:vAlign w:val="bottom"/>
            <w:shd w:val="clear" w:color="auto" w:fill="CFF0FC"/>
          </w:tcPr>
          <w:p>
            <w:pPr>
              <w:spacing w:after="0"/>
              <w:rPr>
                <w:sz w:val="20"/>
                <w:szCs w:val="20"/>
                <w:color w:val="auto"/>
              </w:rPr>
            </w:pPr>
          </w:p>
        </w:tc>
        <w:tc>
          <w:tcPr>
            <w:tcW w:w="980" w:type="dxa"/>
            <w:vAlign w:val="bottom"/>
            <w:shd w:val="clear" w:color="auto" w:fill="CFF0FC"/>
          </w:tcPr>
          <w:p>
            <w:pPr>
              <w:jc w:val="right"/>
              <w:ind w:right="799"/>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3"/>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   $</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96,843</w:t>
            </w:r>
          </w:p>
        </w:tc>
        <w:tc>
          <w:tcPr>
            <w:tcW w:w="180" w:type="dxa"/>
            <w:vAlign w:val="bottom"/>
            <w:shd w:val="clear" w:color="auto" w:fill="CFF0FC"/>
          </w:tcPr>
          <w:p>
            <w:pPr>
              <w:spacing w:after="0"/>
              <w:rPr>
                <w:sz w:val="20"/>
                <w:szCs w:val="20"/>
                <w:color w:val="auto"/>
              </w:rPr>
            </w:pPr>
          </w:p>
        </w:tc>
        <w:tc>
          <w:tcPr>
            <w:tcW w:w="1600" w:type="dxa"/>
            <w:vAlign w:val="bottom"/>
            <w:shd w:val="clear" w:color="auto" w:fill="CFF0FC"/>
          </w:tcPr>
          <w:p>
            <w:pPr>
              <w:ind w:left="1360"/>
              <w:spacing w:after="0"/>
              <w:rPr>
                <w:sz w:val="20"/>
                <w:szCs w:val="20"/>
                <w:color w:val="auto"/>
              </w:rPr>
            </w:pPr>
            <w:r>
              <w:rPr>
                <w:rFonts w:ascii="Times New Roman" w:cs="Times New Roman" w:eastAsia="Times New Roman" w:hAnsi="Times New Roman"/>
                <w:sz w:val="18"/>
                <w:szCs w:val="18"/>
                <w:color w:val="auto"/>
                <w:w w:val="99"/>
              </w:rPr>
              <w:t>n/a</w:t>
            </w:r>
          </w:p>
        </w:tc>
        <w:tc>
          <w:tcPr>
            <w:tcW w:w="0" w:type="dxa"/>
            <w:vAlign w:val="bottom"/>
          </w:tcPr>
          <w:p>
            <w:pPr>
              <w:spacing w:after="0"/>
              <w:rPr>
                <w:sz w:val="1"/>
                <w:szCs w:val="1"/>
                <w:color w:val="auto"/>
              </w:rPr>
            </w:pPr>
          </w:p>
        </w:tc>
      </w:tr>
      <w:tr>
        <w:trPr>
          <w:trHeight w:val="234"/>
        </w:trPr>
        <w:tc>
          <w:tcPr>
            <w:tcW w:w="3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Percentage of total revenue</w:t>
            </w:r>
          </w:p>
        </w:tc>
        <w:tc>
          <w:tcPr>
            <w:tcW w:w="860" w:type="dxa"/>
            <w:vAlign w:val="bottom"/>
          </w:tcPr>
          <w:p>
            <w:pPr>
              <w:spacing w:after="0"/>
              <w:rPr>
                <w:sz w:val="20"/>
                <w:szCs w:val="20"/>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4 %</w:t>
            </w:r>
          </w:p>
        </w:tc>
        <w:tc>
          <w:tcPr>
            <w:tcW w:w="980" w:type="dxa"/>
            <w:vAlign w:val="bottom"/>
          </w:tcPr>
          <w:p>
            <w:pPr>
              <w:spacing w:after="0"/>
              <w:rPr>
                <w:sz w:val="20"/>
                <w:szCs w:val="20"/>
                <w:color w:val="auto"/>
              </w:rPr>
            </w:pPr>
          </w:p>
        </w:tc>
        <w:tc>
          <w:tcPr>
            <w:tcW w:w="5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0 %</w:t>
            </w: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6" w:lineRule="exact"/>
        <w:rPr>
          <w:sz w:val="20"/>
          <w:szCs w:val="20"/>
          <w:color w:val="auto"/>
        </w:rPr>
      </w:pPr>
    </w:p>
    <w:p>
      <w:pPr>
        <w:jc w:val="both"/>
        <w:ind w:right="160" w:firstLine="509"/>
        <w:spacing w:after="0" w:line="266" w:lineRule="auto"/>
        <w:rPr>
          <w:sz w:val="20"/>
          <w:szCs w:val="20"/>
          <w:color w:val="auto"/>
        </w:rPr>
      </w:pPr>
      <w:r>
        <w:rPr>
          <w:rFonts w:ascii="Times New Roman" w:cs="Times New Roman" w:eastAsia="Times New Roman" w:hAnsi="Times New Roman"/>
          <w:sz w:val="18"/>
          <w:szCs w:val="18"/>
          <w:color w:val="auto"/>
        </w:rPr>
        <w:t>Restructuring charges were $96.8 million in 2023 due to the implementation of the Restructuring Plan in the first quarter of 2023 and its continued execution throughout the year. Restructuring costs primarily consisted of $26.8 million of severance, employee related benefits and other costs, and $70.0 million related to the termination and abandonment of leases globally (Note 17).</w:t>
      </w:r>
    </w:p>
    <w:p>
      <w:pPr>
        <w:spacing w:after="0" w:line="10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Interest Income</w:t>
      </w:r>
    </w:p>
    <w:p>
      <w:pPr>
        <w:spacing w:after="0" w:line="236" w:lineRule="exact"/>
        <w:rPr>
          <w:sz w:val="20"/>
          <w:szCs w:val="20"/>
          <w:color w:val="auto"/>
        </w:rPr>
      </w:pPr>
    </w:p>
    <w:tbl>
      <w:tblPr>
        <w:tblLayout w:type="fixed"/>
        <w:tblInd w:w="580" w:type="dxa"/>
        <w:tblCellMar>
          <w:top w:w="0" w:type="dxa"/>
          <w:left w:w="0" w:type="dxa"/>
          <w:bottom w:w="0" w:type="dxa"/>
          <w:right w:w="0" w:type="dxa"/>
        </w:tblCellMar>
      </w:tblPr>
      <w:tr>
        <w:trPr>
          <w:trHeight w:val="187"/>
        </w:trPr>
        <w:tc>
          <w:tcPr>
            <w:tcW w:w="5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80" w:type="dxa"/>
            <w:vAlign w:val="bottom"/>
            <w:gridSpan w:val="5"/>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60" w:type="dxa"/>
            <w:vAlign w:val="bottom"/>
          </w:tcPr>
          <w:p>
            <w:pPr>
              <w:spacing w:after="0"/>
              <w:rPr>
                <w:sz w:val="16"/>
                <w:szCs w:val="16"/>
                <w:color w:val="auto"/>
              </w:rPr>
            </w:pPr>
          </w:p>
        </w:tc>
        <w:tc>
          <w:tcPr>
            <w:tcW w:w="1340" w:type="dxa"/>
            <w:vAlign w:val="bottom"/>
            <w:gridSpan w:val="3"/>
          </w:tcPr>
          <w:p>
            <w:pPr>
              <w:ind w:left="7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69"/>
        </w:trPr>
        <w:tc>
          <w:tcPr>
            <w:tcW w:w="524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340" w:type="dxa"/>
            <w:vAlign w:val="bottom"/>
            <w:tcBorders>
              <w:top w:val="single" w:sz="8" w:color="auto"/>
            </w:tcBorders>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740" w:type="dxa"/>
            <w:vAlign w:val="bottom"/>
            <w:tcBorders>
              <w:top w:val="single" w:sz="8" w:color="auto"/>
            </w:tcBorders>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9"/>
        </w:trPr>
        <w:tc>
          <w:tcPr>
            <w:tcW w:w="524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(dollars in</w:t>
            </w:r>
          </w:p>
        </w:tc>
        <w:tc>
          <w:tcPr>
            <w:tcW w:w="200" w:type="dxa"/>
            <w:vAlign w:val="bottom"/>
          </w:tcPr>
          <w:p>
            <w:pPr>
              <w:spacing w:after="0"/>
              <w:rPr>
                <w:sz w:val="14"/>
                <w:szCs w:val="14"/>
                <w:color w:val="auto"/>
              </w:rPr>
            </w:pPr>
          </w:p>
        </w:tc>
        <w:tc>
          <w:tcPr>
            <w:tcW w:w="98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thousands)</w:t>
            </w:r>
          </w:p>
        </w:tc>
        <w:tc>
          <w:tcPr>
            <w:tcW w:w="200" w:type="dxa"/>
            <w:vAlign w:val="bottom"/>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34"/>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58,828</w:t>
            </w:r>
          </w:p>
        </w:tc>
        <w:tc>
          <w:tcPr>
            <w:tcW w:w="24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200" w:type="dxa"/>
            <w:vAlign w:val="bottom"/>
          </w:tcPr>
          <w:p>
            <w:pPr>
              <w:spacing w:after="0"/>
              <w:rPr>
                <w:sz w:val="20"/>
                <w:szCs w:val="20"/>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43,828</w:t>
            </w: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292 %</w:t>
            </w:r>
          </w:p>
        </w:tc>
      </w:tr>
      <w:tr>
        <w:trPr>
          <w:trHeight w:val="238"/>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Percentage of total revenue</w:t>
            </w:r>
          </w:p>
        </w:tc>
        <w:tc>
          <w:tcPr>
            <w:tcW w:w="240" w:type="dxa"/>
            <w:vAlign w:val="bottom"/>
          </w:tcPr>
          <w:p>
            <w:pPr>
              <w:spacing w:after="0"/>
              <w:rPr>
                <w:sz w:val="20"/>
                <w:szCs w:val="20"/>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3 %</w:t>
            </w:r>
          </w:p>
        </w:tc>
        <w:tc>
          <w:tcPr>
            <w:tcW w:w="240" w:type="dxa"/>
            <w:vAlign w:val="bottom"/>
          </w:tcPr>
          <w:p>
            <w:pPr>
              <w:spacing w:after="0"/>
              <w:rPr>
                <w:sz w:val="20"/>
                <w:szCs w:val="20"/>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1 %</w:t>
            </w:r>
          </w:p>
        </w:tc>
        <w:tc>
          <w:tcPr>
            <w:tcW w:w="1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-299720</wp:posOffset>
            </wp:positionV>
            <wp:extent cx="6412230" cy="15430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412230" cy="154305"/>
                    </a:xfrm>
                    <a:prstGeom prst="rect">
                      <a:avLst/>
                    </a:prstGeom>
                    <a:noFill/>
                  </pic:spPr>
                </pic:pic>
              </a:graphicData>
            </a:graphic>
          </wp:anchor>
        </w:drawing>
      </w:r>
    </w:p>
    <w:p>
      <w:pPr>
        <w:spacing w:after="0" w:line="191"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Interest income primarily consists of interest earned on invested cash and cash equivalents balances and investments. The increase during the year is due to higher balance of cash invested and increases in yields on our investment balances.</w:t>
      </w:r>
    </w:p>
    <w:p>
      <w:pPr>
        <w:spacing w:after="0" w:line="29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40" w:type="dxa"/>
            <w:vAlign w:val="bottom"/>
          </w:tcPr>
          <w:p>
            <w:pPr>
              <w:spacing w:after="0"/>
              <w:rPr>
                <w:sz w:val="16"/>
                <w:szCs w:val="16"/>
                <w:color w:val="auto"/>
              </w:rPr>
            </w:pPr>
          </w:p>
        </w:tc>
        <w:tc>
          <w:tcPr>
            <w:tcW w:w="55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80" w:type="dxa"/>
            <w:vAlign w:val="bottom"/>
            <w:gridSpan w:val="5"/>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760" w:type="dxa"/>
            <w:vAlign w:val="bottom"/>
          </w:tcPr>
          <w:p>
            <w:pPr>
              <w:spacing w:after="0"/>
              <w:rPr>
                <w:sz w:val="16"/>
                <w:szCs w:val="16"/>
                <w:color w:val="auto"/>
              </w:rPr>
            </w:pPr>
          </w:p>
        </w:tc>
        <w:tc>
          <w:tcPr>
            <w:tcW w:w="740" w:type="dxa"/>
            <w:vAlign w:val="bottom"/>
            <w:gridSpan w:val="3"/>
          </w:tcPr>
          <w:p>
            <w:pPr>
              <w:ind w:left="1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69"/>
        </w:trPr>
        <w:tc>
          <w:tcPr>
            <w:tcW w:w="240" w:type="dxa"/>
            <w:vAlign w:val="bottom"/>
          </w:tcPr>
          <w:p>
            <w:pPr>
              <w:spacing w:after="0"/>
              <w:rPr>
                <w:sz w:val="14"/>
                <w:szCs w:val="14"/>
                <w:color w:val="auto"/>
              </w:rPr>
            </w:pPr>
          </w:p>
        </w:tc>
        <w:tc>
          <w:tcPr>
            <w:tcW w:w="5580" w:type="dxa"/>
            <w:vAlign w:val="bottom"/>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800" w:type="dxa"/>
            <w:vAlign w:val="bottom"/>
            <w:tcBorders>
              <w:top w:val="single" w:sz="8" w:color="auto"/>
              <w:bottom w:val="single" w:sz="8" w:color="auto"/>
            </w:tcBorders>
          </w:tcPr>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Borders>
              <w:top w:val="single" w:sz="8" w:color="auto"/>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800" w:type="dxa"/>
            <w:vAlign w:val="bottom"/>
            <w:tcBorders>
              <w:top w:val="single" w:sz="8" w:color="auto"/>
              <w:bottom w:val="single" w:sz="8" w:color="auto"/>
            </w:tcBorders>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Pr>
          <w:p>
            <w:pPr>
              <w:spacing w:after="0"/>
              <w:rPr>
                <w:sz w:val="14"/>
                <w:szCs w:val="14"/>
                <w:color w:val="auto"/>
              </w:rPr>
            </w:pPr>
          </w:p>
        </w:tc>
        <w:tc>
          <w:tcPr>
            <w:tcW w:w="760" w:type="dxa"/>
            <w:vAlign w:val="bottom"/>
            <w:tcBorders>
              <w:top w:val="single" w:sz="8" w:color="auto"/>
              <w:bottom w:val="single" w:sz="8" w:color="auto"/>
            </w:tcBorders>
          </w:tcPr>
          <w:p>
            <w:pPr>
              <w:ind w:left="2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Borders>
              <w:top w:val="single" w:sz="8" w:color="auto"/>
              <w:bottom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740" w:type="dxa"/>
            <w:vAlign w:val="bottom"/>
            <w:tcBorders>
              <w:top w:val="single" w:sz="8" w:color="auto"/>
              <w:bottom w:val="single" w:sz="8" w:color="auto"/>
            </w:tcBorders>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9"/>
        </w:trPr>
        <w:tc>
          <w:tcPr>
            <w:tcW w:w="240" w:type="dxa"/>
            <w:vAlign w:val="bottom"/>
          </w:tcPr>
          <w:p>
            <w:pPr>
              <w:spacing w:after="0"/>
              <w:rPr>
                <w:sz w:val="14"/>
                <w:szCs w:val="14"/>
                <w:color w:val="auto"/>
              </w:rPr>
            </w:pPr>
          </w:p>
        </w:tc>
        <w:tc>
          <w:tcPr>
            <w:tcW w:w="5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(dollars in</w:t>
            </w:r>
          </w:p>
        </w:tc>
        <w:tc>
          <w:tcPr>
            <w:tcW w:w="200" w:type="dxa"/>
            <w:vAlign w:val="bottom"/>
          </w:tcPr>
          <w:p>
            <w:pPr>
              <w:spacing w:after="0"/>
              <w:rPr>
                <w:sz w:val="14"/>
                <w:szCs w:val="14"/>
                <w:color w:val="auto"/>
              </w:rPr>
            </w:pPr>
          </w:p>
        </w:tc>
        <w:tc>
          <w:tcPr>
            <w:tcW w:w="7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thousands)</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34"/>
        </w:trPr>
        <w:tc>
          <w:tcPr>
            <w:tcW w:w="240" w:type="dxa"/>
            <w:vAlign w:val="bottom"/>
          </w:tcPr>
          <w:p>
            <w:pPr>
              <w:spacing w:after="0"/>
              <w:rPr>
                <w:sz w:val="20"/>
                <w:szCs w:val="20"/>
                <w:color w:val="auto"/>
              </w:rPr>
            </w:pPr>
          </w:p>
        </w:tc>
        <w:tc>
          <w:tcPr>
            <w:tcW w:w="55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Interest expense</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(3,801 )  $</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(3,762 )</w:t>
            </w:r>
          </w:p>
        </w:tc>
        <w:tc>
          <w:tcPr>
            <w:tcW w:w="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39</w:t>
            </w: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1 %</w:t>
            </w:r>
          </w:p>
        </w:tc>
      </w:tr>
      <w:tr>
        <w:trPr>
          <w:trHeight w:val="238"/>
        </w:trPr>
        <w:tc>
          <w:tcPr>
            <w:tcW w:w="240" w:type="dxa"/>
            <w:vAlign w:val="bottom"/>
          </w:tcPr>
          <w:p>
            <w:pPr>
              <w:spacing w:after="0"/>
              <w:rPr>
                <w:sz w:val="20"/>
                <w:szCs w:val="20"/>
                <w:color w:val="auto"/>
              </w:rPr>
            </w:pPr>
          </w:p>
        </w:tc>
        <w:tc>
          <w:tcPr>
            <w:tcW w:w="55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Percentage of total revenue</w:t>
            </w:r>
          </w:p>
        </w:tc>
        <w:tc>
          <w:tcPr>
            <w:tcW w:w="2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70"/>
        </w:trPr>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5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not meaningful</w:t>
            </w:r>
          </w:p>
        </w:tc>
        <w:tc>
          <w:tcPr>
            <w:tcW w:w="2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 w:type="dxa"/>
            <w:vAlign w:val="bottom"/>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-471170</wp:posOffset>
            </wp:positionV>
            <wp:extent cx="6412230" cy="15430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412230" cy="154305"/>
                    </a:xfrm>
                    <a:prstGeom prst="rect">
                      <a:avLst/>
                    </a:prstGeom>
                    <a:noFill/>
                  </pic:spPr>
                </pic:pic>
              </a:graphicData>
            </a:graphic>
          </wp:anchor>
        </w:drawing>
      </w:r>
    </w:p>
    <w:p>
      <w:pPr>
        <w:spacing w:after="0" w:line="1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Interest expense primarily consists of amortization of the debt issuance costs and contractual interest expense related to our 2025 Notes.</w:t>
      </w:r>
    </w:p>
    <w:p>
      <w:pPr>
        <w:spacing w:after="0" w:line="200" w:lineRule="exact"/>
        <w:rPr>
          <w:sz w:val="20"/>
          <w:szCs w:val="20"/>
          <w:color w:val="auto"/>
        </w:rPr>
      </w:pPr>
    </w:p>
    <w:p>
      <w:pPr>
        <w:spacing w:after="0" w:line="23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Other (Expense) Income</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80" w:type="dxa"/>
            <w:vAlign w:val="bottom"/>
          </w:tcPr>
          <w:p>
            <w:pPr>
              <w:spacing w:after="0"/>
              <w:rPr>
                <w:sz w:val="16"/>
                <w:szCs w:val="16"/>
                <w:color w:val="auto"/>
              </w:rPr>
            </w:pPr>
          </w:p>
        </w:tc>
        <w:tc>
          <w:tcPr>
            <w:tcW w:w="346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40" w:type="dxa"/>
            <w:vAlign w:val="bottom"/>
            <w:gridSpan w:val="6"/>
          </w:tcPr>
          <w:p>
            <w:pPr>
              <w:jc w:val="right"/>
              <w:ind w:right="648"/>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340" w:type="dxa"/>
            <w:vAlign w:val="bottom"/>
            <w:gridSpan w:val="3"/>
          </w:tcPr>
          <w:p>
            <w:pPr>
              <w:ind w:left="7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r>
      <w:tr>
        <w:trPr>
          <w:trHeight w:val="169"/>
        </w:trPr>
        <w:tc>
          <w:tcPr>
            <w:tcW w:w="58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340" w:type="dxa"/>
            <w:vAlign w:val="bottom"/>
            <w:tcBorders>
              <w:top w:val="single" w:sz="8" w:color="auto"/>
            </w:tcBorders>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740" w:type="dxa"/>
            <w:vAlign w:val="bottom"/>
            <w:tcBorders>
              <w:top w:val="single" w:sz="8" w:color="auto"/>
            </w:tcBorders>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64"/>
        </w:trPr>
        <w:tc>
          <w:tcPr>
            <w:tcW w:w="58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(dollars in</w:t>
            </w:r>
          </w:p>
        </w:tc>
        <w:tc>
          <w:tcPr>
            <w:tcW w:w="200" w:type="dxa"/>
            <w:vAlign w:val="bottom"/>
          </w:tcPr>
          <w:p>
            <w:pPr>
              <w:spacing w:after="0"/>
              <w:rPr>
                <w:sz w:val="14"/>
                <w:szCs w:val="14"/>
                <w:color w:val="auto"/>
              </w:rPr>
            </w:pPr>
          </w:p>
        </w:tc>
        <w:tc>
          <w:tcPr>
            <w:tcW w:w="980" w:type="dxa"/>
            <w:vAlign w:val="bottom"/>
            <w:tcBorders>
              <w:top w:val="single" w:sz="8" w:color="auto"/>
            </w:tcBorders>
            <w:gridSpan w:val="2"/>
          </w:tcPr>
          <w:p>
            <w:pPr>
              <w:jc w:val="right"/>
              <w:ind w:right="362"/>
              <w:spacing w:after="0"/>
              <w:rPr>
                <w:sz w:val="20"/>
                <w:szCs w:val="20"/>
                <w:color w:val="auto"/>
              </w:rPr>
            </w:pPr>
            <w:r>
              <w:rPr>
                <w:rFonts w:ascii="Times New Roman" w:cs="Times New Roman" w:eastAsia="Times New Roman" w:hAnsi="Times New Roman"/>
                <w:sz w:val="14"/>
                <w:szCs w:val="14"/>
                <w:b w:val="1"/>
                <w:bCs w:val="1"/>
                <w:color w:val="auto"/>
                <w:w w:val="79"/>
              </w:rPr>
              <w:t>thousands)</w:t>
            </w:r>
          </w:p>
        </w:tc>
        <w:tc>
          <w:tcPr>
            <w:tcW w:w="200" w:type="dxa"/>
            <w:vAlign w:val="bottom"/>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241"/>
        </w:trPr>
        <w:tc>
          <w:tcPr>
            <w:tcW w:w="580" w:type="dxa"/>
            <w:vAlign w:val="bottom"/>
          </w:tcPr>
          <w:p>
            <w:pPr>
              <w:spacing w:after="0"/>
              <w:rPr>
                <w:sz w:val="20"/>
                <w:szCs w:val="20"/>
                <w:color w:val="auto"/>
              </w:rPr>
            </w:pPr>
          </w:p>
        </w:tc>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Other (expense) income</w:t>
            </w:r>
          </w:p>
        </w:tc>
        <w:tc>
          <w:tcPr>
            <w:tcW w:w="2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(4,673 )  $</w:t>
            </w: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(6,829 )  $</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2,156</w:t>
            </w: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0" w:type="dxa"/>
            <w:vAlign w:val="bottom"/>
            <w:gridSpan w:val="3"/>
          </w:tcPr>
          <w:p>
            <w:pPr>
              <w:jc w:val="right"/>
              <w:ind w:right="440"/>
              <w:spacing w:after="0"/>
              <w:rPr>
                <w:sz w:val="20"/>
                <w:szCs w:val="20"/>
                <w:color w:val="auto"/>
              </w:rPr>
            </w:pPr>
            <w:r>
              <w:rPr>
                <w:rFonts w:ascii="Times New Roman" w:cs="Times New Roman" w:eastAsia="Times New Roman" w:hAnsi="Times New Roman"/>
                <w:sz w:val="18"/>
                <w:szCs w:val="18"/>
                <w:color w:val="auto"/>
              </w:rPr>
              <w:t>(32 )%</w:t>
            </w:r>
          </w:p>
        </w:tc>
      </w:tr>
      <w:tr>
        <w:trPr>
          <w:trHeight w:val="250"/>
        </w:trPr>
        <w:tc>
          <w:tcPr>
            <w:tcW w:w="580" w:type="dxa"/>
            <w:vAlign w:val="bottom"/>
          </w:tcPr>
          <w:p>
            <w:pPr>
              <w:spacing w:after="0"/>
              <w:rPr>
                <w:sz w:val="21"/>
                <w:szCs w:val="21"/>
                <w:color w:val="auto"/>
              </w:rPr>
            </w:pPr>
          </w:p>
        </w:tc>
        <w:tc>
          <w:tcPr>
            <w:tcW w:w="3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Percentage of total revenue</w:t>
            </w:r>
          </w:p>
        </w:tc>
        <w:tc>
          <w:tcPr>
            <w:tcW w:w="17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7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560" w:type="dxa"/>
            <w:vAlign w:val="bottom"/>
          </w:tcPr>
          <w:p>
            <w:pPr>
              <w:spacing w:after="0"/>
              <w:rPr>
                <w:sz w:val="21"/>
                <w:szCs w:val="21"/>
                <w:color w:val="auto"/>
              </w:rPr>
            </w:pPr>
          </w:p>
        </w:tc>
      </w:tr>
      <w:tr>
        <w:trPr>
          <w:trHeight w:val="648"/>
        </w:trPr>
        <w:tc>
          <w:tcPr>
            <w:tcW w:w="58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1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55</w:t>
            </w: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763"/>
        </w:trPr>
        <w:tc>
          <w:tcPr>
            <w:tcW w:w="580" w:type="dxa"/>
            <w:vAlign w:val="bottom"/>
            <w:tcBorders>
              <w:bottom w:val="single" w:sz="8" w:color="9A9A9A"/>
            </w:tcBorders>
          </w:tcPr>
          <w:p>
            <w:pPr>
              <w:spacing w:after="0"/>
              <w:rPr>
                <w:sz w:val="24"/>
                <w:szCs w:val="24"/>
                <w:color w:val="auto"/>
              </w:rPr>
            </w:pPr>
          </w:p>
        </w:tc>
        <w:tc>
          <w:tcPr>
            <w:tcW w:w="3460" w:type="dxa"/>
            <w:vAlign w:val="bottom"/>
            <w:tcBorders>
              <w:bottom w:val="single" w:sz="8" w:color="9A9A9A"/>
            </w:tcBorders>
          </w:tcPr>
          <w:p>
            <w:pPr>
              <w:spacing w:after="0"/>
              <w:rPr>
                <w:sz w:val="24"/>
                <w:szCs w:val="24"/>
                <w:color w:val="auto"/>
              </w:rPr>
            </w:pPr>
          </w:p>
        </w:tc>
        <w:tc>
          <w:tcPr>
            <w:tcW w:w="17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55" w:name="page56"/>
    <w:bookmarkEnd w:id="55"/>
    <w:tbl>
      <w:tblPr>
        <w:tblLayout w:type="fixed"/>
        <w:tblInd w:w="0" w:type="dxa"/>
        <w:tblCellMar>
          <w:top w:w="0" w:type="dxa"/>
          <w:left w:w="0" w:type="dxa"/>
          <w:bottom w:w="0" w:type="dxa"/>
          <w:right w:w="0" w:type="dxa"/>
        </w:tblCellMar>
      </w:tblPr>
      <w:tr>
        <w:trPr>
          <w:trHeight w:val="234"/>
        </w:trPr>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9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not meaningful</w:t>
            </w:r>
          </w:p>
        </w:tc>
        <w:tc>
          <w:tcPr>
            <w:tcW w:w="1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240" w:type="dxa"/>
            <w:vAlign w:val="bottom"/>
          </w:tcPr>
          <w:p>
            <w:pPr>
              <w:spacing w:after="0"/>
              <w:rPr>
                <w:sz w:val="24"/>
                <w:szCs w:val="24"/>
                <w:color w:val="auto"/>
              </w:rPr>
            </w:pPr>
          </w:p>
        </w:tc>
        <w:tc>
          <w:tcPr>
            <w:tcW w:w="794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The change in other expense during 2023 is primarily due to the following:</w:t>
            </w: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21"/>
        </w:trPr>
        <w:tc>
          <w:tcPr>
            <w:tcW w:w="2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6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187"/>
        </w:trPr>
        <w:tc>
          <w:tcPr>
            <w:tcW w:w="2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64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0" w:type="dxa"/>
            <w:vAlign w:val="bottom"/>
          </w:tcPr>
          <w:p>
            <w:pPr>
              <w:spacing w:after="0"/>
              <w:rPr>
                <w:sz w:val="16"/>
                <w:szCs w:val="16"/>
                <w:color w:val="auto"/>
              </w:rPr>
            </w:pPr>
          </w:p>
        </w:tc>
      </w:tr>
      <w:tr>
        <w:trPr>
          <w:trHeight w:val="237"/>
        </w:trPr>
        <w:tc>
          <w:tcPr>
            <w:tcW w:w="2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6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Gain on strategic investments</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(4,201 )</w:t>
            </w:r>
          </w:p>
        </w:tc>
      </w:tr>
      <w:tr>
        <w:trPr>
          <w:trHeight w:val="239"/>
        </w:trPr>
        <w:tc>
          <w:tcPr>
            <w:tcW w:w="2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Impairment of strategic investments</w:t>
            </w:r>
          </w:p>
        </w:tc>
        <w:tc>
          <w:tcPr>
            <w:tcW w:w="1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4,159</w:t>
            </w:r>
          </w:p>
        </w:tc>
        <w:tc>
          <w:tcPr>
            <w:tcW w:w="80" w:type="dxa"/>
            <w:vAlign w:val="bottom"/>
          </w:tcPr>
          <w:p>
            <w:pPr>
              <w:spacing w:after="0"/>
              <w:rPr>
                <w:sz w:val="20"/>
                <w:szCs w:val="20"/>
                <w:color w:val="auto"/>
              </w:rPr>
            </w:pPr>
          </w:p>
        </w:tc>
      </w:tr>
      <w:tr>
        <w:trPr>
          <w:trHeight w:val="243"/>
        </w:trPr>
        <w:tc>
          <w:tcPr>
            <w:tcW w:w="24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64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Foreign currency transaction gains and losses</w:t>
            </w:r>
          </w:p>
        </w:tc>
        <w:tc>
          <w:tcPr>
            <w:tcW w:w="160" w:type="dxa"/>
            <w:vAlign w:val="bottom"/>
            <w:tcBorders>
              <w:bottom w:val="single" w:sz="8" w:color="auto"/>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2,198</w:t>
            </w:r>
          </w:p>
        </w:tc>
        <w:tc>
          <w:tcPr>
            <w:tcW w:w="80" w:type="dxa"/>
            <w:vAlign w:val="bottom"/>
            <w:tcBorders>
              <w:bottom w:val="single" w:sz="8" w:color="CFF0FC"/>
            </w:tcBorders>
            <w:shd w:val="clear" w:color="auto" w:fill="CFF0FC"/>
          </w:tcPr>
          <w:p>
            <w:pPr>
              <w:spacing w:after="0"/>
              <w:rPr>
                <w:sz w:val="21"/>
                <w:szCs w:val="21"/>
                <w:color w:val="auto"/>
              </w:rPr>
            </w:pPr>
          </w:p>
        </w:tc>
      </w:tr>
      <w:tr>
        <w:trPr>
          <w:trHeight w:val="237"/>
        </w:trPr>
        <w:tc>
          <w:tcPr>
            <w:tcW w:w="2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648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2,156</w:t>
            </w:r>
          </w:p>
        </w:tc>
        <w:tc>
          <w:tcPr>
            <w:tcW w:w="80" w:type="dxa"/>
            <w:vAlign w:val="bottom"/>
          </w:tcPr>
          <w:p>
            <w:pPr>
              <w:spacing w:after="0"/>
              <w:rPr>
                <w:sz w:val="20"/>
                <w:szCs w:val="20"/>
                <w:color w:val="auto"/>
              </w:rPr>
            </w:pPr>
          </w:p>
        </w:tc>
      </w:tr>
      <w:tr>
        <w:trPr>
          <w:trHeight w:val="20"/>
        </w:trPr>
        <w:tc>
          <w:tcPr>
            <w:tcW w:w="2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6022975</wp:posOffset>
            </wp:positionH>
            <wp:positionV relativeFrom="paragraph">
              <wp:posOffset>-187960</wp:posOffset>
            </wp:positionV>
            <wp:extent cx="4318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43180" cy="8890"/>
                    </a:xfrm>
                    <a:prstGeom prst="rect">
                      <a:avLst/>
                    </a:prstGeom>
                    <a:noFill/>
                  </pic:spPr>
                </pic:pic>
              </a:graphicData>
            </a:graphic>
          </wp:anchor>
        </w:drawing>
      </w:r>
    </w:p>
    <w:p>
      <w:pPr>
        <w:spacing w:after="0" w:line="178"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Other expense primarily consists of the impact of foreign currency transaction gains and losses associated with monetary assets and liabilities and any gains or impairments on our strategic investments. The decrease in gain on strategic investments is due to gains of $4.2 million from observable price changes in the value of certain strategic investments in 2022 that did not reoccur in 2023. The decrease in impairment of strategic investments is due to a $5.9 million loss recorded in 2022 from the decrease in value of our strategic investments compared to $1.7 million in 2023. The change in foreign currency transactions is primarily attributable to the increase in the value of the Euro and British Pound Sterling relative to the U.S. Dollar.</w:t>
      </w:r>
    </w:p>
    <w:p>
      <w:pPr>
        <w:spacing w:after="0" w:line="2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w:t>
      </w:r>
    </w:p>
    <w:p>
      <w:pPr>
        <w:spacing w:after="0" w:line="236" w:lineRule="exact"/>
        <w:rPr>
          <w:sz w:val="20"/>
          <w:szCs w:val="20"/>
          <w:color w:val="auto"/>
        </w:rPr>
      </w:pPr>
    </w:p>
    <w:tbl>
      <w:tblPr>
        <w:tblLayout w:type="fixed"/>
        <w:tblInd w:w="580" w:type="dxa"/>
        <w:tblCellMar>
          <w:top w:w="0" w:type="dxa"/>
          <w:left w:w="0" w:type="dxa"/>
          <w:bottom w:w="0" w:type="dxa"/>
          <w:right w:w="0" w:type="dxa"/>
        </w:tblCellMar>
      </w:tblPr>
      <w:tr>
        <w:trPr>
          <w:trHeight w:val="187"/>
        </w:trPr>
        <w:tc>
          <w:tcPr>
            <w:tcW w:w="5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40" w:type="dxa"/>
            <w:vAlign w:val="bottom"/>
            <w:gridSpan w:val="6"/>
          </w:tcPr>
          <w:p>
            <w:pPr>
              <w:ind w:left="1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340" w:type="dxa"/>
            <w:vAlign w:val="bottom"/>
            <w:gridSpan w:val="3"/>
          </w:tcPr>
          <w:p>
            <w:pPr>
              <w:ind w:left="7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69"/>
        </w:trPr>
        <w:tc>
          <w:tcPr>
            <w:tcW w:w="524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ind w:left="140"/>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340" w:type="dxa"/>
            <w:vAlign w:val="bottom"/>
            <w:tcBorders>
              <w:top w:val="single" w:sz="8" w:color="auto"/>
            </w:tcBorders>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740" w:type="dxa"/>
            <w:vAlign w:val="bottom"/>
            <w:tcBorders>
              <w:top w:val="single" w:sz="8" w:color="auto"/>
            </w:tcBorders>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9"/>
        </w:trPr>
        <w:tc>
          <w:tcPr>
            <w:tcW w:w="524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(dollars in</w:t>
            </w:r>
          </w:p>
        </w:tc>
        <w:tc>
          <w:tcPr>
            <w:tcW w:w="200" w:type="dxa"/>
            <w:vAlign w:val="bottom"/>
          </w:tcPr>
          <w:p>
            <w:pPr>
              <w:spacing w:after="0"/>
              <w:rPr>
                <w:sz w:val="14"/>
                <w:szCs w:val="14"/>
                <w:color w:val="auto"/>
              </w:rPr>
            </w:pPr>
          </w:p>
        </w:tc>
        <w:tc>
          <w:tcPr>
            <w:tcW w:w="98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thousands)</w:t>
            </w:r>
          </w:p>
        </w:tc>
        <w:tc>
          <w:tcPr>
            <w:tcW w:w="200" w:type="dxa"/>
            <w:vAlign w:val="bottom"/>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34"/>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(18,593 )  $</w:t>
            </w: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(8,057 )  $</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(10,536 )</w:t>
            </w:r>
          </w:p>
        </w:tc>
        <w:tc>
          <w:tcPr>
            <w:tcW w:w="320" w:type="dxa"/>
            <w:vAlign w:val="bottom"/>
          </w:tcPr>
          <w:p>
            <w:pPr>
              <w:spacing w:after="0"/>
              <w:rPr>
                <w:sz w:val="20"/>
                <w:szCs w:val="20"/>
                <w:color w:val="auto"/>
              </w:rPr>
            </w:pP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131 %</w:t>
            </w:r>
          </w:p>
        </w:tc>
      </w:tr>
      <w:tr>
        <w:trPr>
          <w:trHeight w:val="252"/>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Effective tax rate</w:t>
            </w:r>
          </w:p>
        </w:tc>
        <w:tc>
          <w:tcPr>
            <w:tcW w:w="240" w:type="dxa"/>
            <w:vAlign w:val="bottom"/>
          </w:tcPr>
          <w:p>
            <w:pPr>
              <w:spacing w:after="0"/>
              <w:rPr>
                <w:sz w:val="21"/>
                <w:szCs w:val="21"/>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12 %</w:t>
            </w:r>
          </w:p>
        </w:tc>
        <w:tc>
          <w:tcPr>
            <w:tcW w:w="240" w:type="dxa"/>
            <w:vAlign w:val="bottom"/>
          </w:tcPr>
          <w:p>
            <w:pPr>
              <w:spacing w:after="0"/>
              <w:rPr>
                <w:sz w:val="21"/>
                <w:szCs w:val="21"/>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8 %</w:t>
            </w:r>
          </w:p>
        </w:tc>
        <w:tc>
          <w:tcPr>
            <w:tcW w:w="1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-307975</wp:posOffset>
            </wp:positionV>
            <wp:extent cx="6412230" cy="15430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412230" cy="154305"/>
                    </a:xfrm>
                    <a:prstGeom prst="rect">
                      <a:avLst/>
                    </a:prstGeom>
                    <a:noFill/>
                  </pic:spPr>
                </pic:pic>
              </a:graphicData>
            </a:graphic>
          </wp:anchor>
        </w:drawing>
      </w:r>
    </w:p>
    <w:p>
      <w:pPr>
        <w:spacing w:after="0" w:line="218" w:lineRule="exact"/>
        <w:rPr>
          <w:sz w:val="20"/>
          <w:szCs w:val="20"/>
          <w:color w:val="auto"/>
        </w:rPr>
      </w:pPr>
    </w:p>
    <w:p>
      <w:pPr>
        <w:ind w:right="220" w:firstLine="509"/>
        <w:spacing w:after="0" w:line="266" w:lineRule="auto"/>
        <w:rPr>
          <w:sz w:val="20"/>
          <w:szCs w:val="20"/>
          <w:color w:val="auto"/>
        </w:rPr>
      </w:pPr>
      <w:r>
        <w:rPr>
          <w:rFonts w:ascii="Times New Roman" w:cs="Times New Roman" w:eastAsia="Times New Roman" w:hAnsi="Times New Roman"/>
          <w:sz w:val="18"/>
          <w:szCs w:val="18"/>
          <w:color w:val="auto"/>
        </w:rPr>
        <w:t>Income tax expense consists of current and deferred taxes for U.S. and foreign jurisdictions. The increase in income tax expense was primarily driven by increased income in jurisdictions outside of the U.S. that are profitable from a tax perspective and limitations on the utilization of U.S. federal and state net operating loss carry-forwards.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Year Ended December 31, 2022 Compared to the Year Ended December 31, 2021</w:t>
      </w:r>
    </w:p>
    <w:p>
      <w:pPr>
        <w:spacing w:after="0" w:line="18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31" w:lineRule="exact"/>
        <w:rPr>
          <w:sz w:val="20"/>
          <w:szCs w:val="20"/>
          <w:color w:val="auto"/>
        </w:rPr>
      </w:pPr>
    </w:p>
    <w:tbl>
      <w:tblPr>
        <w:tblLayout w:type="fixed"/>
        <w:tblInd w:w="580" w:type="dxa"/>
        <w:tblCellMar>
          <w:top w:w="0" w:type="dxa"/>
          <w:left w:w="0" w:type="dxa"/>
          <w:bottom w:w="0" w:type="dxa"/>
          <w:right w:w="0" w:type="dxa"/>
        </w:tblCellMar>
      </w:tblPr>
      <w:tr>
        <w:trPr>
          <w:trHeight w:val="175"/>
        </w:trPr>
        <w:tc>
          <w:tcPr>
            <w:tcW w:w="52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080" w:type="dxa"/>
            <w:vAlign w:val="bottom"/>
            <w:tcBorders>
              <w:bottom w:val="single" w:sz="8" w:color="auto"/>
            </w:tcBorders>
            <w:gridSpan w:val="4"/>
          </w:tcPr>
          <w:p>
            <w:pPr>
              <w:jc w:val="right"/>
              <w:ind w:right="257"/>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3"/>
          </w:tcPr>
          <w:p>
            <w:pPr>
              <w:ind w:left="7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7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69"/>
        </w:trPr>
        <w:tc>
          <w:tcPr>
            <w:tcW w:w="52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97"/>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77"/>
              <w:spacing w:after="0"/>
              <w:rPr>
                <w:sz w:val="20"/>
                <w:szCs w:val="20"/>
                <w:color w:val="auto"/>
              </w:rPr>
            </w:pPr>
            <w:r>
              <w:rPr>
                <w:rFonts w:ascii="Times New Roman" w:cs="Times New Roman" w:eastAsia="Times New Roman" w:hAnsi="Times New Roman"/>
                <w:sz w:val="14"/>
                <w:szCs w:val="14"/>
                <w:b w:val="1"/>
                <w:bCs w:val="1"/>
                <w:color w:val="auto"/>
              </w:rPr>
              <w:t>2021</w:t>
            </w:r>
          </w:p>
        </w:tc>
        <w:tc>
          <w:tcPr>
            <w:tcW w:w="2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8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9"/>
        </w:trPr>
        <w:tc>
          <w:tcPr>
            <w:tcW w:w="5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580" w:type="dxa"/>
            <w:vAlign w:val="bottom"/>
            <w:gridSpan w:val="6"/>
          </w:tcPr>
          <w:p>
            <w:pPr>
              <w:ind w:left="26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34"/>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Subscription</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1,690,538</w:t>
            </w:r>
          </w:p>
        </w:tc>
        <w:tc>
          <w:tcPr>
            <w:tcW w:w="4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1,258,319</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432,219</w:t>
            </w: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34 %</w:t>
            </w:r>
          </w:p>
        </w:tc>
      </w:tr>
      <w:tr>
        <w:trPr>
          <w:trHeight w:val="252"/>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Professional services and other</w:t>
            </w:r>
          </w:p>
        </w:tc>
        <w:tc>
          <w:tcPr>
            <w:tcW w:w="2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40,431</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42,339</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(1,908 )</w:t>
            </w:r>
          </w:p>
        </w:tc>
        <w:tc>
          <w:tcPr>
            <w:tcW w:w="340" w:type="dxa"/>
            <w:vAlign w:val="bottom"/>
          </w:tcPr>
          <w:p>
            <w:pPr>
              <w:spacing w:after="0"/>
              <w:rPr>
                <w:sz w:val="21"/>
                <w:szCs w:val="21"/>
                <w:color w:val="auto"/>
              </w:rPr>
            </w:pP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-5 %</w:t>
            </w:r>
          </w:p>
        </w:tc>
      </w:tr>
      <w:tr>
        <w:trPr>
          <w:trHeight w:val="236"/>
        </w:trPr>
        <w:tc>
          <w:tcPr>
            <w:tcW w:w="5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revenue</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1,730,969</w:t>
            </w:r>
          </w:p>
        </w:tc>
        <w:tc>
          <w:tcPr>
            <w:tcW w:w="200" w:type="dxa"/>
            <w:vAlign w:val="bottom"/>
          </w:tcPr>
          <w:p>
            <w:pPr>
              <w:spacing w:after="0"/>
              <w:rPr>
                <w:sz w:val="20"/>
                <w:szCs w:val="20"/>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1,300,658</w:t>
            </w:r>
          </w:p>
        </w:tc>
        <w:tc>
          <w:tcPr>
            <w:tcW w:w="220" w:type="dxa"/>
            <w:vAlign w:val="bottom"/>
          </w:tcPr>
          <w:p>
            <w:pPr>
              <w:spacing w:after="0"/>
              <w:rPr>
                <w:sz w:val="20"/>
                <w:szCs w:val="20"/>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430,311</w:t>
            </w: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33 %</w:t>
            </w:r>
          </w:p>
        </w:tc>
      </w:tr>
      <w:tr>
        <w:trPr>
          <w:trHeight w:val="20"/>
        </w:trPr>
        <w:tc>
          <w:tcPr>
            <w:tcW w:w="5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-496570</wp:posOffset>
            </wp:positionV>
            <wp:extent cx="6412230" cy="15430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412230" cy="154305"/>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-179705</wp:posOffset>
            </wp:positionV>
            <wp:extent cx="6412230" cy="18034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412230" cy="180340"/>
                    </a:xfrm>
                    <a:prstGeom prst="rect">
                      <a:avLst/>
                    </a:prstGeom>
                    <a:noFill/>
                  </pic:spPr>
                </pic:pic>
              </a:graphicData>
            </a:graphic>
          </wp:anchor>
        </w:drawing>
      </w:r>
    </w:p>
    <w:p>
      <w:pPr>
        <w:spacing w:after="0" w:line="151" w:lineRule="exact"/>
        <w:rPr>
          <w:sz w:val="20"/>
          <w:szCs w:val="20"/>
          <w:color w:val="auto"/>
        </w:rPr>
      </w:pPr>
    </w:p>
    <w:p>
      <w:pPr>
        <w:ind w:right="40" w:firstLine="554"/>
        <w:spacing w:after="0" w:line="256" w:lineRule="auto"/>
        <w:rPr>
          <w:sz w:val="20"/>
          <w:szCs w:val="20"/>
          <w:color w:val="auto"/>
        </w:rPr>
      </w:pPr>
      <w:r>
        <w:rPr>
          <w:rFonts w:ascii="Times New Roman" w:cs="Times New Roman" w:eastAsia="Times New Roman" w:hAnsi="Times New Roman"/>
          <w:sz w:val="18"/>
          <w:szCs w:val="18"/>
          <w:color w:val="auto"/>
        </w:rPr>
        <w:t>Subscription revenue increased during 2022 due to the increase in Customers, which grew from 135,442 as of December 31, 2021 to 167,386 as of December 31, 2022. Average Subscription Revenue per Customer increased from $10,486 for the year ended December 31, 2021 to $11,163 for the year ended December 31, 2022. The growth in Customers was primarily driven by our increased demand for our lower-priced Starter products. The increase in Average Subscription Revenue per Customer was primarily driven by a continued demand for our Professional and Enterprise products, partially offset by continued purchases of our lower-priced Starter products and the impact of foreign currency translation primarily attributable to the decline in the value of the Euro and British Pound Sterling relative to the U.S. Dollar.</w:t>
      </w:r>
    </w:p>
    <w:p>
      <w:pPr>
        <w:spacing w:after="0" w:line="147"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Professional services and other revenue decreased during 2022 primarily due to non-recurring advertising revenue generated from our acquisition of Hustle Con Media, Inc. (“Hustle”) in the first quarter of 2021, lower overall services revenue from on-boardings and trainings, and lower fees earned from revenue share arrangements with third parties, partially offset by fees earned from other revenue streams.</w:t>
      </w:r>
    </w:p>
    <w:p>
      <w:pPr>
        <w:spacing w:after="0" w:line="17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26" w:right="399" w:bottom="1440" w:gutter="0" w:footer="0" w:header="0"/>
        </w:sectPr>
      </w:pPr>
    </w:p>
    <w:bookmarkStart w:id="56" w:name="page57"/>
    <w:bookmarkEnd w:id="56"/>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Total Cost of Revenue, Gross Profit and Gross Margin</w:t>
      </w:r>
    </w:p>
    <w:p>
      <w:pPr>
        <w:spacing w:after="0" w:line="236" w:lineRule="exact"/>
        <w:rPr>
          <w:sz w:val="20"/>
          <w:szCs w:val="20"/>
          <w:color w:val="auto"/>
        </w:rPr>
      </w:pPr>
    </w:p>
    <w:tbl>
      <w:tblPr>
        <w:tblLayout w:type="fixed"/>
        <w:tblInd w:w="520" w:type="dxa"/>
        <w:tblCellMar>
          <w:top w:w="0" w:type="dxa"/>
          <w:left w:w="0" w:type="dxa"/>
          <w:bottom w:w="0" w:type="dxa"/>
          <w:right w:w="0" w:type="dxa"/>
        </w:tblCellMar>
      </w:tblPr>
      <w:tr>
        <w:trPr>
          <w:trHeight w:val="187"/>
        </w:trPr>
        <w:tc>
          <w:tcPr>
            <w:tcW w:w="5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80" w:type="dxa"/>
            <w:vAlign w:val="bottom"/>
            <w:gridSpan w:val="5"/>
          </w:tcPr>
          <w:p>
            <w:pPr>
              <w:jc w:val="right"/>
              <w:ind w:right="608"/>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60" w:type="dxa"/>
            <w:vAlign w:val="bottom"/>
          </w:tcPr>
          <w:p>
            <w:pPr>
              <w:spacing w:after="0"/>
              <w:rPr>
                <w:sz w:val="16"/>
                <w:szCs w:val="16"/>
                <w:color w:val="auto"/>
              </w:rPr>
            </w:pPr>
          </w:p>
        </w:tc>
        <w:tc>
          <w:tcPr>
            <w:tcW w:w="1300" w:type="dxa"/>
            <w:vAlign w:val="bottom"/>
            <w:gridSpan w:val="3"/>
          </w:tcPr>
          <w:p>
            <w:pPr>
              <w:ind w:left="7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69"/>
        </w:trPr>
        <w:tc>
          <w:tcPr>
            <w:tcW w:w="5200" w:type="dxa"/>
            <w:vAlign w:val="bottom"/>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900" w:type="dxa"/>
            <w:vAlign w:val="bottom"/>
            <w:tcBorders>
              <w:top w:val="single" w:sz="8" w:color="auto"/>
              <w:bottom w:val="single" w:sz="8" w:color="auto"/>
            </w:tcBorders>
          </w:tcPr>
          <w:p>
            <w:pPr>
              <w:jc w:val="right"/>
              <w:ind w:right="357"/>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Borders>
              <w:top w:val="single" w:sz="8" w:color="auto"/>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880" w:type="dxa"/>
            <w:vAlign w:val="bottom"/>
            <w:tcBorders>
              <w:top w:val="single" w:sz="8" w:color="auto"/>
              <w:bottom w:val="single" w:sz="8" w:color="auto"/>
            </w:tcBorders>
          </w:tcPr>
          <w:p>
            <w:pPr>
              <w:ind w:left="160"/>
              <w:spacing w:after="0"/>
              <w:rPr>
                <w:sz w:val="20"/>
                <w:szCs w:val="20"/>
                <w:color w:val="auto"/>
              </w:rPr>
            </w:pPr>
            <w:r>
              <w:rPr>
                <w:rFonts w:ascii="Times New Roman" w:cs="Times New Roman" w:eastAsia="Times New Roman" w:hAnsi="Times New Roman"/>
                <w:sz w:val="14"/>
                <w:szCs w:val="14"/>
                <w:b w:val="1"/>
                <w:bCs w:val="1"/>
                <w:color w:val="auto"/>
              </w:rPr>
              <w:t>2021</w:t>
            </w:r>
          </w:p>
        </w:tc>
        <w:tc>
          <w:tcPr>
            <w:tcW w:w="220" w:type="dxa"/>
            <w:vAlign w:val="bottom"/>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740" w:type="dxa"/>
            <w:vAlign w:val="bottom"/>
            <w:tcBorders>
              <w:top w:val="single" w:sz="8" w:color="auto"/>
              <w:bottom w:val="single" w:sz="8" w:color="auto"/>
            </w:tcBorders>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Borders>
              <w:top w:val="single" w:sz="8" w:color="auto"/>
            </w:tcBorders>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740" w:type="dxa"/>
            <w:vAlign w:val="bottom"/>
            <w:tcBorders>
              <w:top w:val="single" w:sz="8" w:color="auto"/>
              <w:bottom w:val="single" w:sz="8" w:color="auto"/>
            </w:tcBorders>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9"/>
        </w:trPr>
        <w:tc>
          <w:tcPr>
            <w:tcW w:w="5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(dollars in</w:t>
            </w:r>
          </w:p>
        </w:tc>
        <w:tc>
          <w:tcPr>
            <w:tcW w:w="1120" w:type="dxa"/>
            <w:vAlign w:val="bottom"/>
            <w:gridSpan w:val="3"/>
          </w:tcPr>
          <w:p>
            <w:pPr>
              <w:jc w:val="right"/>
              <w:ind w:right="419"/>
              <w:spacing w:after="0"/>
              <w:rPr>
                <w:sz w:val="20"/>
                <w:szCs w:val="20"/>
                <w:color w:val="auto"/>
              </w:rPr>
            </w:pPr>
            <w:r>
              <w:rPr>
                <w:rFonts w:ascii="Times New Roman" w:cs="Times New Roman" w:eastAsia="Times New Roman" w:hAnsi="Times New Roman"/>
                <w:sz w:val="14"/>
                <w:szCs w:val="14"/>
                <w:b w:val="1"/>
                <w:bCs w:val="1"/>
                <w:color w:val="auto"/>
                <w:w w:val="91"/>
              </w:rPr>
              <w:t>thousands)</w:t>
            </w: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34"/>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Total cost of revenue</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314,259</w:t>
            </w:r>
          </w:p>
        </w:tc>
        <w:tc>
          <w:tcPr>
            <w:tcW w:w="22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258,857</w:t>
            </w:r>
          </w:p>
        </w:tc>
        <w:tc>
          <w:tcPr>
            <w:tcW w:w="2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55,402</w:t>
            </w: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21 %</w:t>
            </w:r>
          </w:p>
        </w:tc>
      </w:tr>
      <w:tr>
        <w:trPr>
          <w:trHeight w:val="245"/>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1,416,710</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1,041,801</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374,909</w:t>
            </w: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36 %</w:t>
            </w:r>
          </w:p>
        </w:tc>
      </w:tr>
      <w:tr>
        <w:trPr>
          <w:trHeight w:val="250"/>
        </w:trPr>
        <w:tc>
          <w:tcPr>
            <w:tcW w:w="5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24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82 %</w:t>
            </w:r>
          </w:p>
        </w:tc>
        <w:tc>
          <w:tcPr>
            <w:tcW w:w="26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80 %</w:t>
            </w:r>
          </w:p>
        </w:tc>
        <w:tc>
          <w:tcPr>
            <w:tcW w:w="160" w:type="dxa"/>
            <w:vAlign w:val="bottom"/>
            <w:shd w:val="clear" w:color="auto" w:fill="CFF0FC"/>
          </w:tcPr>
          <w:p>
            <w:pPr>
              <w:spacing w:after="0"/>
              <w:rPr>
                <w:sz w:val="21"/>
                <w:szCs w:val="21"/>
                <w:color w:val="auto"/>
              </w:rPr>
            </w:pPr>
          </w:p>
        </w:tc>
        <w:tc>
          <w:tcPr>
            <w:tcW w:w="7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7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wp:posOffset>
            </wp:positionH>
            <wp:positionV relativeFrom="paragraph">
              <wp:posOffset>-462280</wp:posOffset>
            </wp:positionV>
            <wp:extent cx="6489065" cy="15430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489065" cy="154305"/>
                    </a:xfrm>
                    <a:prstGeom prst="rect">
                      <a:avLst/>
                    </a:prstGeom>
                    <a:noFill/>
                  </pic:spPr>
                </pic:pic>
              </a:graphicData>
            </a:graphic>
          </wp:anchor>
        </w:drawing>
      </w:r>
    </w:p>
    <w:p>
      <w:pPr>
        <w:spacing w:after="0" w:line="151" w:lineRule="exact"/>
        <w:rPr>
          <w:sz w:val="20"/>
          <w:szCs w:val="20"/>
          <w:color w:val="auto"/>
        </w:rPr>
      </w:pPr>
    </w:p>
    <w:p>
      <w:pPr>
        <w:ind w:right="180" w:firstLine="509"/>
        <w:spacing w:after="0" w:line="266" w:lineRule="auto"/>
        <w:rPr>
          <w:sz w:val="20"/>
          <w:szCs w:val="20"/>
          <w:color w:val="auto"/>
        </w:rPr>
      </w:pPr>
      <w:r>
        <w:rPr>
          <w:rFonts w:ascii="Times New Roman" w:cs="Times New Roman" w:eastAsia="Times New Roman" w:hAnsi="Times New Roman"/>
          <w:sz w:val="18"/>
          <w:szCs w:val="18"/>
          <w:color w:val="auto"/>
        </w:rPr>
        <w:t>Total cost of revenue increased during 2022 primarily due to an increase in subscription and hosting costs, employee-related costs, amortization of capitalized software development costs, amortization of acquired technology, offset by a decrease in allocated overhead expenses. The increase in gross margin was primarily driven by benefits from hosting cost efficiencies from infrastructure optimization efforts.</w:t>
      </w:r>
    </w:p>
    <w:p>
      <w:pPr>
        <w:spacing w:after="0" w:line="183" w:lineRule="exact"/>
        <w:rPr>
          <w:sz w:val="20"/>
          <w:szCs w:val="20"/>
          <w:color w:val="auto"/>
        </w:rPr>
      </w:pPr>
    </w:p>
    <w:tbl>
      <w:tblPr>
        <w:tblLayout w:type="fixed"/>
        <w:tblInd w:w="580" w:type="dxa"/>
        <w:tblCellMar>
          <w:top w:w="0" w:type="dxa"/>
          <w:left w:w="0" w:type="dxa"/>
          <w:bottom w:w="0" w:type="dxa"/>
          <w:right w:w="0" w:type="dxa"/>
        </w:tblCellMar>
      </w:tblPr>
      <w:tr>
        <w:trPr>
          <w:trHeight w:val="187"/>
        </w:trPr>
        <w:tc>
          <w:tcPr>
            <w:tcW w:w="5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380" w:type="dxa"/>
            <w:vAlign w:val="bottom"/>
            <w:gridSpan w:val="5"/>
          </w:tcPr>
          <w:p>
            <w:pPr>
              <w:jc w:val="right"/>
              <w:ind w:right="548"/>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60" w:type="dxa"/>
            <w:vAlign w:val="bottom"/>
          </w:tcPr>
          <w:p>
            <w:pPr>
              <w:spacing w:after="0"/>
              <w:rPr>
                <w:sz w:val="16"/>
                <w:szCs w:val="16"/>
                <w:color w:val="auto"/>
              </w:rPr>
            </w:pPr>
          </w:p>
        </w:tc>
        <w:tc>
          <w:tcPr>
            <w:tcW w:w="1300" w:type="dxa"/>
            <w:vAlign w:val="bottom"/>
            <w:gridSpan w:val="3"/>
          </w:tcPr>
          <w:p>
            <w:pPr>
              <w:ind w:left="7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69"/>
        </w:trPr>
        <w:tc>
          <w:tcPr>
            <w:tcW w:w="5160" w:type="dxa"/>
            <w:vAlign w:val="bottom"/>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860" w:type="dxa"/>
            <w:vAlign w:val="bottom"/>
            <w:tcBorders>
              <w:top w:val="single" w:sz="8" w:color="auto"/>
              <w:bottom w:val="single" w:sz="8" w:color="auto"/>
            </w:tcBorders>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Borders>
              <w:top w:val="single" w:sz="8" w:color="auto"/>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860" w:type="dxa"/>
            <w:vAlign w:val="bottom"/>
            <w:tcBorders>
              <w:top w:val="single" w:sz="8" w:color="auto"/>
              <w:bottom w:val="single" w:sz="8" w:color="auto"/>
            </w:tcBorders>
          </w:tcPr>
          <w:p>
            <w:pPr>
              <w:jc w:val="right"/>
              <w:ind w:right="319"/>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0" w:type="dxa"/>
            <w:vAlign w:val="bottom"/>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760" w:type="dxa"/>
            <w:vAlign w:val="bottom"/>
            <w:tcBorders>
              <w:top w:val="single" w:sz="8" w:color="auto"/>
              <w:bottom w:val="single" w:sz="8" w:color="auto"/>
            </w:tcBorders>
          </w:tcPr>
          <w:p>
            <w:pPr>
              <w:jc w:val="right"/>
              <w:ind w:right="122"/>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0" w:type="dxa"/>
            <w:vAlign w:val="bottom"/>
            <w:tcBorders>
              <w:top w:val="single" w:sz="8" w:color="auto"/>
            </w:tcBorders>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740" w:type="dxa"/>
            <w:vAlign w:val="bottom"/>
            <w:tcBorders>
              <w:top w:val="single" w:sz="8" w:color="auto"/>
              <w:bottom w:val="single" w:sz="8" w:color="auto"/>
            </w:tcBorders>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9"/>
        </w:trPr>
        <w:tc>
          <w:tcPr>
            <w:tcW w:w="5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(dollars in</w:t>
            </w:r>
          </w:p>
        </w:tc>
        <w:tc>
          <w:tcPr>
            <w:tcW w:w="1120" w:type="dxa"/>
            <w:vAlign w:val="bottom"/>
            <w:gridSpan w:val="3"/>
          </w:tcPr>
          <w:p>
            <w:pPr>
              <w:jc w:val="right"/>
              <w:ind w:right="402"/>
              <w:spacing w:after="0"/>
              <w:rPr>
                <w:sz w:val="20"/>
                <w:szCs w:val="20"/>
                <w:color w:val="auto"/>
              </w:rPr>
            </w:pPr>
            <w:r>
              <w:rPr>
                <w:rFonts w:ascii="Times New Roman" w:cs="Times New Roman" w:eastAsia="Times New Roman" w:hAnsi="Times New Roman"/>
                <w:sz w:val="14"/>
                <w:szCs w:val="14"/>
                <w:b w:val="1"/>
                <w:bCs w:val="1"/>
                <w:color w:val="auto"/>
                <w:w w:val="94"/>
              </w:rPr>
              <w:t>thousands)</w:t>
            </w: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34"/>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Subscription cost of revenue</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257,513</w:t>
            </w:r>
          </w:p>
        </w:tc>
        <w:tc>
          <w:tcPr>
            <w:tcW w:w="20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211,132</w:t>
            </w:r>
          </w:p>
        </w:tc>
        <w:tc>
          <w:tcPr>
            <w:tcW w:w="2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46,381</w:t>
            </w: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22 %</w:t>
            </w:r>
          </w:p>
        </w:tc>
      </w:tr>
      <w:tr>
        <w:trPr>
          <w:trHeight w:val="238"/>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Percentage of subscription revenue</w:t>
            </w:r>
          </w:p>
        </w:tc>
        <w:tc>
          <w:tcPr>
            <w:tcW w:w="260" w:type="dxa"/>
            <w:vAlign w:val="bottom"/>
          </w:tcPr>
          <w:p>
            <w:pPr>
              <w:spacing w:after="0"/>
              <w:rPr>
                <w:sz w:val="20"/>
                <w:szCs w:val="20"/>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15 %</w:t>
            </w:r>
          </w:p>
        </w:tc>
        <w:tc>
          <w:tcPr>
            <w:tcW w:w="260" w:type="dxa"/>
            <w:vAlign w:val="bottom"/>
          </w:tcPr>
          <w:p>
            <w:pPr>
              <w:spacing w:after="0"/>
              <w:rPr>
                <w:sz w:val="20"/>
                <w:szCs w:val="20"/>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17 %</w:t>
            </w: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-299720</wp:posOffset>
            </wp:positionV>
            <wp:extent cx="6412230" cy="15430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412230" cy="154305"/>
                    </a:xfrm>
                    <a:prstGeom prst="rect">
                      <a:avLst/>
                    </a:prstGeom>
                    <a:noFill/>
                  </pic:spPr>
                </pic:pic>
              </a:graphicData>
            </a:graphic>
          </wp:anchor>
        </w:drawing>
      </w:r>
    </w:p>
    <w:p>
      <w:pPr>
        <w:spacing w:after="0" w:line="151" w:lineRule="exact"/>
        <w:rPr>
          <w:sz w:val="20"/>
          <w:szCs w:val="20"/>
          <w:color w:val="auto"/>
        </w:rPr>
      </w:pPr>
    </w:p>
    <w:p>
      <w:pPr>
        <w:ind w:right="220" w:firstLine="509"/>
        <w:spacing w:after="0" w:line="282" w:lineRule="auto"/>
        <w:rPr>
          <w:sz w:val="20"/>
          <w:szCs w:val="20"/>
          <w:color w:val="auto"/>
        </w:rPr>
      </w:pPr>
      <w:r>
        <w:rPr>
          <w:rFonts w:ascii="Times New Roman" w:cs="Times New Roman" w:eastAsia="Times New Roman" w:hAnsi="Times New Roman"/>
          <w:sz w:val="18"/>
          <w:szCs w:val="18"/>
          <w:color w:val="auto"/>
        </w:rPr>
        <w:t>The increase in subscription cost of revenue for the year ended December 31, 2022 compared to the year ended December 31, 2021 was primarily due to the following:</w:t>
      </w:r>
    </w:p>
    <w:p>
      <w:pPr>
        <w:spacing w:after="0" w:line="169" w:lineRule="exact"/>
        <w:rPr>
          <w:sz w:val="20"/>
          <w:szCs w:val="20"/>
          <w:color w:val="auto"/>
        </w:rPr>
      </w:pPr>
    </w:p>
    <w:tbl>
      <w:tblPr>
        <w:tblLayout w:type="fixed"/>
        <w:tblInd w:w="2260" w:type="dxa"/>
        <w:tblCellMar>
          <w:top w:w="0" w:type="dxa"/>
          <w:left w:w="0" w:type="dxa"/>
          <w:bottom w:w="0" w:type="dxa"/>
          <w:right w:w="0" w:type="dxa"/>
        </w:tblCellMar>
      </w:tblPr>
      <w:tr>
        <w:trPr>
          <w:trHeight w:val="187"/>
        </w:trPr>
        <w:tc>
          <w:tcPr>
            <w:tcW w:w="5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169"/>
        </w:trPr>
        <w:tc>
          <w:tcPr>
            <w:tcW w:w="55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 w:type="dxa"/>
            <w:vAlign w:val="bottom"/>
          </w:tcPr>
          <w:p>
            <w:pPr>
              <w:spacing w:after="0"/>
              <w:rPr>
                <w:sz w:val="14"/>
                <w:szCs w:val="14"/>
                <w:color w:val="auto"/>
              </w:rPr>
            </w:pPr>
          </w:p>
        </w:tc>
      </w:tr>
      <w:tr>
        <w:trPr>
          <w:trHeight w:val="243"/>
        </w:trPr>
        <w:tc>
          <w:tcPr>
            <w:tcW w:w="5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Subscription and hosting costs</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27,451</w:t>
            </w:r>
          </w:p>
        </w:tc>
        <w:tc>
          <w:tcPr>
            <w:tcW w:w="20" w:type="dxa"/>
            <w:vAlign w:val="bottom"/>
          </w:tcPr>
          <w:p>
            <w:pPr>
              <w:spacing w:after="0"/>
              <w:rPr>
                <w:sz w:val="21"/>
                <w:szCs w:val="21"/>
                <w:color w:val="auto"/>
              </w:rPr>
            </w:pPr>
          </w:p>
        </w:tc>
      </w:tr>
      <w:tr>
        <w:trPr>
          <w:trHeight w:val="239"/>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Employee-related costs</w:t>
            </w:r>
          </w:p>
        </w:tc>
        <w:tc>
          <w:tcPr>
            <w:tcW w:w="1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9,850</w:t>
            </w:r>
          </w:p>
        </w:tc>
        <w:tc>
          <w:tcPr>
            <w:tcW w:w="20" w:type="dxa"/>
            <w:vAlign w:val="bottom"/>
          </w:tcPr>
          <w:p>
            <w:pPr>
              <w:spacing w:after="0"/>
              <w:rPr>
                <w:sz w:val="20"/>
                <w:szCs w:val="20"/>
                <w:color w:val="auto"/>
              </w:rPr>
            </w:pPr>
          </w:p>
        </w:tc>
      </w:tr>
      <w:tr>
        <w:trPr>
          <w:trHeight w:val="247"/>
        </w:trPr>
        <w:tc>
          <w:tcPr>
            <w:tcW w:w="5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Amortization of capitalized software development costs</w:t>
            </w:r>
          </w:p>
        </w:tc>
        <w:tc>
          <w:tcPr>
            <w:tcW w:w="120" w:type="dxa"/>
            <w:vAlign w:val="bottom"/>
            <w:shd w:val="clear" w:color="auto" w:fill="CFF0FC"/>
          </w:tcPr>
          <w:p>
            <w:pPr>
              <w:spacing w:after="0"/>
              <w:rPr>
                <w:sz w:val="21"/>
                <w:szCs w:val="21"/>
                <w:color w:val="auto"/>
              </w:rPr>
            </w:pPr>
          </w:p>
        </w:tc>
        <w:tc>
          <w:tcPr>
            <w:tcW w:w="11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9,068</w:t>
            </w:r>
          </w:p>
        </w:tc>
        <w:tc>
          <w:tcPr>
            <w:tcW w:w="20" w:type="dxa"/>
            <w:vAlign w:val="bottom"/>
          </w:tcPr>
          <w:p>
            <w:pPr>
              <w:spacing w:after="0"/>
              <w:rPr>
                <w:sz w:val="21"/>
                <w:szCs w:val="21"/>
                <w:color w:val="auto"/>
              </w:rPr>
            </w:pPr>
          </w:p>
        </w:tc>
      </w:tr>
      <w:tr>
        <w:trPr>
          <w:trHeight w:val="234"/>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acquired technology</w:t>
            </w:r>
          </w:p>
        </w:tc>
        <w:tc>
          <w:tcPr>
            <w:tcW w:w="1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20" w:type="dxa"/>
            <w:vAlign w:val="bottom"/>
          </w:tcPr>
          <w:p>
            <w:pPr>
              <w:spacing w:after="0"/>
              <w:rPr>
                <w:sz w:val="20"/>
                <w:szCs w:val="20"/>
                <w:color w:val="auto"/>
              </w:rPr>
            </w:pPr>
          </w:p>
        </w:tc>
      </w:tr>
      <w:tr>
        <w:trPr>
          <w:trHeight w:val="252"/>
        </w:trPr>
        <w:tc>
          <w:tcPr>
            <w:tcW w:w="5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Allocated overhead expenses</w:t>
            </w:r>
          </w:p>
        </w:tc>
        <w:tc>
          <w:tcPr>
            <w:tcW w:w="120" w:type="dxa"/>
            <w:vAlign w:val="bottom"/>
            <w:shd w:val="clear" w:color="auto" w:fill="CFF0FC"/>
          </w:tcPr>
          <w:p>
            <w:pPr>
              <w:spacing w:after="0"/>
              <w:rPr>
                <w:sz w:val="21"/>
                <w:szCs w:val="21"/>
                <w:color w:val="auto"/>
              </w:rPr>
            </w:pPr>
          </w:p>
        </w:tc>
        <w:tc>
          <w:tcPr>
            <w:tcW w:w="11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(255 )</w:t>
            </w:r>
          </w:p>
        </w:tc>
        <w:tc>
          <w:tcPr>
            <w:tcW w:w="20" w:type="dxa"/>
            <w:vAlign w:val="bottom"/>
          </w:tcPr>
          <w:p>
            <w:pPr>
              <w:spacing w:after="0"/>
              <w:rPr>
                <w:sz w:val="21"/>
                <w:szCs w:val="21"/>
                <w:color w:val="auto"/>
              </w:rPr>
            </w:pPr>
          </w:p>
        </w:tc>
      </w:tr>
      <w:tr>
        <w:trPr>
          <w:trHeight w:val="232"/>
        </w:trPr>
        <w:tc>
          <w:tcPr>
            <w:tcW w:w="5520" w:type="dxa"/>
            <w:vAlign w:val="bottom"/>
            <w:tcBorders>
              <w:top w:val="single" w:sz="8" w:color="CFF0FC"/>
            </w:tcBorders>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46,381</w:t>
            </w:r>
          </w:p>
        </w:tc>
        <w:tc>
          <w:tcPr>
            <w:tcW w:w="20" w:type="dxa"/>
            <w:vAlign w:val="bottom"/>
          </w:tcPr>
          <w:p>
            <w:pPr>
              <w:spacing w:after="0"/>
              <w:rPr>
                <w:sz w:val="20"/>
                <w:szCs w:val="20"/>
                <w:color w:val="auto"/>
              </w:rPr>
            </w:pPr>
          </w:p>
        </w:tc>
      </w:tr>
      <w:tr>
        <w:trPr>
          <w:trHeight w:val="20"/>
        </w:trPr>
        <w:tc>
          <w:tcPr>
            <w:tcW w:w="55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5680075</wp:posOffset>
            </wp:positionH>
            <wp:positionV relativeFrom="paragraph">
              <wp:posOffset>-187960</wp:posOffset>
            </wp:positionV>
            <wp:extent cx="3429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137"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Subscription and hosting costs increased primarily due to growth in our Customer base from 135,442 at December 31, 2021 to 167,386 at December 31, 2022. We also saw higher subscription and hosting costs as we launched an additional data center in the third quarter of 2021 and continued to focus on the security, reliability and performance of our customer platform. Employee-related costs increased as a result of increased headcount as we grew our customer support organization to support our customer growth and improve service levels and offerings. Amortization of capitalized software development costs increased due to the increased number of developers working on our software platform as we continued to develop new products and increased functionality. Amortization of acquired technology increased due to certain acquired technology being amortized using a method reflective of the expected economic benefit consumption over the expected useful life of the asset. Allocated overhead expenses decreased primarily due to the reduction of our leased office space.</w:t>
      </w:r>
    </w:p>
    <w:p>
      <w:pPr>
        <w:spacing w:after="0" w:line="388" w:lineRule="exact"/>
        <w:rPr>
          <w:sz w:val="20"/>
          <w:szCs w:val="20"/>
          <w:color w:val="auto"/>
        </w:rPr>
      </w:pPr>
    </w:p>
    <w:tbl>
      <w:tblPr>
        <w:tblLayout w:type="fixed"/>
        <w:tblInd w:w="580" w:type="dxa"/>
        <w:tblCellMar>
          <w:top w:w="0" w:type="dxa"/>
          <w:left w:w="0" w:type="dxa"/>
          <w:bottom w:w="0" w:type="dxa"/>
          <w:right w:w="0" w:type="dxa"/>
        </w:tblCellMar>
      </w:tblPr>
      <w:tr>
        <w:trPr>
          <w:trHeight w:val="187"/>
        </w:trPr>
        <w:tc>
          <w:tcPr>
            <w:tcW w:w="5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380" w:type="dxa"/>
            <w:vAlign w:val="bottom"/>
            <w:gridSpan w:val="5"/>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60" w:type="dxa"/>
            <w:vAlign w:val="bottom"/>
          </w:tcPr>
          <w:p>
            <w:pPr>
              <w:spacing w:after="0"/>
              <w:rPr>
                <w:sz w:val="16"/>
                <w:szCs w:val="16"/>
                <w:color w:val="auto"/>
              </w:rPr>
            </w:pPr>
          </w:p>
        </w:tc>
        <w:tc>
          <w:tcPr>
            <w:tcW w:w="1320" w:type="dxa"/>
            <w:vAlign w:val="bottom"/>
            <w:gridSpan w:val="3"/>
          </w:tcPr>
          <w:p>
            <w:pPr>
              <w:ind w:left="7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69"/>
        </w:trPr>
        <w:tc>
          <w:tcPr>
            <w:tcW w:w="5160" w:type="dxa"/>
            <w:vAlign w:val="bottom"/>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860" w:type="dxa"/>
            <w:vAlign w:val="bottom"/>
            <w:tcBorders>
              <w:top w:val="single" w:sz="8" w:color="auto"/>
              <w:bottom w:val="single" w:sz="8" w:color="auto"/>
            </w:tcBorders>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Borders>
              <w:top w:val="single" w:sz="8" w:color="auto"/>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860" w:type="dxa"/>
            <w:vAlign w:val="bottom"/>
            <w:tcBorders>
              <w:top w:val="single" w:sz="8" w:color="auto"/>
              <w:bottom w:val="single" w:sz="8" w:color="auto"/>
            </w:tcBorders>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2021</w:t>
            </w:r>
          </w:p>
        </w:tc>
        <w:tc>
          <w:tcPr>
            <w:tcW w:w="180" w:type="dxa"/>
            <w:vAlign w:val="bottom"/>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780" w:type="dxa"/>
            <w:vAlign w:val="bottom"/>
            <w:tcBorders>
              <w:top w:val="single" w:sz="8" w:color="auto"/>
              <w:bottom w:val="single" w:sz="8" w:color="auto"/>
            </w:tcBorders>
          </w:tcPr>
          <w:p>
            <w:pPr>
              <w:jc w:val="right"/>
              <w:ind w:right="142"/>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0" w:type="dxa"/>
            <w:vAlign w:val="bottom"/>
            <w:tcBorders>
              <w:top w:val="single" w:sz="8" w:color="auto"/>
            </w:tcBorders>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740" w:type="dxa"/>
            <w:vAlign w:val="bottom"/>
            <w:tcBorders>
              <w:top w:val="single" w:sz="8" w:color="auto"/>
              <w:bottom w:val="single" w:sz="8" w:color="auto"/>
            </w:tcBorders>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9"/>
        </w:trPr>
        <w:tc>
          <w:tcPr>
            <w:tcW w:w="5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(dollars in</w:t>
            </w:r>
          </w:p>
        </w:tc>
        <w:tc>
          <w:tcPr>
            <w:tcW w:w="1120" w:type="dxa"/>
            <w:vAlign w:val="bottom"/>
            <w:gridSpan w:val="3"/>
          </w:tcPr>
          <w:p>
            <w:pPr>
              <w:jc w:val="right"/>
              <w:ind w:right="402"/>
              <w:spacing w:after="0"/>
              <w:rPr>
                <w:sz w:val="20"/>
                <w:szCs w:val="20"/>
                <w:color w:val="auto"/>
              </w:rPr>
            </w:pPr>
            <w:r>
              <w:rPr>
                <w:rFonts w:ascii="Times New Roman" w:cs="Times New Roman" w:eastAsia="Times New Roman" w:hAnsi="Times New Roman"/>
                <w:sz w:val="14"/>
                <w:szCs w:val="14"/>
                <w:b w:val="1"/>
                <w:bCs w:val="1"/>
                <w:color w:val="auto"/>
                <w:w w:val="94"/>
              </w:rPr>
              <w:t>thousands)</w:t>
            </w: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34"/>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Professional services and other cost of revenue</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56,746</w:t>
            </w:r>
          </w:p>
        </w:tc>
        <w:tc>
          <w:tcPr>
            <w:tcW w:w="22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47,725</w:t>
            </w:r>
          </w:p>
        </w:tc>
        <w:tc>
          <w:tcPr>
            <w:tcW w:w="18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9,021</w:t>
            </w: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19 %</w:t>
            </w:r>
          </w:p>
        </w:tc>
      </w:tr>
      <w:tr>
        <w:trPr>
          <w:trHeight w:val="238"/>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Percentage of professional services and other revenue</w:t>
            </w:r>
          </w:p>
        </w:tc>
        <w:tc>
          <w:tcPr>
            <w:tcW w:w="240" w:type="dxa"/>
            <w:vAlign w:val="bottom"/>
          </w:tcPr>
          <w:p>
            <w:pPr>
              <w:spacing w:after="0"/>
              <w:rPr>
                <w:sz w:val="20"/>
                <w:szCs w:val="20"/>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140 %</w:t>
            </w:r>
          </w:p>
        </w:tc>
        <w:tc>
          <w:tcPr>
            <w:tcW w:w="26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113 %</w:t>
            </w: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-299720</wp:posOffset>
            </wp:positionV>
            <wp:extent cx="6412230" cy="15430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412230" cy="154305"/>
                    </a:xfrm>
                    <a:prstGeom prst="rect">
                      <a:avLst/>
                    </a:prstGeom>
                    <a:noFill/>
                  </pic:spPr>
                </pic:pic>
              </a:graphicData>
            </a:graphic>
          </wp:anchor>
        </w:drawing>
      </w:r>
    </w:p>
    <w:p>
      <w:pPr>
        <w:spacing w:after="0" w:line="151" w:lineRule="exact"/>
        <w:rPr>
          <w:sz w:val="20"/>
          <w:szCs w:val="20"/>
          <w:color w:val="auto"/>
        </w:rPr>
      </w:pPr>
    </w:p>
    <w:p>
      <w:pPr>
        <w:ind w:right="320" w:firstLine="509"/>
        <w:spacing w:after="0" w:line="282" w:lineRule="auto"/>
        <w:rPr>
          <w:sz w:val="20"/>
          <w:szCs w:val="20"/>
          <w:color w:val="auto"/>
        </w:rPr>
      </w:pPr>
      <w:r>
        <w:rPr>
          <w:rFonts w:ascii="Times New Roman" w:cs="Times New Roman" w:eastAsia="Times New Roman" w:hAnsi="Times New Roman"/>
          <w:sz w:val="18"/>
          <w:szCs w:val="18"/>
          <w:color w:val="auto"/>
        </w:rPr>
        <w:t>The increase in professional services and other cost of revenue for the year ended December 31, 2022 compared to the year ended December 31, 2021 was primarily due to the following:</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260" w:type="dxa"/>
            <w:vAlign w:val="bottom"/>
          </w:tcPr>
          <w:p>
            <w:pPr>
              <w:spacing w:after="0"/>
              <w:rPr>
                <w:sz w:val="16"/>
                <w:szCs w:val="16"/>
                <w:color w:val="auto"/>
              </w:rPr>
            </w:pPr>
          </w:p>
        </w:tc>
        <w:tc>
          <w:tcPr>
            <w:tcW w:w="306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96"/>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226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320" w:type="dxa"/>
            <w:vAlign w:val="bottom"/>
            <w:gridSpan w:val="2"/>
          </w:tcPr>
          <w:p>
            <w:pPr>
              <w:jc w:val="center"/>
              <w:ind w:right="24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43"/>
        </w:trPr>
        <w:tc>
          <w:tcPr>
            <w:tcW w:w="2260" w:type="dxa"/>
            <w:vAlign w:val="bottom"/>
          </w:tcPr>
          <w:p>
            <w:pPr>
              <w:spacing w:after="0"/>
              <w:rPr>
                <w:sz w:val="21"/>
                <w:szCs w:val="21"/>
                <w:color w:val="auto"/>
              </w:rPr>
            </w:pPr>
          </w:p>
        </w:tc>
        <w:tc>
          <w:tcPr>
            <w:tcW w:w="3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Employee-related costs</w:t>
            </w:r>
          </w:p>
        </w:tc>
        <w:tc>
          <w:tcPr>
            <w:tcW w:w="26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8,197</w:t>
            </w:r>
          </w:p>
        </w:tc>
        <w:tc>
          <w:tcPr>
            <w:tcW w:w="2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2260" w:type="dxa"/>
            <w:vAlign w:val="bottom"/>
          </w:tcPr>
          <w:p>
            <w:pPr>
              <w:spacing w:after="0"/>
              <w:rPr>
                <w:sz w:val="20"/>
                <w:szCs w:val="20"/>
                <w:color w:val="auto"/>
              </w:rPr>
            </w:pPr>
          </w:p>
        </w:tc>
        <w:tc>
          <w:tcPr>
            <w:tcW w:w="3060" w:type="dxa"/>
            <w:vAlign w:val="bottom"/>
          </w:tcPr>
          <w:p>
            <w:pPr>
              <w:spacing w:after="0"/>
              <w:rPr>
                <w:sz w:val="20"/>
                <w:szCs w:val="20"/>
                <w:color w:val="auto"/>
              </w:rPr>
            </w:pPr>
            <w:r>
              <w:rPr>
                <w:rFonts w:ascii="Times New Roman" w:cs="Times New Roman" w:eastAsia="Times New Roman" w:hAnsi="Times New Roman"/>
                <w:sz w:val="18"/>
                <w:szCs w:val="18"/>
                <w:color w:val="auto"/>
              </w:rPr>
              <w:t>Allocated overhead and other expenses</w:t>
            </w:r>
          </w:p>
        </w:tc>
        <w:tc>
          <w:tcPr>
            <w:tcW w:w="2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1,707</w:t>
            </w:r>
          </w:p>
        </w:tc>
        <w:tc>
          <w:tcPr>
            <w:tcW w:w="2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2260" w:type="dxa"/>
            <w:vAlign w:val="bottom"/>
          </w:tcPr>
          <w:p>
            <w:pPr>
              <w:spacing w:after="0"/>
              <w:rPr>
                <w:sz w:val="21"/>
                <w:szCs w:val="21"/>
                <w:color w:val="auto"/>
              </w:rPr>
            </w:pPr>
          </w:p>
        </w:tc>
        <w:tc>
          <w:tcPr>
            <w:tcW w:w="3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Professional fees</w:t>
            </w:r>
          </w:p>
        </w:tc>
        <w:tc>
          <w:tcPr>
            <w:tcW w:w="25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8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(883 )</w:t>
            </w:r>
          </w:p>
        </w:tc>
        <w:tc>
          <w:tcPr>
            <w:tcW w:w="2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260" w:type="dxa"/>
            <w:vAlign w:val="bottom"/>
          </w:tcPr>
          <w:p>
            <w:pPr>
              <w:spacing w:after="0" w:line="20" w:lineRule="exact"/>
              <w:rPr>
                <w:sz w:val="1"/>
                <w:szCs w:val="1"/>
                <w:color w:val="auto"/>
              </w:rPr>
            </w:pPr>
          </w:p>
        </w:tc>
        <w:tc>
          <w:tcPr>
            <w:tcW w:w="3060" w:type="dxa"/>
            <w:vAlign w:val="bottom"/>
            <w:shd w:val="clear" w:color="auto" w:fill="CFF0FC"/>
          </w:tcPr>
          <w:p>
            <w:pPr>
              <w:spacing w:after="0" w:line="20" w:lineRule="exact"/>
              <w:rPr>
                <w:sz w:val="1"/>
                <w:szCs w:val="1"/>
                <w:color w:val="auto"/>
              </w:rPr>
            </w:pPr>
          </w:p>
        </w:tc>
        <w:tc>
          <w:tcPr>
            <w:tcW w:w="25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80" w:type="dxa"/>
            <w:vAlign w:val="bottom"/>
            <w:tcBorders>
              <w:right w:val="single" w:sz="8" w:color="CFF0FC"/>
            </w:tcBorders>
            <w:shd w:val="clear" w:color="auto" w:fill="000000"/>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26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2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9,021</w:t>
            </w:r>
          </w:p>
        </w:tc>
        <w:tc>
          <w:tcPr>
            <w:tcW w:w="2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26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2500" w:type="dxa"/>
            <w:vAlign w:val="bottom"/>
            <w:vMerge w:val="restart"/>
          </w:tcPr>
          <w:p>
            <w:pPr>
              <w:jc w:val="right"/>
              <w:ind w:right="2010"/>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5"/>
        </w:trPr>
        <w:tc>
          <w:tcPr>
            <w:tcW w:w="226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25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2260" w:type="dxa"/>
            <w:vAlign w:val="bottom"/>
            <w:tcBorders>
              <w:bottom w:val="single" w:sz="8" w:color="9A9A9A"/>
            </w:tcBorders>
          </w:tcPr>
          <w:p>
            <w:pPr>
              <w:spacing w:after="0"/>
              <w:rPr>
                <w:sz w:val="24"/>
                <w:szCs w:val="24"/>
                <w:color w:val="auto"/>
              </w:rPr>
            </w:pPr>
          </w:p>
        </w:tc>
        <w:tc>
          <w:tcPr>
            <w:tcW w:w="3060" w:type="dxa"/>
            <w:vAlign w:val="bottom"/>
            <w:tcBorders>
              <w:bottom w:val="single" w:sz="8" w:color="9A9A9A"/>
            </w:tcBorders>
          </w:tcPr>
          <w:p>
            <w:pPr>
              <w:spacing w:after="0"/>
              <w:rPr>
                <w:sz w:val="24"/>
                <w:szCs w:val="24"/>
                <w:color w:val="auto"/>
              </w:rPr>
            </w:pPr>
          </w:p>
        </w:tc>
        <w:tc>
          <w:tcPr>
            <w:tcW w:w="25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22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5680075</wp:posOffset>
            </wp:positionH>
            <wp:positionV relativeFrom="paragraph">
              <wp:posOffset>-1096645</wp:posOffset>
            </wp:positionV>
            <wp:extent cx="3429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57" w:right="339" w:bottom="1440" w:gutter="0" w:footer="0" w:header="0"/>
        </w:sectPr>
      </w:pPr>
    </w:p>
    <w:bookmarkStart w:id="57" w:name="page58"/>
    <w:bookmarkEnd w:id="57"/>
    <w:p>
      <w:pPr>
        <w:ind w:right="420" w:firstLine="509"/>
        <w:spacing w:after="0" w:line="261" w:lineRule="auto"/>
        <w:rPr>
          <w:sz w:val="20"/>
          <w:szCs w:val="20"/>
          <w:color w:val="auto"/>
        </w:rPr>
      </w:pPr>
      <w:r>
        <w:rPr>
          <w:rFonts w:ascii="Times New Roman" w:cs="Times New Roman" w:eastAsia="Times New Roman" w:hAnsi="Times New Roman"/>
          <w:sz w:val="18"/>
          <w:szCs w:val="18"/>
          <w:color w:val="auto"/>
        </w:rPr>
        <w:t>Employee-related costs increased as a result of increased headcount as we grew our professional services organization to support our customer growth. Allocated overhead and other expenses increased primarily due to increased costs associated with our service offerings, offset slightly by a decrease in expense from the reduction of our leased office space. Professional fees decreased due to a reduction in the use of third-party services and contractors.</w:t>
      </w:r>
    </w:p>
    <w:p>
      <w:pPr>
        <w:spacing w:after="0" w:line="14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200" w:lineRule="exact"/>
        <w:rPr>
          <w:sz w:val="20"/>
          <w:szCs w:val="20"/>
          <w:color w:val="auto"/>
        </w:rPr>
      </w:pPr>
    </w:p>
    <w:p>
      <w:pPr>
        <w:spacing w:after="0" w:line="212" w:lineRule="exact"/>
        <w:rPr>
          <w:sz w:val="20"/>
          <w:szCs w:val="20"/>
          <w:color w:val="auto"/>
        </w:rPr>
      </w:pPr>
    </w:p>
    <w:tbl>
      <w:tblPr>
        <w:tblLayout w:type="fixed"/>
        <w:tblInd w:w="580" w:type="dxa"/>
        <w:tblCellMar>
          <w:top w:w="0" w:type="dxa"/>
          <w:left w:w="0" w:type="dxa"/>
          <w:bottom w:w="0" w:type="dxa"/>
          <w:right w:w="0" w:type="dxa"/>
        </w:tblCellMar>
      </w:tblPr>
      <w:tr>
        <w:trPr>
          <w:trHeight w:val="187"/>
        </w:trPr>
        <w:tc>
          <w:tcPr>
            <w:tcW w:w="5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380" w:type="dxa"/>
            <w:vAlign w:val="bottom"/>
            <w:gridSpan w:val="5"/>
          </w:tcPr>
          <w:p>
            <w:pPr>
              <w:jc w:val="right"/>
              <w:ind w:right="548"/>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60" w:type="dxa"/>
            <w:vAlign w:val="bottom"/>
          </w:tcPr>
          <w:p>
            <w:pPr>
              <w:spacing w:after="0"/>
              <w:rPr>
                <w:sz w:val="16"/>
                <w:szCs w:val="16"/>
                <w:color w:val="auto"/>
              </w:rPr>
            </w:pPr>
          </w:p>
        </w:tc>
        <w:tc>
          <w:tcPr>
            <w:tcW w:w="1300" w:type="dxa"/>
            <w:vAlign w:val="bottom"/>
            <w:gridSpan w:val="3"/>
          </w:tcPr>
          <w:p>
            <w:pPr>
              <w:ind w:left="7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69"/>
        </w:trPr>
        <w:tc>
          <w:tcPr>
            <w:tcW w:w="5160" w:type="dxa"/>
            <w:vAlign w:val="bottom"/>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860" w:type="dxa"/>
            <w:vAlign w:val="bottom"/>
            <w:tcBorders>
              <w:top w:val="single" w:sz="8" w:color="auto"/>
              <w:bottom w:val="single" w:sz="8" w:color="auto"/>
            </w:tcBorders>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Borders>
              <w:top w:val="single" w:sz="8" w:color="auto"/>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860" w:type="dxa"/>
            <w:vAlign w:val="bottom"/>
            <w:tcBorders>
              <w:top w:val="single" w:sz="8" w:color="auto"/>
              <w:bottom w:val="single" w:sz="8" w:color="auto"/>
            </w:tcBorders>
          </w:tcPr>
          <w:p>
            <w:pPr>
              <w:jc w:val="right"/>
              <w:ind w:right="319"/>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0" w:type="dxa"/>
            <w:vAlign w:val="bottom"/>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760" w:type="dxa"/>
            <w:vAlign w:val="bottom"/>
            <w:tcBorders>
              <w:top w:val="single" w:sz="8" w:color="auto"/>
              <w:bottom w:val="single" w:sz="8" w:color="auto"/>
            </w:tcBorders>
          </w:tcPr>
          <w:p>
            <w:pPr>
              <w:jc w:val="right"/>
              <w:ind w:right="122"/>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0" w:type="dxa"/>
            <w:vAlign w:val="bottom"/>
            <w:tcBorders>
              <w:top w:val="single" w:sz="8" w:color="auto"/>
            </w:tcBorders>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740" w:type="dxa"/>
            <w:vAlign w:val="bottom"/>
            <w:tcBorders>
              <w:top w:val="single" w:sz="8" w:color="auto"/>
              <w:bottom w:val="single" w:sz="8" w:color="auto"/>
            </w:tcBorders>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9"/>
        </w:trPr>
        <w:tc>
          <w:tcPr>
            <w:tcW w:w="5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(dollars in</w:t>
            </w:r>
          </w:p>
        </w:tc>
        <w:tc>
          <w:tcPr>
            <w:tcW w:w="1120" w:type="dxa"/>
            <w:vAlign w:val="bottom"/>
            <w:gridSpan w:val="3"/>
          </w:tcPr>
          <w:p>
            <w:pPr>
              <w:jc w:val="right"/>
              <w:ind w:right="402"/>
              <w:spacing w:after="0"/>
              <w:rPr>
                <w:sz w:val="20"/>
                <w:szCs w:val="20"/>
                <w:color w:val="auto"/>
              </w:rPr>
            </w:pPr>
            <w:r>
              <w:rPr>
                <w:rFonts w:ascii="Times New Roman" w:cs="Times New Roman" w:eastAsia="Times New Roman" w:hAnsi="Times New Roman"/>
                <w:sz w:val="14"/>
                <w:szCs w:val="14"/>
                <w:b w:val="1"/>
                <w:bCs w:val="1"/>
                <w:color w:val="auto"/>
                <w:w w:val="94"/>
              </w:rPr>
              <w:t>thousands)</w:t>
            </w: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34"/>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442,022</w:t>
            </w:r>
          </w:p>
        </w:tc>
        <w:tc>
          <w:tcPr>
            <w:tcW w:w="20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301,970</w:t>
            </w:r>
          </w:p>
        </w:tc>
        <w:tc>
          <w:tcPr>
            <w:tcW w:w="2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140,052</w:t>
            </w: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46 %</w:t>
            </w:r>
          </w:p>
        </w:tc>
      </w:tr>
      <w:tr>
        <w:trPr>
          <w:trHeight w:val="238"/>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Percentage of total revenue</w:t>
            </w:r>
          </w:p>
        </w:tc>
        <w:tc>
          <w:tcPr>
            <w:tcW w:w="260" w:type="dxa"/>
            <w:vAlign w:val="bottom"/>
          </w:tcPr>
          <w:p>
            <w:pPr>
              <w:spacing w:after="0"/>
              <w:rPr>
                <w:sz w:val="20"/>
                <w:szCs w:val="20"/>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26 %</w:t>
            </w:r>
          </w:p>
        </w:tc>
        <w:tc>
          <w:tcPr>
            <w:tcW w:w="260" w:type="dxa"/>
            <w:vAlign w:val="bottom"/>
          </w:tcPr>
          <w:p>
            <w:pPr>
              <w:spacing w:after="0"/>
              <w:rPr>
                <w:sz w:val="20"/>
                <w:szCs w:val="20"/>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23 %</w:t>
            </w: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-299720</wp:posOffset>
            </wp:positionV>
            <wp:extent cx="6412230" cy="15430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412230" cy="154305"/>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ind w:right="420" w:firstLine="509"/>
        <w:spacing w:after="0" w:line="282" w:lineRule="auto"/>
        <w:rPr>
          <w:sz w:val="20"/>
          <w:szCs w:val="20"/>
          <w:color w:val="auto"/>
        </w:rPr>
      </w:pPr>
      <w:r>
        <w:rPr>
          <w:rFonts w:ascii="Times New Roman" w:cs="Times New Roman" w:eastAsia="Times New Roman" w:hAnsi="Times New Roman"/>
          <w:sz w:val="18"/>
          <w:szCs w:val="18"/>
          <w:color w:val="auto"/>
        </w:rPr>
        <w:t>The increase in research and development expense for the year ended December 31, 2022 compared to the year ended December 31, 2021 was primarily due to the following:</w:t>
      </w:r>
    </w:p>
    <w:p>
      <w:pPr>
        <w:spacing w:after="0" w:line="169" w:lineRule="exact"/>
        <w:rPr>
          <w:sz w:val="20"/>
          <w:szCs w:val="20"/>
          <w:color w:val="auto"/>
        </w:rPr>
      </w:pPr>
    </w:p>
    <w:tbl>
      <w:tblPr>
        <w:tblLayout w:type="fixed"/>
        <w:tblInd w:w="2260" w:type="dxa"/>
        <w:tblCellMar>
          <w:top w:w="0" w:type="dxa"/>
          <w:left w:w="0" w:type="dxa"/>
          <w:bottom w:w="0" w:type="dxa"/>
          <w:right w:w="0" w:type="dxa"/>
        </w:tblCellMar>
      </w:tblPr>
      <w:tr>
        <w:trPr>
          <w:trHeight w:val="187"/>
        </w:trPr>
        <w:tc>
          <w:tcPr>
            <w:tcW w:w="5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169"/>
        </w:trPr>
        <w:tc>
          <w:tcPr>
            <w:tcW w:w="556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 w:type="dxa"/>
            <w:vAlign w:val="bottom"/>
          </w:tcPr>
          <w:p>
            <w:pPr>
              <w:spacing w:after="0"/>
              <w:rPr>
                <w:sz w:val="14"/>
                <w:szCs w:val="14"/>
                <w:color w:val="auto"/>
              </w:rPr>
            </w:pPr>
          </w:p>
        </w:tc>
      </w:tr>
      <w:tr>
        <w:trPr>
          <w:trHeight w:val="243"/>
        </w:trPr>
        <w:tc>
          <w:tcPr>
            <w:tcW w:w="5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Employee-related costs</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140,524</w:t>
            </w:r>
          </w:p>
        </w:tc>
        <w:tc>
          <w:tcPr>
            <w:tcW w:w="20" w:type="dxa"/>
            <w:vAlign w:val="bottom"/>
          </w:tcPr>
          <w:p>
            <w:pPr>
              <w:spacing w:after="0"/>
              <w:rPr>
                <w:sz w:val="21"/>
                <w:szCs w:val="21"/>
                <w:color w:val="auto"/>
              </w:rPr>
            </w:pPr>
          </w:p>
        </w:tc>
      </w:tr>
      <w:tr>
        <w:trPr>
          <w:trHeight w:val="234"/>
        </w:trPr>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Allocated overhead expenses</w:t>
            </w:r>
          </w:p>
        </w:tc>
        <w:tc>
          <w:tcPr>
            <w:tcW w:w="1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4,151</w:t>
            </w:r>
          </w:p>
        </w:tc>
        <w:tc>
          <w:tcPr>
            <w:tcW w:w="20" w:type="dxa"/>
            <w:vAlign w:val="bottom"/>
          </w:tcPr>
          <w:p>
            <w:pPr>
              <w:spacing w:after="0"/>
              <w:rPr>
                <w:sz w:val="20"/>
                <w:szCs w:val="20"/>
                <w:color w:val="auto"/>
              </w:rPr>
            </w:pPr>
          </w:p>
        </w:tc>
      </w:tr>
      <w:tr>
        <w:trPr>
          <w:trHeight w:val="252"/>
        </w:trPr>
        <w:tc>
          <w:tcPr>
            <w:tcW w:w="5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Hosting expenses</w:t>
            </w:r>
          </w:p>
        </w:tc>
        <w:tc>
          <w:tcPr>
            <w:tcW w:w="100" w:type="dxa"/>
            <w:vAlign w:val="bottom"/>
            <w:shd w:val="clear" w:color="auto" w:fill="CFF0FC"/>
          </w:tcPr>
          <w:p>
            <w:pPr>
              <w:spacing w:after="0"/>
              <w:rPr>
                <w:sz w:val="21"/>
                <w:szCs w:val="21"/>
                <w:color w:val="auto"/>
              </w:rPr>
            </w:pPr>
          </w:p>
        </w:tc>
        <w:tc>
          <w:tcPr>
            <w:tcW w:w="108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(4,623 )</w:t>
            </w:r>
          </w:p>
        </w:tc>
        <w:tc>
          <w:tcPr>
            <w:tcW w:w="20" w:type="dxa"/>
            <w:vAlign w:val="bottom"/>
          </w:tcPr>
          <w:p>
            <w:pPr>
              <w:spacing w:after="0"/>
              <w:rPr>
                <w:sz w:val="21"/>
                <w:szCs w:val="21"/>
                <w:color w:val="auto"/>
              </w:rPr>
            </w:pPr>
          </w:p>
        </w:tc>
      </w:tr>
      <w:tr>
        <w:trPr>
          <w:trHeight w:val="232"/>
        </w:trPr>
        <w:tc>
          <w:tcPr>
            <w:tcW w:w="5560" w:type="dxa"/>
            <w:vAlign w:val="bottom"/>
            <w:tcBorders>
              <w:top w:val="single" w:sz="8" w:color="CFF0FC"/>
            </w:tcBorders>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140,052</w:t>
            </w:r>
          </w:p>
        </w:tc>
        <w:tc>
          <w:tcPr>
            <w:tcW w:w="20" w:type="dxa"/>
            <w:vAlign w:val="bottom"/>
          </w:tcPr>
          <w:p>
            <w:pPr>
              <w:spacing w:after="0"/>
              <w:rPr>
                <w:sz w:val="20"/>
                <w:szCs w:val="20"/>
                <w:color w:val="auto"/>
              </w:rPr>
            </w:pPr>
          </w:p>
        </w:tc>
      </w:tr>
      <w:tr>
        <w:trPr>
          <w:trHeight w:val="20"/>
        </w:trPr>
        <w:tc>
          <w:tcPr>
            <w:tcW w:w="55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5680075</wp:posOffset>
            </wp:positionH>
            <wp:positionV relativeFrom="paragraph">
              <wp:posOffset>-187960</wp:posOffset>
            </wp:positionV>
            <wp:extent cx="3429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34290" cy="8890"/>
                    </a:xfrm>
                    <a:prstGeom prst="rect">
                      <a:avLst/>
                    </a:prstGeom>
                    <a:noFill/>
                  </pic:spPr>
                </pic:pic>
              </a:graphicData>
            </a:graphic>
          </wp:anchor>
        </w:drawing>
      </w:r>
    </w:p>
    <w:p>
      <w:pPr>
        <w:spacing w:after="0" w:line="353"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Employee-related costs increased as a result of increased headcount as we continued to grow our engineering organization to develop new products, increase functionality and to maintain our existing customer platform. Allocated overhead expenses increased due to an increase in shared company expenses associated with our systems and infrastructure as we continued to grow our business and expand headcount, offset slightly by a decrease in expense from the reduction of our leased office space. Hosting expense decreased due to incremental spend in the first half of 2021 associated with product development infrastructure that is unrelated to the hosting of our customer platform for paying Customers. In July of 2021, we launched a new data center and the ongoing expenses related to the hosting of our customer platform on that data center are classified as subscription cost of revenue.</w:t>
      </w:r>
    </w:p>
    <w:p>
      <w:pPr>
        <w:spacing w:after="0" w:line="14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Sales and Marketing</w:t>
      </w:r>
    </w:p>
    <w:p>
      <w:pPr>
        <w:spacing w:after="0" w:line="236" w:lineRule="exact"/>
        <w:rPr>
          <w:sz w:val="20"/>
          <w:szCs w:val="20"/>
          <w:color w:val="auto"/>
        </w:rPr>
      </w:pPr>
    </w:p>
    <w:tbl>
      <w:tblPr>
        <w:tblLayout w:type="fixed"/>
        <w:tblInd w:w="580" w:type="dxa"/>
        <w:tblCellMar>
          <w:top w:w="0" w:type="dxa"/>
          <w:left w:w="0" w:type="dxa"/>
          <w:bottom w:w="0" w:type="dxa"/>
          <w:right w:w="0" w:type="dxa"/>
        </w:tblCellMar>
      </w:tblPr>
      <w:tr>
        <w:trPr>
          <w:trHeight w:val="187"/>
        </w:trPr>
        <w:tc>
          <w:tcPr>
            <w:tcW w:w="5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380" w:type="dxa"/>
            <w:vAlign w:val="bottom"/>
            <w:gridSpan w:val="5"/>
          </w:tcPr>
          <w:p>
            <w:pPr>
              <w:jc w:val="right"/>
              <w:ind w:right="548"/>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60" w:type="dxa"/>
            <w:vAlign w:val="bottom"/>
          </w:tcPr>
          <w:p>
            <w:pPr>
              <w:spacing w:after="0"/>
              <w:rPr>
                <w:sz w:val="16"/>
                <w:szCs w:val="16"/>
                <w:color w:val="auto"/>
              </w:rPr>
            </w:pPr>
          </w:p>
        </w:tc>
        <w:tc>
          <w:tcPr>
            <w:tcW w:w="1300" w:type="dxa"/>
            <w:vAlign w:val="bottom"/>
            <w:gridSpan w:val="3"/>
          </w:tcPr>
          <w:p>
            <w:pPr>
              <w:ind w:left="7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69"/>
        </w:trPr>
        <w:tc>
          <w:tcPr>
            <w:tcW w:w="5160" w:type="dxa"/>
            <w:vAlign w:val="bottom"/>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860" w:type="dxa"/>
            <w:vAlign w:val="bottom"/>
            <w:tcBorders>
              <w:top w:val="single" w:sz="8" w:color="auto"/>
              <w:bottom w:val="single" w:sz="8" w:color="auto"/>
            </w:tcBorders>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Borders>
              <w:top w:val="single" w:sz="8" w:color="auto"/>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860" w:type="dxa"/>
            <w:vAlign w:val="bottom"/>
            <w:tcBorders>
              <w:top w:val="single" w:sz="8" w:color="auto"/>
              <w:bottom w:val="single" w:sz="8" w:color="auto"/>
            </w:tcBorders>
          </w:tcPr>
          <w:p>
            <w:pPr>
              <w:jc w:val="right"/>
              <w:ind w:right="319"/>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0" w:type="dxa"/>
            <w:vAlign w:val="bottom"/>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760" w:type="dxa"/>
            <w:vAlign w:val="bottom"/>
            <w:tcBorders>
              <w:top w:val="single" w:sz="8" w:color="auto"/>
              <w:bottom w:val="single" w:sz="8" w:color="auto"/>
            </w:tcBorders>
          </w:tcPr>
          <w:p>
            <w:pPr>
              <w:jc w:val="right"/>
              <w:ind w:right="122"/>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0" w:type="dxa"/>
            <w:vAlign w:val="bottom"/>
            <w:tcBorders>
              <w:top w:val="single" w:sz="8" w:color="auto"/>
            </w:tcBorders>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740" w:type="dxa"/>
            <w:vAlign w:val="bottom"/>
            <w:tcBorders>
              <w:top w:val="single" w:sz="8" w:color="auto"/>
              <w:bottom w:val="single" w:sz="8" w:color="auto"/>
            </w:tcBorders>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9"/>
        </w:trPr>
        <w:tc>
          <w:tcPr>
            <w:tcW w:w="5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(dollars in</w:t>
            </w:r>
          </w:p>
        </w:tc>
        <w:tc>
          <w:tcPr>
            <w:tcW w:w="1120" w:type="dxa"/>
            <w:vAlign w:val="bottom"/>
            <w:gridSpan w:val="3"/>
          </w:tcPr>
          <w:p>
            <w:pPr>
              <w:jc w:val="right"/>
              <w:ind w:right="402"/>
              <w:spacing w:after="0"/>
              <w:rPr>
                <w:sz w:val="20"/>
                <w:szCs w:val="20"/>
                <w:color w:val="auto"/>
              </w:rPr>
            </w:pPr>
            <w:r>
              <w:rPr>
                <w:rFonts w:ascii="Times New Roman" w:cs="Times New Roman" w:eastAsia="Times New Roman" w:hAnsi="Times New Roman"/>
                <w:sz w:val="14"/>
                <w:szCs w:val="14"/>
                <w:b w:val="1"/>
                <w:bCs w:val="1"/>
                <w:color w:val="auto"/>
                <w:w w:val="94"/>
              </w:rPr>
              <w:t>thousands)</w:t>
            </w: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34"/>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886,069</w:t>
            </w:r>
          </w:p>
        </w:tc>
        <w:tc>
          <w:tcPr>
            <w:tcW w:w="20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649,681</w:t>
            </w:r>
          </w:p>
        </w:tc>
        <w:tc>
          <w:tcPr>
            <w:tcW w:w="2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236,388</w:t>
            </w: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36 %</w:t>
            </w:r>
          </w:p>
        </w:tc>
      </w:tr>
      <w:tr>
        <w:trPr>
          <w:trHeight w:val="238"/>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Percentage of total revenue</w:t>
            </w:r>
          </w:p>
        </w:tc>
        <w:tc>
          <w:tcPr>
            <w:tcW w:w="260" w:type="dxa"/>
            <w:vAlign w:val="bottom"/>
          </w:tcPr>
          <w:p>
            <w:pPr>
              <w:spacing w:after="0"/>
              <w:rPr>
                <w:sz w:val="20"/>
                <w:szCs w:val="20"/>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51 %</w:t>
            </w:r>
          </w:p>
        </w:tc>
        <w:tc>
          <w:tcPr>
            <w:tcW w:w="260" w:type="dxa"/>
            <w:vAlign w:val="bottom"/>
          </w:tcPr>
          <w:p>
            <w:pPr>
              <w:spacing w:after="0"/>
              <w:rPr>
                <w:sz w:val="20"/>
                <w:szCs w:val="20"/>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50 %</w:t>
            </w: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-299720</wp:posOffset>
            </wp:positionV>
            <wp:extent cx="6412230" cy="15430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412230" cy="154305"/>
                    </a:xfrm>
                    <a:prstGeom prst="rect">
                      <a:avLst/>
                    </a:prstGeom>
                    <a:noFill/>
                  </pic:spPr>
                </pic:pic>
              </a:graphicData>
            </a:graphic>
          </wp:anchor>
        </w:drawing>
      </w:r>
    </w:p>
    <w:p>
      <w:pPr>
        <w:spacing w:after="0" w:line="218"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The increase in sales and marketing expense for the year ended December 31, 2022 compared to the year ended December 31, 2021 was primarily due to the following:</w:t>
      </w:r>
    </w:p>
    <w:p>
      <w:pPr>
        <w:spacing w:after="0" w:line="169" w:lineRule="exact"/>
        <w:rPr>
          <w:sz w:val="20"/>
          <w:szCs w:val="20"/>
          <w:color w:val="auto"/>
        </w:rPr>
      </w:pPr>
    </w:p>
    <w:tbl>
      <w:tblPr>
        <w:tblLayout w:type="fixed"/>
        <w:tblInd w:w="2260" w:type="dxa"/>
        <w:tblCellMar>
          <w:top w:w="0" w:type="dxa"/>
          <w:left w:w="0" w:type="dxa"/>
          <w:bottom w:w="0" w:type="dxa"/>
          <w:right w:w="0" w:type="dxa"/>
        </w:tblCellMar>
      </w:tblPr>
      <w:tr>
        <w:trPr>
          <w:trHeight w:val="187"/>
        </w:trPr>
        <w:tc>
          <w:tcPr>
            <w:tcW w:w="5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164"/>
        </w:trPr>
        <w:tc>
          <w:tcPr>
            <w:tcW w:w="556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60" w:type="dxa"/>
            <w:vAlign w:val="bottom"/>
          </w:tcPr>
          <w:p>
            <w:pPr>
              <w:spacing w:after="0"/>
              <w:rPr>
                <w:sz w:val="14"/>
                <w:szCs w:val="14"/>
                <w:color w:val="auto"/>
              </w:rPr>
            </w:pPr>
          </w:p>
        </w:tc>
      </w:tr>
      <w:tr>
        <w:trPr>
          <w:trHeight w:val="241"/>
        </w:trPr>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Employee-related costs</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182,056</w:t>
            </w:r>
          </w:p>
        </w:tc>
        <w:tc>
          <w:tcPr>
            <w:tcW w:w="60" w:type="dxa"/>
            <w:vAlign w:val="bottom"/>
          </w:tcPr>
          <w:p>
            <w:pPr>
              <w:spacing w:after="0"/>
              <w:rPr>
                <w:sz w:val="20"/>
                <w:szCs w:val="20"/>
                <w:color w:val="auto"/>
              </w:rPr>
            </w:pPr>
          </w:p>
        </w:tc>
      </w:tr>
      <w:tr>
        <w:trPr>
          <w:trHeight w:val="250"/>
        </w:trPr>
        <w:tc>
          <w:tcPr>
            <w:tcW w:w="5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Solutions Partner commissions</w:t>
            </w:r>
          </w:p>
        </w:tc>
        <w:tc>
          <w:tcPr>
            <w:tcW w:w="10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25,295</w:t>
            </w:r>
          </w:p>
        </w:tc>
        <w:tc>
          <w:tcPr>
            <w:tcW w:w="60" w:type="dxa"/>
            <w:vAlign w:val="bottom"/>
            <w:shd w:val="clear" w:color="auto" w:fill="CFF0FC"/>
          </w:tcPr>
          <w:p>
            <w:pPr>
              <w:spacing w:after="0"/>
              <w:rPr>
                <w:sz w:val="21"/>
                <w:szCs w:val="21"/>
                <w:color w:val="auto"/>
              </w:rPr>
            </w:pPr>
          </w:p>
        </w:tc>
      </w:tr>
      <w:tr>
        <w:trPr>
          <w:trHeight w:val="239"/>
        </w:trPr>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Marketing programs</w:t>
            </w:r>
          </w:p>
        </w:tc>
        <w:tc>
          <w:tcPr>
            <w:tcW w:w="1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18,032</w:t>
            </w:r>
          </w:p>
        </w:tc>
        <w:tc>
          <w:tcPr>
            <w:tcW w:w="60" w:type="dxa"/>
            <w:vAlign w:val="bottom"/>
          </w:tcPr>
          <w:p>
            <w:pPr>
              <w:spacing w:after="0"/>
              <w:rPr>
                <w:sz w:val="20"/>
                <w:szCs w:val="20"/>
                <w:color w:val="auto"/>
              </w:rPr>
            </w:pPr>
          </w:p>
        </w:tc>
      </w:tr>
      <w:tr>
        <w:trPr>
          <w:trHeight w:val="247"/>
        </w:trPr>
        <w:tc>
          <w:tcPr>
            <w:tcW w:w="5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Allocated overhead expenses</w:t>
            </w:r>
          </w:p>
        </w:tc>
        <w:tc>
          <w:tcPr>
            <w:tcW w:w="10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9,967</w:t>
            </w:r>
          </w:p>
        </w:tc>
        <w:tc>
          <w:tcPr>
            <w:tcW w:w="60" w:type="dxa"/>
            <w:vAlign w:val="bottom"/>
            <w:shd w:val="clear" w:color="auto" w:fill="CFF0FC"/>
          </w:tcPr>
          <w:p>
            <w:pPr>
              <w:spacing w:after="0"/>
              <w:rPr>
                <w:sz w:val="21"/>
                <w:szCs w:val="21"/>
                <w:color w:val="auto"/>
              </w:rPr>
            </w:pPr>
          </w:p>
        </w:tc>
      </w:tr>
      <w:tr>
        <w:trPr>
          <w:trHeight w:val="243"/>
        </w:trPr>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intangible asset</w:t>
            </w: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1,038</w:t>
            </w:r>
          </w:p>
        </w:tc>
        <w:tc>
          <w:tcPr>
            <w:tcW w:w="60" w:type="dxa"/>
            <w:vAlign w:val="bottom"/>
          </w:tcPr>
          <w:p>
            <w:pPr>
              <w:spacing w:after="0"/>
              <w:rPr>
                <w:sz w:val="21"/>
                <w:szCs w:val="21"/>
                <w:color w:val="auto"/>
              </w:rPr>
            </w:pPr>
          </w:p>
        </w:tc>
      </w:tr>
      <w:tr>
        <w:trPr>
          <w:trHeight w:val="272"/>
        </w:trPr>
        <w:tc>
          <w:tcPr>
            <w:tcW w:w="5560" w:type="dxa"/>
            <w:vAlign w:val="bottom"/>
            <w:tcBorders>
              <w:bottom w:val="single" w:sz="8" w:color="CFF0FC"/>
            </w:tcBorders>
            <w:shd w:val="clear" w:color="auto" w:fill="CFF0FC"/>
          </w:tcPr>
          <w:p>
            <w:pPr>
              <w:spacing w:after="0"/>
              <w:rPr>
                <w:sz w:val="23"/>
                <w:szCs w:val="23"/>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236,388</w:t>
            </w:r>
          </w:p>
        </w:tc>
        <w:tc>
          <w:tcPr>
            <w:tcW w:w="60" w:type="dxa"/>
            <w:vAlign w:val="bottom"/>
            <w:tcBorders>
              <w:bottom w:val="single" w:sz="8" w:color="CFF0FC"/>
            </w:tcBorders>
            <w:shd w:val="clear" w:color="auto" w:fill="CFF0FC"/>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5680075</wp:posOffset>
            </wp:positionH>
            <wp:positionV relativeFrom="paragraph">
              <wp:posOffset>-24765</wp:posOffset>
            </wp:positionV>
            <wp:extent cx="3429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-7620</wp:posOffset>
            </wp:positionV>
            <wp:extent cx="3429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178"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Employee-related costs increased as a result of increased headcount as we expanded our selling and marketing organizations to grow our customer base. Solutions Partner commissions increased as a result of increased revenue generated through our Solutions Partners. Marketing programs increased due to the timing and size of certain marketing efforts as we continue to make investments in attracting new customers. Allocated overhead expenses increased due to an increase in shared company expenses associated with our systems and infrastructure as we continued to grow our business, offset slightly by a decrease in expense from the reduction of our</w:t>
      </w:r>
    </w:p>
    <w:p>
      <w:pPr>
        <w:spacing w:after="0" w:line="18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61" w:right="37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color w:val="auto"/>
        </w:rPr>
        <w:t>leased office space. Amortization of intangible assets increased primarily due to the purchase of a domain name in the second quarter of 2022.</w:t>
      </w:r>
    </w:p>
    <w:p>
      <w:pPr>
        <w:spacing w:after="0" w:line="18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w:t>
      </w:r>
    </w:p>
    <w:p>
      <w:pPr>
        <w:spacing w:after="0" w:line="236" w:lineRule="exact"/>
        <w:rPr>
          <w:sz w:val="20"/>
          <w:szCs w:val="20"/>
          <w:color w:val="auto"/>
        </w:rPr>
      </w:pPr>
    </w:p>
    <w:tbl>
      <w:tblPr>
        <w:tblLayout w:type="fixed"/>
        <w:tblInd w:w="580" w:type="dxa"/>
        <w:tblCellMar>
          <w:top w:w="0" w:type="dxa"/>
          <w:left w:w="0" w:type="dxa"/>
          <w:bottom w:w="0" w:type="dxa"/>
          <w:right w:w="0" w:type="dxa"/>
        </w:tblCellMar>
      </w:tblPr>
      <w:tr>
        <w:trPr>
          <w:trHeight w:val="187"/>
        </w:trPr>
        <w:tc>
          <w:tcPr>
            <w:tcW w:w="5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380" w:type="dxa"/>
            <w:vAlign w:val="bottom"/>
            <w:gridSpan w:val="5"/>
          </w:tcPr>
          <w:p>
            <w:pPr>
              <w:jc w:val="right"/>
              <w:ind w:right="548"/>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60" w:type="dxa"/>
            <w:vAlign w:val="bottom"/>
          </w:tcPr>
          <w:p>
            <w:pPr>
              <w:spacing w:after="0"/>
              <w:rPr>
                <w:sz w:val="16"/>
                <w:szCs w:val="16"/>
                <w:color w:val="auto"/>
              </w:rPr>
            </w:pPr>
          </w:p>
        </w:tc>
        <w:tc>
          <w:tcPr>
            <w:tcW w:w="1300" w:type="dxa"/>
            <w:vAlign w:val="bottom"/>
            <w:gridSpan w:val="3"/>
          </w:tcPr>
          <w:p>
            <w:pPr>
              <w:ind w:left="7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69"/>
        </w:trPr>
        <w:tc>
          <w:tcPr>
            <w:tcW w:w="5160" w:type="dxa"/>
            <w:vAlign w:val="bottom"/>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860" w:type="dxa"/>
            <w:vAlign w:val="bottom"/>
            <w:tcBorders>
              <w:top w:val="single" w:sz="8" w:color="auto"/>
              <w:bottom w:val="single" w:sz="8" w:color="auto"/>
            </w:tcBorders>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Borders>
              <w:top w:val="single" w:sz="8" w:color="auto"/>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860" w:type="dxa"/>
            <w:vAlign w:val="bottom"/>
            <w:tcBorders>
              <w:top w:val="single" w:sz="8" w:color="auto"/>
              <w:bottom w:val="single" w:sz="8" w:color="auto"/>
            </w:tcBorders>
          </w:tcPr>
          <w:p>
            <w:pPr>
              <w:jc w:val="right"/>
              <w:ind w:right="319"/>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0" w:type="dxa"/>
            <w:vAlign w:val="bottom"/>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760" w:type="dxa"/>
            <w:vAlign w:val="bottom"/>
            <w:tcBorders>
              <w:top w:val="single" w:sz="8" w:color="auto"/>
              <w:bottom w:val="single" w:sz="8" w:color="auto"/>
            </w:tcBorders>
          </w:tcPr>
          <w:p>
            <w:pPr>
              <w:jc w:val="right"/>
              <w:ind w:right="122"/>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0" w:type="dxa"/>
            <w:vAlign w:val="bottom"/>
            <w:tcBorders>
              <w:top w:val="single" w:sz="8" w:color="auto"/>
            </w:tcBorders>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740" w:type="dxa"/>
            <w:vAlign w:val="bottom"/>
            <w:tcBorders>
              <w:top w:val="single" w:sz="8" w:color="auto"/>
              <w:bottom w:val="single" w:sz="8" w:color="auto"/>
            </w:tcBorders>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9"/>
        </w:trPr>
        <w:tc>
          <w:tcPr>
            <w:tcW w:w="5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(dollars in</w:t>
            </w:r>
          </w:p>
        </w:tc>
        <w:tc>
          <w:tcPr>
            <w:tcW w:w="1120" w:type="dxa"/>
            <w:vAlign w:val="bottom"/>
            <w:gridSpan w:val="3"/>
          </w:tcPr>
          <w:p>
            <w:pPr>
              <w:jc w:val="right"/>
              <w:ind w:right="402"/>
              <w:spacing w:after="0"/>
              <w:rPr>
                <w:sz w:val="20"/>
                <w:szCs w:val="20"/>
                <w:color w:val="auto"/>
              </w:rPr>
            </w:pPr>
            <w:r>
              <w:rPr>
                <w:rFonts w:ascii="Times New Roman" w:cs="Times New Roman" w:eastAsia="Times New Roman" w:hAnsi="Times New Roman"/>
                <w:sz w:val="14"/>
                <w:szCs w:val="14"/>
                <w:b w:val="1"/>
                <w:bCs w:val="1"/>
                <w:color w:val="auto"/>
                <w:w w:val="94"/>
              </w:rPr>
              <w:t>thousands)</w:t>
            </w: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34"/>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197,720</w:t>
            </w:r>
          </w:p>
        </w:tc>
        <w:tc>
          <w:tcPr>
            <w:tcW w:w="20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144,949</w:t>
            </w:r>
          </w:p>
        </w:tc>
        <w:tc>
          <w:tcPr>
            <w:tcW w:w="2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52,771</w:t>
            </w: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36 %</w:t>
            </w:r>
          </w:p>
        </w:tc>
      </w:tr>
      <w:tr>
        <w:trPr>
          <w:trHeight w:val="238"/>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Percentage of total revenue</w:t>
            </w:r>
          </w:p>
        </w:tc>
        <w:tc>
          <w:tcPr>
            <w:tcW w:w="260" w:type="dxa"/>
            <w:vAlign w:val="bottom"/>
          </w:tcPr>
          <w:p>
            <w:pPr>
              <w:spacing w:after="0"/>
              <w:rPr>
                <w:sz w:val="20"/>
                <w:szCs w:val="20"/>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11 %</w:t>
            </w:r>
          </w:p>
        </w:tc>
        <w:tc>
          <w:tcPr>
            <w:tcW w:w="260" w:type="dxa"/>
            <w:vAlign w:val="bottom"/>
          </w:tcPr>
          <w:p>
            <w:pPr>
              <w:spacing w:after="0"/>
              <w:rPr>
                <w:sz w:val="20"/>
                <w:szCs w:val="20"/>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-299720</wp:posOffset>
            </wp:positionV>
            <wp:extent cx="6412230" cy="15430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412230" cy="154305"/>
                    </a:xfrm>
                    <a:prstGeom prst="rect">
                      <a:avLst/>
                    </a:prstGeom>
                    <a:noFill/>
                  </pic:spPr>
                </pic:pic>
              </a:graphicData>
            </a:graphic>
          </wp:anchor>
        </w:drawing>
      </w:r>
    </w:p>
    <w:p>
      <w:pPr>
        <w:spacing w:after="0" w:line="164" w:lineRule="exact"/>
        <w:rPr>
          <w:sz w:val="20"/>
          <w:szCs w:val="20"/>
          <w:color w:val="auto"/>
        </w:rPr>
      </w:pPr>
    </w:p>
    <w:p>
      <w:pPr>
        <w:ind w:right="380" w:firstLine="509"/>
        <w:spacing w:after="0" w:line="282" w:lineRule="auto"/>
        <w:rPr>
          <w:sz w:val="20"/>
          <w:szCs w:val="20"/>
          <w:color w:val="auto"/>
        </w:rPr>
      </w:pPr>
      <w:r>
        <w:rPr>
          <w:rFonts w:ascii="Times New Roman" w:cs="Times New Roman" w:eastAsia="Times New Roman" w:hAnsi="Times New Roman"/>
          <w:sz w:val="18"/>
          <w:szCs w:val="18"/>
          <w:color w:val="auto"/>
        </w:rPr>
        <w:t>The increase in general and administrative expense for the year ended December 31, 2022 compared to the year ended December 31, 2021 was primarily due to the following:</w:t>
      </w:r>
    </w:p>
    <w:p>
      <w:pPr>
        <w:sectPr>
          <w:pgSz w:w="11900" w:h="16838" w:orient="portrait"/>
          <w:cols w:equalWidth="0" w:num="1">
            <w:col w:w="11200"/>
          </w:cols>
          <w:pgMar w:left="320" w:top="985" w:right="379" w:bottom="1440" w:gutter="0" w:footer="0" w:header="0"/>
        </w:sectPr>
      </w:pPr>
    </w:p>
    <w:p>
      <w:pPr>
        <w:spacing w:after="0" w:line="200" w:lineRule="exact"/>
        <w:rPr>
          <w:sz w:val="20"/>
          <w:szCs w:val="20"/>
          <w:color w:val="auto"/>
        </w:rPr>
      </w:pPr>
    </w:p>
    <w:p>
      <w:pPr>
        <w:spacing w:after="0" w:line="340"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color w:val="auto"/>
        </w:rPr>
        <w:t>Employee-related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1436370</wp:posOffset>
            </wp:positionH>
            <wp:positionV relativeFrom="paragraph">
              <wp:posOffset>-127635</wp:posOffset>
            </wp:positionV>
            <wp:extent cx="4277360" cy="15430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4277360" cy="154305"/>
                    </a:xfrm>
                    <a:prstGeom prst="rect">
                      <a:avLst/>
                    </a:prstGeom>
                    <a:noFill/>
                  </pic:spPr>
                </pic:pic>
              </a:graphicData>
            </a:graphic>
          </wp:anchor>
        </w:drawing>
      </w:r>
    </w:p>
    <w:p>
      <w:pPr>
        <w:spacing w:after="0" w:line="16"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color w:val="auto"/>
        </w:rPr>
        <w:t>Customer credit card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1436370</wp:posOffset>
            </wp:positionH>
            <wp:positionV relativeFrom="paragraph">
              <wp:posOffset>26035</wp:posOffset>
            </wp:positionV>
            <wp:extent cx="4277360" cy="16319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4277360" cy="163195"/>
                    </a:xfrm>
                    <a:prstGeom prst="rect">
                      <a:avLst/>
                    </a:prstGeom>
                    <a:noFill/>
                  </pic:spPr>
                </pic:pic>
              </a:graphicData>
            </a:graphic>
          </wp:anchor>
        </w:drawing>
      </w:r>
    </w:p>
    <w:p>
      <w:pPr>
        <w:spacing w:after="0" w:line="30"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color w:val="auto"/>
        </w:rPr>
        <w:t>Allocated overhead expenses</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jc w:val="center"/>
        <w:ind w:right="2278"/>
        <w:spacing w:after="0"/>
        <w:rPr>
          <w:sz w:val="20"/>
          <w:szCs w:val="20"/>
          <w:color w:val="auto"/>
        </w:rPr>
      </w:pPr>
      <w:r>
        <w:rPr>
          <w:rFonts w:ascii="Times New Roman" w:cs="Times New Roman" w:eastAsia="Times New Roman" w:hAnsi="Times New Roman"/>
          <w:sz w:val="14"/>
          <w:szCs w:val="14"/>
          <w:b w:val="1"/>
          <w:bCs w:val="1"/>
          <w:color w:val="auto"/>
        </w:rPr>
        <w:t>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72009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0090" cy="8255"/>
                    </a:xfrm>
                    <a:prstGeom prst="rect">
                      <a:avLst/>
                    </a:prstGeom>
                    <a:noFill/>
                  </pic:spPr>
                </pic:pic>
              </a:graphicData>
            </a:graphic>
          </wp:anchor>
        </w:drawing>
      </w:r>
    </w:p>
    <w:p>
      <w:pPr>
        <w:spacing w:after="0" w:line="9" w:lineRule="exact"/>
        <w:rPr>
          <w:sz w:val="20"/>
          <w:szCs w:val="20"/>
          <w:color w:val="auto"/>
        </w:rPr>
      </w:pPr>
    </w:p>
    <w:p>
      <w:pPr>
        <w:jc w:val="center"/>
        <w:ind w:right="2278"/>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28" w:lineRule="exact"/>
        <w:rPr>
          <w:sz w:val="20"/>
          <w:szCs w:val="20"/>
          <w:color w:val="auto"/>
        </w:rPr>
      </w:pPr>
    </w:p>
    <w:p>
      <w:pPr>
        <w:ind w:left="622" w:hanging="622"/>
        <w:spacing w:after="0"/>
        <w:tabs>
          <w:tab w:leader="none" w:pos="622"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43,111</w:t>
      </w:r>
    </w:p>
    <w:p>
      <w:pPr>
        <w:spacing w:after="0" w:line="39" w:lineRule="exact"/>
        <w:rPr>
          <w:rFonts w:ascii="Times New Roman" w:cs="Times New Roman" w:eastAsia="Times New Roman" w:hAnsi="Times New Roman"/>
          <w:sz w:val="17"/>
          <w:szCs w:val="17"/>
          <w:color w:val="auto"/>
        </w:rPr>
      </w:pPr>
    </w:p>
    <w:p>
      <w:pPr>
        <w:ind w:left="702"/>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7,557</w:t>
      </w:r>
    </w:p>
    <w:p>
      <w:pPr>
        <w:spacing w:after="0" w:line="47" w:lineRule="exact"/>
        <w:rPr>
          <w:rFonts w:ascii="Times New Roman" w:cs="Times New Roman" w:eastAsia="Times New Roman" w:hAnsi="Times New Roman"/>
          <w:sz w:val="17"/>
          <w:szCs w:val="17"/>
          <w:color w:val="auto"/>
        </w:rPr>
      </w:pPr>
    </w:p>
    <w:p>
      <w:pPr>
        <w:ind w:left="702"/>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2,103</w:t>
      </w:r>
    </w:p>
    <w:p>
      <w:pPr>
        <w:spacing w:after="0" w:line="61" w:lineRule="exact"/>
        <w:rPr>
          <w:sz w:val="20"/>
          <w:szCs w:val="20"/>
          <w:color w:val="auto"/>
        </w:rPr>
      </w:pPr>
    </w:p>
    <w:p>
      <w:pPr>
        <w:ind w:left="622" w:hanging="622"/>
        <w:spacing w:after="0"/>
        <w:tabs>
          <w:tab w:leader="none" w:pos="622"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52,771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33020</wp:posOffset>
            </wp:positionV>
            <wp:extent cx="72009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009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50165</wp:posOffset>
            </wp:positionV>
            <wp:extent cx="72009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009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098" w:space="720"/>
            <w:col w:w="3382"/>
          </w:cols>
          <w:pgMar w:left="320" w:top="985" w:right="379" w:bottom="1440" w:gutter="0" w:footer="0" w:header="0"/>
          <w:type w:val="continuous"/>
        </w:sectPr>
      </w:pPr>
    </w:p>
    <w:p>
      <w:pPr>
        <w:spacing w:after="0" w:line="50" w:lineRule="exact"/>
        <w:rPr>
          <w:sz w:val="20"/>
          <w:szCs w:val="20"/>
          <w:color w:val="auto"/>
        </w:rPr>
      </w:pPr>
    </w:p>
    <w:p>
      <w:pPr>
        <w:ind w:right="80" w:firstLine="554"/>
        <w:spacing w:after="0" w:line="266" w:lineRule="auto"/>
        <w:rPr>
          <w:sz w:val="20"/>
          <w:szCs w:val="20"/>
          <w:color w:val="auto"/>
        </w:rPr>
      </w:pPr>
      <w:r>
        <w:rPr>
          <w:rFonts w:ascii="Times New Roman" w:cs="Times New Roman" w:eastAsia="Times New Roman" w:hAnsi="Times New Roman"/>
          <w:sz w:val="18"/>
          <w:szCs w:val="18"/>
          <w:color w:val="auto"/>
        </w:rPr>
        <w:t>Employee-related costs increased as a result of increased headcount as we grew our business and required additional personnel to support our expanded operations. Customer credit card fees increased due to increased customer transactions as we continue to grow our business. Allocated overhead expenses increased due to an increase in shared company expenses associated with our systems and infrastructure as we continued to grow our business.</w:t>
      </w:r>
    </w:p>
    <w:p>
      <w:pPr>
        <w:spacing w:after="0" w:line="2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Interest Income</w:t>
      </w:r>
    </w:p>
    <w:p>
      <w:pPr>
        <w:spacing w:after="0" w:line="236" w:lineRule="exact"/>
        <w:rPr>
          <w:sz w:val="20"/>
          <w:szCs w:val="20"/>
          <w:color w:val="auto"/>
        </w:rPr>
      </w:pPr>
    </w:p>
    <w:tbl>
      <w:tblPr>
        <w:tblLayout w:type="fixed"/>
        <w:tblInd w:w="580" w:type="dxa"/>
        <w:tblCellMar>
          <w:top w:w="0" w:type="dxa"/>
          <w:left w:w="0" w:type="dxa"/>
          <w:bottom w:w="0" w:type="dxa"/>
          <w:right w:w="0" w:type="dxa"/>
        </w:tblCellMar>
      </w:tblPr>
      <w:tr>
        <w:trPr>
          <w:trHeight w:val="187"/>
        </w:trPr>
        <w:tc>
          <w:tcPr>
            <w:tcW w:w="52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4"/>
          </w:tcPr>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ind w:left="7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7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69"/>
        </w:trPr>
        <w:tc>
          <w:tcPr>
            <w:tcW w:w="5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740" w:type="dxa"/>
            <w:vAlign w:val="bottom"/>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9"/>
        </w:trPr>
        <w:tc>
          <w:tcPr>
            <w:tcW w:w="524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(dollars in</w:t>
            </w:r>
          </w:p>
        </w:tc>
        <w:tc>
          <w:tcPr>
            <w:tcW w:w="200" w:type="dxa"/>
            <w:vAlign w:val="bottom"/>
          </w:tcPr>
          <w:p>
            <w:pPr>
              <w:spacing w:after="0"/>
              <w:rPr>
                <w:sz w:val="14"/>
                <w:szCs w:val="14"/>
                <w:color w:val="auto"/>
              </w:rPr>
            </w:pPr>
          </w:p>
        </w:tc>
        <w:tc>
          <w:tcPr>
            <w:tcW w:w="98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thousands)</w:t>
            </w:r>
          </w:p>
        </w:tc>
        <w:tc>
          <w:tcPr>
            <w:tcW w:w="200" w:type="dxa"/>
            <w:vAlign w:val="bottom"/>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34"/>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24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1,173</w:t>
            </w:r>
          </w:p>
        </w:tc>
        <w:tc>
          <w:tcPr>
            <w:tcW w:w="3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13,827</w:t>
            </w: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1179 %</w:t>
            </w:r>
          </w:p>
        </w:tc>
      </w:tr>
      <w:tr>
        <w:trPr>
          <w:trHeight w:val="238"/>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Percentage of total revenue</w:t>
            </w:r>
          </w:p>
        </w:tc>
        <w:tc>
          <w:tcPr>
            <w:tcW w:w="240" w:type="dxa"/>
            <w:vAlign w:val="bottom"/>
          </w:tcPr>
          <w:p>
            <w:pPr>
              <w:spacing w:after="0"/>
              <w:rPr>
                <w:sz w:val="20"/>
                <w:szCs w:val="20"/>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1 %</w:t>
            </w:r>
          </w:p>
        </w:tc>
        <w:tc>
          <w:tcPr>
            <w:tcW w:w="2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-299720</wp:posOffset>
            </wp:positionV>
            <wp:extent cx="6412230" cy="15430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412230" cy="154305"/>
                    </a:xfrm>
                    <a:prstGeom prst="rect">
                      <a:avLst/>
                    </a:prstGeom>
                    <a:noFill/>
                  </pic:spPr>
                </pic:pic>
              </a:graphicData>
            </a:graphic>
          </wp:anchor>
        </w:drawing>
      </w:r>
    </w:p>
    <w:p>
      <w:pPr>
        <w:ind w:left="60"/>
        <w:spacing w:after="0"/>
        <w:tabs>
          <w:tab w:leader="none" w:pos="340" w:val="left"/>
        </w:tabs>
        <w:rPr>
          <w:sz w:val="20"/>
          <w:szCs w:val="20"/>
          <w:color w:val="auto"/>
        </w:rPr>
      </w:pPr>
      <w:r>
        <w:rPr>
          <w:rFonts w:ascii="Times New Roman" w:cs="Times New Roman" w:eastAsia="Times New Roman" w:hAnsi="Times New Roman"/>
          <w:sz w:val="18"/>
          <w:szCs w:val="18"/>
          <w:color w:val="auto"/>
        </w:rPr>
        <w:t>*</w:t>
        <w:tab/>
        <w:t>not meaningful</w:t>
      </w:r>
    </w:p>
    <w:p>
      <w:pPr>
        <w:spacing w:after="0" w:line="220"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Interest income primarily consists of interest earned on invested cash and cash equivalents balances and investments. The increase during the year is due to an increase in yields on our investment balances.</w:t>
      </w:r>
    </w:p>
    <w:p>
      <w:pPr>
        <w:spacing w:after="0" w:line="15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236" w:lineRule="exact"/>
        <w:rPr>
          <w:sz w:val="20"/>
          <w:szCs w:val="20"/>
          <w:color w:val="auto"/>
        </w:rPr>
      </w:pPr>
    </w:p>
    <w:tbl>
      <w:tblPr>
        <w:tblLayout w:type="fixed"/>
        <w:tblInd w:w="580" w:type="dxa"/>
        <w:tblCellMar>
          <w:top w:w="0" w:type="dxa"/>
          <w:left w:w="0" w:type="dxa"/>
          <w:bottom w:w="0" w:type="dxa"/>
          <w:right w:w="0" w:type="dxa"/>
        </w:tblCellMar>
      </w:tblPr>
      <w:tr>
        <w:trPr>
          <w:trHeight w:val="187"/>
        </w:trPr>
        <w:tc>
          <w:tcPr>
            <w:tcW w:w="5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40" w:type="dxa"/>
            <w:vAlign w:val="bottom"/>
            <w:gridSpan w:val="6"/>
          </w:tcPr>
          <w:p>
            <w:pPr>
              <w:jc w:val="right"/>
              <w:ind w:right="648"/>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340" w:type="dxa"/>
            <w:vAlign w:val="bottom"/>
            <w:gridSpan w:val="3"/>
          </w:tcPr>
          <w:p>
            <w:pPr>
              <w:ind w:left="7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69"/>
        </w:trPr>
        <w:tc>
          <w:tcPr>
            <w:tcW w:w="524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340" w:type="dxa"/>
            <w:vAlign w:val="bottom"/>
            <w:tcBorders>
              <w:top w:val="single" w:sz="8" w:color="auto"/>
            </w:tcBorders>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740" w:type="dxa"/>
            <w:vAlign w:val="bottom"/>
            <w:tcBorders>
              <w:top w:val="single" w:sz="8" w:color="auto"/>
            </w:tcBorders>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9"/>
        </w:trPr>
        <w:tc>
          <w:tcPr>
            <w:tcW w:w="524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(dollars in</w:t>
            </w:r>
          </w:p>
        </w:tc>
        <w:tc>
          <w:tcPr>
            <w:tcW w:w="200" w:type="dxa"/>
            <w:vAlign w:val="bottom"/>
          </w:tcPr>
          <w:p>
            <w:pPr>
              <w:spacing w:after="0"/>
              <w:rPr>
                <w:sz w:val="14"/>
                <w:szCs w:val="14"/>
                <w:color w:val="auto"/>
              </w:rPr>
            </w:pPr>
          </w:p>
        </w:tc>
        <w:tc>
          <w:tcPr>
            <w:tcW w:w="98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thousands)</w:t>
            </w:r>
          </w:p>
        </w:tc>
        <w:tc>
          <w:tcPr>
            <w:tcW w:w="200" w:type="dxa"/>
            <w:vAlign w:val="bottom"/>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234"/>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(3,762 )  $</w:t>
            </w: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(30,282 )  $</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(26,520 )</w:t>
            </w:r>
          </w:p>
        </w:tc>
        <w:tc>
          <w:tcPr>
            <w:tcW w:w="320" w:type="dxa"/>
            <w:vAlign w:val="bottom"/>
          </w:tcPr>
          <w:p>
            <w:pPr>
              <w:spacing w:after="0"/>
              <w:rPr>
                <w:sz w:val="20"/>
                <w:szCs w:val="20"/>
                <w:color w:val="auto"/>
              </w:rPr>
            </w:pP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(88 )%</w:t>
            </w:r>
          </w:p>
        </w:tc>
      </w:tr>
      <w:tr>
        <w:trPr>
          <w:trHeight w:val="238"/>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Percentage of total revenue</w:t>
            </w:r>
          </w:p>
        </w:tc>
        <w:tc>
          <w:tcPr>
            <w:tcW w:w="2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gridSpan w:val="3"/>
          </w:tcPr>
          <w:p>
            <w:pPr>
              <w:jc w:val="right"/>
              <w:ind w:right="68"/>
              <w:spacing w:after="0"/>
              <w:rPr>
                <w:sz w:val="20"/>
                <w:szCs w:val="20"/>
                <w:color w:val="auto"/>
              </w:rPr>
            </w:pPr>
            <w:r>
              <w:rPr>
                <w:rFonts w:ascii="Times New Roman" w:cs="Times New Roman" w:eastAsia="Times New Roman" w:hAnsi="Times New Roman"/>
                <w:sz w:val="18"/>
                <w:szCs w:val="18"/>
                <w:color w:val="auto"/>
              </w:rPr>
              <w:t>(2 )%</w:t>
            </w:r>
          </w:p>
        </w:tc>
        <w:tc>
          <w:tcPr>
            <w:tcW w:w="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-299720</wp:posOffset>
            </wp:positionV>
            <wp:extent cx="6412230" cy="15430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412230" cy="154305"/>
                    </a:xfrm>
                    <a:prstGeom prst="rect">
                      <a:avLst/>
                    </a:prstGeom>
                    <a:noFill/>
                  </pic:spPr>
                </pic:pic>
              </a:graphicData>
            </a:graphic>
          </wp:anchor>
        </w:drawing>
      </w:r>
    </w:p>
    <w:p>
      <w:pPr>
        <w:ind w:left="60"/>
        <w:spacing w:after="0"/>
        <w:tabs>
          <w:tab w:leader="none" w:pos="340" w:val="left"/>
        </w:tabs>
        <w:rPr>
          <w:sz w:val="20"/>
          <w:szCs w:val="20"/>
          <w:color w:val="auto"/>
        </w:rPr>
      </w:pPr>
      <w:r>
        <w:rPr>
          <w:rFonts w:ascii="Times New Roman" w:cs="Times New Roman" w:eastAsia="Times New Roman" w:hAnsi="Times New Roman"/>
          <w:sz w:val="18"/>
          <w:szCs w:val="18"/>
          <w:color w:val="auto"/>
        </w:rPr>
        <w:t>*</w:t>
        <w:tab/>
        <w:t>not meaningful</w:t>
      </w:r>
    </w:p>
    <w:p>
      <w:pPr>
        <w:spacing w:after="0" w:line="22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change in interest expense for the year ended December 31, 2022 compared to the year ended December 31, 2021 is due to the following:</w:t>
      </w:r>
    </w:p>
    <w:p>
      <w:pPr>
        <w:sectPr>
          <w:pgSz w:w="11900" w:h="16838" w:orient="portrait"/>
          <w:cols w:equalWidth="0" w:num="1">
            <w:col w:w="11200"/>
          </w:cols>
          <w:pgMar w:left="320" w:top="985" w:right="3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7"/>
          <w:szCs w:val="17"/>
          <w:color w:val="auto"/>
        </w:rPr>
        <w:t>Amortization of the debt discount and issuance costs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1436370</wp:posOffset>
            </wp:positionH>
            <wp:positionV relativeFrom="paragraph">
              <wp:posOffset>-274955</wp:posOffset>
            </wp:positionV>
            <wp:extent cx="4277360" cy="15430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4277360" cy="154305"/>
                    </a:xfrm>
                    <a:prstGeom prst="rect">
                      <a:avLst/>
                    </a:prstGeom>
                    <a:noFill/>
                  </pic:spPr>
                </pic:pic>
              </a:graphicData>
            </a:graphic>
          </wp:anchor>
        </w:drawing>
      </w:r>
    </w:p>
    <w:p>
      <w:pPr>
        <w:spacing w:after="0" w:line="19" w:lineRule="exact"/>
        <w:rPr>
          <w:sz w:val="20"/>
          <w:szCs w:val="20"/>
          <w:color w:val="auto"/>
        </w:rPr>
      </w:pPr>
    </w:p>
    <w:p>
      <w:pPr>
        <w:ind w:left="2360"/>
        <w:spacing w:after="0"/>
        <w:rPr>
          <w:sz w:val="20"/>
          <w:szCs w:val="20"/>
          <w:color w:val="auto"/>
        </w:rPr>
      </w:pPr>
      <w:r>
        <w:rPr>
          <w:rFonts w:ascii="Times New Roman" w:cs="Times New Roman" w:eastAsia="Times New Roman" w:hAnsi="Times New Roman"/>
          <w:sz w:val="18"/>
          <w:szCs w:val="18"/>
          <w:color w:val="auto"/>
        </w:rPr>
        <w:t>contractual interest expense related to our Notes</w:t>
      </w:r>
    </w:p>
    <w:p>
      <w:pPr>
        <w:spacing w:after="0" w:line="18"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color w:val="auto"/>
        </w:rPr>
        <w:t>Loss on early extinguishment of 2022 Convertible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1436370</wp:posOffset>
            </wp:positionH>
            <wp:positionV relativeFrom="paragraph">
              <wp:posOffset>-127635</wp:posOffset>
            </wp:positionV>
            <wp:extent cx="4277360" cy="16256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4277360" cy="1625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26" w:lineRule="exact"/>
        <w:rPr>
          <w:sz w:val="20"/>
          <w:szCs w:val="20"/>
          <w:color w:val="auto"/>
        </w:rPr>
      </w:pPr>
    </w:p>
    <w:p>
      <w:pPr>
        <w:jc w:val="center"/>
        <w:ind w:right="2278"/>
        <w:spacing w:after="0"/>
        <w:rPr>
          <w:sz w:val="20"/>
          <w:szCs w:val="20"/>
          <w:color w:val="auto"/>
        </w:rPr>
      </w:pPr>
      <w:r>
        <w:rPr>
          <w:rFonts w:ascii="Times New Roman" w:cs="Times New Roman" w:eastAsia="Times New Roman" w:hAnsi="Times New Roman"/>
          <w:sz w:val="14"/>
          <w:szCs w:val="14"/>
          <w:b w:val="1"/>
          <w:bCs w:val="1"/>
          <w:color w:val="auto"/>
        </w:rPr>
        <w:t>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72009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0090" cy="8255"/>
                    </a:xfrm>
                    <a:prstGeom prst="rect">
                      <a:avLst/>
                    </a:prstGeom>
                    <a:noFill/>
                  </pic:spPr>
                </pic:pic>
              </a:graphicData>
            </a:graphic>
          </wp:anchor>
        </w:drawing>
      </w:r>
    </w:p>
    <w:p>
      <w:pPr>
        <w:spacing w:after="0" w:line="76" w:lineRule="exact"/>
        <w:rPr>
          <w:sz w:val="20"/>
          <w:szCs w:val="20"/>
          <w:color w:val="auto"/>
        </w:rPr>
      </w:pPr>
    </w:p>
    <w:p>
      <w:pPr>
        <w:jc w:val="center"/>
        <w:ind w:right="2278"/>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29" w:lineRule="exact"/>
        <w:rPr>
          <w:sz w:val="20"/>
          <w:szCs w:val="20"/>
          <w:color w:val="auto"/>
        </w:rPr>
      </w:pPr>
    </w:p>
    <w:p>
      <w:pPr>
        <w:ind w:left="562" w:hanging="562"/>
        <w:spacing w:after="0"/>
        <w:tabs>
          <w:tab w:leader="none" w:pos="562"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(21,628 )</w:t>
      </w:r>
    </w:p>
    <w:p>
      <w:pPr>
        <w:spacing w:after="0" w:line="255" w:lineRule="exact"/>
        <w:rPr>
          <w:sz w:val="20"/>
          <w:szCs w:val="20"/>
          <w:color w:val="auto"/>
        </w:rPr>
      </w:pPr>
    </w:p>
    <w:p>
      <w:pPr>
        <w:jc w:val="center"/>
        <w:ind w:right="1538"/>
        <w:spacing w:after="0"/>
        <w:rPr>
          <w:sz w:val="20"/>
          <w:szCs w:val="20"/>
          <w:color w:val="auto"/>
        </w:rPr>
      </w:pPr>
      <w:r>
        <w:rPr>
          <w:rFonts w:ascii="Times New Roman" w:cs="Times New Roman" w:eastAsia="Times New Roman" w:hAnsi="Times New Roman"/>
          <w:sz w:val="17"/>
          <w:szCs w:val="17"/>
          <w:color w:val="auto"/>
        </w:rPr>
        <w:t>(4,892 )</w:t>
      </w:r>
    </w:p>
    <w:p>
      <w:pPr>
        <w:spacing w:after="0" w:line="61" w:lineRule="exact"/>
        <w:rPr>
          <w:sz w:val="20"/>
          <w:szCs w:val="20"/>
          <w:color w:val="auto"/>
        </w:rPr>
      </w:pPr>
    </w:p>
    <w:p>
      <w:pPr>
        <w:ind w:left="562" w:hanging="562"/>
        <w:spacing w:after="0"/>
        <w:tabs>
          <w:tab w:leader="none" w:pos="562"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(26,520 )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33020</wp:posOffset>
            </wp:positionV>
            <wp:extent cx="72009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0090" cy="889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50165</wp:posOffset>
            </wp:positionV>
            <wp:extent cx="72009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009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098" w:space="720"/>
            <w:col w:w="3382"/>
          </w:cols>
          <w:pgMar w:left="320" w:top="985" w:right="379" w:bottom="1440" w:gutter="0" w:footer="0" w:header="0"/>
          <w:type w:val="continuous"/>
        </w:sectPr>
      </w:pPr>
    </w:p>
    <w:p>
      <w:pPr>
        <w:spacing w:after="0" w:line="91"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Interest expense primarily consists of amortization of the debt discount and issuance costs and contractual interest expense related to our Notes, and the loss on early extinguishment of our 2022 Notes. Interest expense decreased due to the adoption of the</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5" w:right="379" w:bottom="1440" w:gutter="0" w:footer="0" w:header="0"/>
          <w:type w:val="continuous"/>
        </w:sectPr>
      </w:pPr>
    </w:p>
    <w:bookmarkStart w:id="59" w:name="page60"/>
    <w:bookmarkEnd w:id="59"/>
    <w:p>
      <w:pPr>
        <w:spacing w:after="0"/>
        <w:rPr>
          <w:sz w:val="20"/>
          <w:szCs w:val="20"/>
          <w:color w:val="auto"/>
        </w:rPr>
      </w:pPr>
      <w:r>
        <w:rPr>
          <w:rFonts w:ascii="Times New Roman" w:cs="Times New Roman" w:eastAsia="Times New Roman" w:hAnsi="Times New Roman"/>
          <w:sz w:val="18"/>
          <w:szCs w:val="18"/>
          <w:color w:val="auto"/>
        </w:rPr>
        <w:t>new convertible debt guidance on January 1, 2022, which eliminated the recognition of the debt discount and losses on early extinguishment.</w:t>
      </w:r>
    </w:p>
    <w:p>
      <w:pPr>
        <w:spacing w:after="0" w:line="2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Other (Expense) Income</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80" w:type="dxa"/>
            <w:vAlign w:val="bottom"/>
            <w:gridSpan w:val="5"/>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60" w:type="dxa"/>
            <w:vAlign w:val="bottom"/>
          </w:tcPr>
          <w:p>
            <w:pPr>
              <w:spacing w:after="0"/>
              <w:rPr>
                <w:sz w:val="16"/>
                <w:szCs w:val="16"/>
                <w:color w:val="auto"/>
              </w:rPr>
            </w:pPr>
          </w:p>
        </w:tc>
        <w:tc>
          <w:tcPr>
            <w:tcW w:w="1340" w:type="dxa"/>
            <w:vAlign w:val="bottom"/>
            <w:gridSpan w:val="3"/>
          </w:tcPr>
          <w:p>
            <w:pPr>
              <w:ind w:left="7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340" w:type="dxa"/>
            <w:vAlign w:val="bottom"/>
            <w:tcBorders>
              <w:top w:val="single" w:sz="8" w:color="auto"/>
            </w:tcBorders>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740" w:type="dxa"/>
            <w:vAlign w:val="bottom"/>
            <w:tcBorders>
              <w:top w:val="single" w:sz="8" w:color="auto"/>
            </w:tcBorders>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(dollars in</w:t>
            </w:r>
          </w:p>
        </w:tc>
        <w:tc>
          <w:tcPr>
            <w:tcW w:w="200" w:type="dxa"/>
            <w:vAlign w:val="bottom"/>
          </w:tcPr>
          <w:p>
            <w:pPr>
              <w:spacing w:after="0"/>
              <w:rPr>
                <w:sz w:val="14"/>
                <w:szCs w:val="14"/>
                <w:color w:val="auto"/>
              </w:rPr>
            </w:pPr>
          </w:p>
        </w:tc>
        <w:tc>
          <w:tcPr>
            <w:tcW w:w="98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thousands)</w:t>
            </w:r>
          </w:p>
        </w:tc>
        <w:tc>
          <w:tcPr>
            <w:tcW w:w="200" w:type="dxa"/>
            <w:vAlign w:val="bottom"/>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1"/>
        </w:trPr>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Other (expense) income</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(6,829 )  $</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10,090</w:t>
            </w:r>
          </w:p>
        </w:tc>
        <w:tc>
          <w:tcPr>
            <w:tcW w:w="200" w:type="dxa"/>
            <w:vAlign w:val="bottom"/>
          </w:tcPr>
          <w:p>
            <w:pPr>
              <w:spacing w:after="0"/>
              <w:rPr>
                <w:sz w:val="20"/>
                <w:szCs w:val="20"/>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(16,919 )</w:t>
            </w:r>
          </w:p>
        </w:tc>
        <w:tc>
          <w:tcPr>
            <w:tcW w:w="320" w:type="dxa"/>
            <w:vAlign w:val="bottom"/>
          </w:tcPr>
          <w:p>
            <w:pPr>
              <w:spacing w:after="0"/>
              <w:rPr>
                <w:sz w:val="20"/>
                <w:szCs w:val="20"/>
                <w:color w:val="auto"/>
              </w:rPr>
            </w:pP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168 %</w:t>
            </w:r>
          </w:p>
        </w:tc>
        <w:tc>
          <w:tcPr>
            <w:tcW w:w="0" w:type="dxa"/>
            <w:vAlign w:val="bottom"/>
          </w:tcPr>
          <w:p>
            <w:pPr>
              <w:spacing w:after="0"/>
              <w:rPr>
                <w:sz w:val="1"/>
                <w:szCs w:val="1"/>
                <w:color w:val="auto"/>
              </w:rPr>
            </w:pPr>
          </w:p>
        </w:tc>
      </w:tr>
      <w:tr>
        <w:trPr>
          <w:trHeight w:val="250"/>
        </w:trPr>
        <w:tc>
          <w:tcPr>
            <w:tcW w:w="24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w w:val="86"/>
              </w:rPr>
              <w:t>not</w:t>
            </w:r>
          </w:p>
        </w:tc>
        <w:tc>
          <w:tcPr>
            <w:tcW w:w="5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Percentage of total revenue</w:t>
            </w:r>
          </w:p>
        </w:tc>
        <w:tc>
          <w:tcPr>
            <w:tcW w:w="24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0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1 %</w:t>
            </w:r>
          </w:p>
        </w:tc>
        <w:tc>
          <w:tcPr>
            <w:tcW w:w="16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7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240" w:type="dxa"/>
            <w:vAlign w:val="bottom"/>
            <w:vMerge w:val="continue"/>
          </w:tcPr>
          <w:p>
            <w:pPr>
              <w:spacing w:after="0"/>
              <w:rPr>
                <w:sz w:val="20"/>
                <w:szCs w:val="20"/>
                <w:color w:val="auto"/>
              </w:rPr>
            </w:pPr>
          </w:p>
        </w:tc>
        <w:tc>
          <w:tcPr>
            <w:tcW w:w="340" w:type="dxa"/>
            <w:vAlign w:val="bottom"/>
            <w:vMerge w:val="continue"/>
          </w:tcPr>
          <w:p>
            <w:pPr>
              <w:spacing w:after="0"/>
              <w:rPr>
                <w:sz w:val="20"/>
                <w:szCs w:val="20"/>
                <w:color w:val="auto"/>
              </w:rPr>
            </w:pPr>
          </w:p>
        </w:tc>
        <w:tc>
          <w:tcPr>
            <w:tcW w:w="52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meaningful</w:t>
            </w: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change in other expense during 2022 is primarily due to the following:</w:t>
      </w:r>
    </w:p>
    <w:p>
      <w:pPr>
        <w:spacing w:after="0" w:line="259" w:lineRule="exact"/>
        <w:rPr>
          <w:sz w:val="20"/>
          <w:szCs w:val="20"/>
          <w:color w:val="auto"/>
        </w:rPr>
      </w:pPr>
    </w:p>
    <w:p>
      <w:pPr>
        <w:jc w:val="center"/>
        <w:ind w:left="5480"/>
        <w:spacing w:after="0"/>
        <w:rPr>
          <w:sz w:val="20"/>
          <w:szCs w:val="20"/>
          <w:color w:val="auto"/>
        </w:rPr>
      </w:pPr>
      <w:r>
        <w:rPr>
          <w:rFonts w:ascii="Times New Roman" w:cs="Times New Roman" w:eastAsia="Times New Roman" w:hAnsi="Times New Roman"/>
          <w:sz w:val="14"/>
          <w:szCs w:val="14"/>
          <w:b w:val="1"/>
          <w:bCs w:val="1"/>
          <w:color w:val="auto"/>
        </w:rPr>
        <w:t>Change</w:t>
      </w:r>
    </w:p>
    <w:p>
      <w:pPr>
        <w:spacing w:after="0" w:line="29" w:lineRule="exact"/>
        <w:rPr>
          <w:sz w:val="20"/>
          <w:szCs w:val="20"/>
          <w:color w:val="auto"/>
        </w:rPr>
      </w:pPr>
    </w:p>
    <w:p>
      <w:pPr>
        <w:jc w:val="center"/>
        <w:ind w:left="5480"/>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4959985</wp:posOffset>
            </wp:positionH>
            <wp:positionV relativeFrom="paragraph">
              <wp:posOffset>15875</wp:posOffset>
            </wp:positionV>
            <wp:extent cx="72009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0090" cy="825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p>
      <w:pPr>
        <w:spacing w:after="0" w:line="33"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color w:val="auto"/>
        </w:rPr>
        <w:t>Gain on strategic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1436370</wp:posOffset>
            </wp:positionH>
            <wp:positionV relativeFrom="paragraph">
              <wp:posOffset>-127635</wp:posOffset>
            </wp:positionV>
            <wp:extent cx="4277360" cy="15430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4277360" cy="154305"/>
                    </a:xfrm>
                    <a:prstGeom prst="rect">
                      <a:avLst/>
                    </a:prstGeom>
                    <a:noFill/>
                  </pic:spPr>
                </pic:pic>
              </a:graphicData>
            </a:graphic>
          </wp:anchor>
        </w:drawing>
      </w:r>
    </w:p>
    <w:p>
      <w:pPr>
        <w:spacing w:after="0" w:line="16"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color w:val="auto"/>
        </w:rPr>
        <w:t>Impairment of strategic investments</w:t>
      </w:r>
    </w:p>
    <w:p>
      <w:pPr>
        <w:spacing w:after="0" w:line="36"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color w:val="auto"/>
        </w:rPr>
        <w:t>Foreign currency transaction gains and losses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1436370</wp:posOffset>
            </wp:positionH>
            <wp:positionV relativeFrom="paragraph">
              <wp:posOffset>-127635</wp:posOffset>
            </wp:positionV>
            <wp:extent cx="4277360" cy="16319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4277360" cy="1631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3" w:lineRule="exact"/>
        <w:rPr>
          <w:sz w:val="20"/>
          <w:szCs w:val="20"/>
          <w:color w:val="auto"/>
        </w:rPr>
      </w:pPr>
    </w:p>
    <w:p>
      <w:pPr>
        <w:ind w:left="642" w:hanging="642"/>
        <w:spacing w:after="0"/>
        <w:tabs>
          <w:tab w:leader="none" w:pos="642"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(7,540 )</w:t>
      </w:r>
    </w:p>
    <w:p>
      <w:pPr>
        <w:spacing w:after="0" w:line="47" w:lineRule="exact"/>
        <w:rPr>
          <w:rFonts w:ascii="Times New Roman" w:cs="Times New Roman" w:eastAsia="Times New Roman" w:hAnsi="Times New Roman"/>
          <w:sz w:val="17"/>
          <w:szCs w:val="17"/>
          <w:color w:val="auto"/>
        </w:rPr>
      </w:pPr>
    </w:p>
    <w:p>
      <w:pPr>
        <w:ind w:left="642" w:hanging="642"/>
        <w:spacing w:after="0"/>
        <w:tabs>
          <w:tab w:leader="none" w:pos="642"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(5,863 )</w:t>
      </w:r>
    </w:p>
    <w:p>
      <w:pPr>
        <w:spacing w:after="0" w:line="47" w:lineRule="exact"/>
        <w:rPr>
          <w:rFonts w:ascii="Times New Roman" w:cs="Times New Roman" w:eastAsia="Times New Roman" w:hAnsi="Times New Roman"/>
          <w:sz w:val="17"/>
          <w:szCs w:val="17"/>
          <w:color w:val="auto"/>
        </w:rPr>
      </w:pPr>
    </w:p>
    <w:p>
      <w:pPr>
        <w:ind w:left="642"/>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(3,516 )</w:t>
      </w:r>
    </w:p>
    <w:p>
      <w:pPr>
        <w:spacing w:after="0" w:line="61" w:lineRule="exact"/>
        <w:rPr>
          <w:rFonts w:ascii="Times New Roman" w:cs="Times New Roman" w:eastAsia="Times New Roman" w:hAnsi="Times New Roman"/>
          <w:sz w:val="17"/>
          <w:szCs w:val="17"/>
          <w:color w:val="auto"/>
        </w:rPr>
      </w:pPr>
    </w:p>
    <w:p>
      <w:pPr>
        <w:ind w:left="562" w:hanging="562"/>
        <w:spacing w:after="0"/>
        <w:tabs>
          <w:tab w:leader="none" w:pos="562"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(16,919 )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33020</wp:posOffset>
            </wp:positionV>
            <wp:extent cx="72009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009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50165</wp:posOffset>
            </wp:positionV>
            <wp:extent cx="72009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009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098" w:space="720"/>
            <w:col w:w="3402"/>
          </w:cols>
          <w:pgMar w:left="320" w:top="1201" w:right="359" w:bottom="1440" w:gutter="0" w:footer="0" w:header="0"/>
          <w:type w:val="continuous"/>
        </w:sectPr>
      </w:pPr>
    </w:p>
    <w:p>
      <w:pPr>
        <w:spacing w:after="0" w:line="50"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Other (expense) income primarily consists of the impact of foreign currency transaction gains and losses associated with monetary assets and liabilities and any gains or impairments on our strategic investments. The decrease in gain on strategic investments is due to gains of $11.7 million from observable price changes in 2021 compared to $4.2 million in 2022. The increase in impairment of strategic investments is due to the $5.9 million loss recorded in 2022 from the decrease in value of our strategic investments. The increase in foreign currency transaction losses is primarily attributable to the decline in the value of the Euro and British Pound Sterling relative to the U.S. Dollar.</w:t>
      </w:r>
    </w:p>
    <w:p>
      <w:pPr>
        <w:spacing w:after="0" w:line="2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w:t>
      </w:r>
    </w:p>
    <w:p>
      <w:pPr>
        <w:spacing w:after="0" w:line="236" w:lineRule="exact"/>
        <w:rPr>
          <w:sz w:val="20"/>
          <w:szCs w:val="20"/>
          <w:color w:val="auto"/>
        </w:rPr>
      </w:pPr>
    </w:p>
    <w:tbl>
      <w:tblPr>
        <w:tblLayout w:type="fixed"/>
        <w:tblInd w:w="580" w:type="dxa"/>
        <w:tblCellMar>
          <w:top w:w="0" w:type="dxa"/>
          <w:left w:w="0" w:type="dxa"/>
          <w:bottom w:w="0" w:type="dxa"/>
          <w:right w:w="0" w:type="dxa"/>
        </w:tblCellMar>
      </w:tblPr>
      <w:tr>
        <w:trPr>
          <w:trHeight w:val="187"/>
        </w:trPr>
        <w:tc>
          <w:tcPr>
            <w:tcW w:w="5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520" w:type="dxa"/>
            <w:vAlign w:val="bottom"/>
            <w:gridSpan w:val="6"/>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300" w:type="dxa"/>
            <w:vAlign w:val="bottom"/>
            <w:gridSpan w:val="3"/>
          </w:tcPr>
          <w:p>
            <w:pPr>
              <w:ind w:left="7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69"/>
        </w:trPr>
        <w:tc>
          <w:tcPr>
            <w:tcW w:w="5200" w:type="dxa"/>
            <w:vAlign w:val="bottom"/>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860" w:type="dxa"/>
            <w:vAlign w:val="bottom"/>
            <w:tcBorders>
              <w:top w:val="single" w:sz="8" w:color="auto"/>
              <w:bottom w:val="single" w:sz="8" w:color="auto"/>
            </w:tcBorders>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Borders>
              <w:top w:val="single" w:sz="8" w:color="auto"/>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840" w:type="dxa"/>
            <w:vAlign w:val="bottom"/>
            <w:tcBorders>
              <w:top w:val="single" w:sz="8" w:color="auto"/>
              <w:bottom w:val="single" w:sz="8" w:color="auto"/>
            </w:tcBorders>
          </w:tcPr>
          <w:p>
            <w:pPr>
              <w:jc w:val="right"/>
              <w:ind w:right="319"/>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0" w:type="dxa"/>
            <w:vAlign w:val="bottom"/>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760" w:type="dxa"/>
            <w:vAlign w:val="bottom"/>
            <w:tcBorders>
              <w:top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0" w:type="dxa"/>
            <w:vAlign w:val="bottom"/>
            <w:tcBorders>
              <w:top w:val="single" w:sz="8" w:color="auto"/>
            </w:tcBorders>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740" w:type="dxa"/>
            <w:vAlign w:val="bottom"/>
            <w:tcBorders>
              <w:top w:val="single" w:sz="8" w:color="auto"/>
              <w:bottom w:val="single" w:sz="8" w:color="auto"/>
            </w:tcBorders>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9"/>
        </w:trPr>
        <w:tc>
          <w:tcPr>
            <w:tcW w:w="5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(dollars in</w:t>
            </w:r>
          </w:p>
        </w:tc>
        <w:tc>
          <w:tcPr>
            <w:tcW w:w="11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thousands)</w:t>
            </w: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34"/>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(8,057 )  $</w:t>
            </w:r>
          </w:p>
        </w:tc>
        <w:tc>
          <w:tcPr>
            <w:tcW w:w="12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(4,019 )  $</w:t>
            </w: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(4,038 )</w:t>
            </w:r>
          </w:p>
        </w:tc>
        <w:tc>
          <w:tcPr>
            <w:tcW w:w="340" w:type="dxa"/>
            <w:vAlign w:val="bottom"/>
          </w:tcPr>
          <w:p>
            <w:pPr>
              <w:spacing w:after="0"/>
              <w:rPr>
                <w:sz w:val="20"/>
                <w:szCs w:val="20"/>
                <w:color w:val="auto"/>
              </w:rPr>
            </w:pP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38"/>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Effective tax rate</w:t>
            </w:r>
          </w:p>
        </w:tc>
        <w:tc>
          <w:tcPr>
            <w:tcW w:w="240" w:type="dxa"/>
            <w:vAlign w:val="bottom"/>
          </w:tcPr>
          <w:p>
            <w:pPr>
              <w:spacing w:after="0"/>
              <w:rPr>
                <w:sz w:val="20"/>
                <w:szCs w:val="20"/>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8 %</w:t>
            </w:r>
          </w:p>
        </w:tc>
        <w:tc>
          <w:tcPr>
            <w:tcW w:w="24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-299720</wp:posOffset>
            </wp:positionV>
            <wp:extent cx="6412230" cy="15430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412230" cy="154305"/>
                    </a:xfrm>
                    <a:prstGeom prst="rect">
                      <a:avLst/>
                    </a:prstGeom>
                    <a:noFill/>
                  </pic:spPr>
                </pic:pic>
              </a:graphicData>
            </a:graphic>
          </wp:anchor>
        </w:drawing>
      </w:r>
    </w:p>
    <w:p>
      <w:pPr>
        <w:spacing w:after="0" w:line="164"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Income tax expense consists of current and deferred taxes for U.S. and foreign income taxes. The increase in income tax expense was primarily driven by increased income in jurisdictions outside of the U.S. that are profitable from a tax perspective, the state tax effect of a U.S. federal tax law change in effect from January 1, 2022 that requires the capitalization of research and experimental costs, and lower tax benefits associated with stock-based compensation, partially offset by a non-recurring income tax benefit recognized in 2021 relating to the release of a portion of the Company’s valuation allowance. The release was due to recording net deferred tax liabilities related to the Hustle acquisition, which are a source of income to support the realizability of the Company’s pre-existing U.S. deferred tax assets.</w:t>
      </w: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02" w:lineRule="exact"/>
        <w:rPr>
          <w:sz w:val="20"/>
          <w:szCs w:val="20"/>
          <w:color w:val="auto"/>
        </w:rPr>
      </w:pPr>
    </w:p>
    <w:p>
      <w:pPr>
        <w:ind w:right="580" w:firstLine="509"/>
        <w:spacing w:after="0" w:line="282" w:lineRule="auto"/>
        <w:rPr>
          <w:sz w:val="20"/>
          <w:szCs w:val="20"/>
          <w:color w:val="auto"/>
        </w:rPr>
      </w:pPr>
      <w:r>
        <w:rPr>
          <w:rFonts w:ascii="Times New Roman" w:cs="Times New Roman" w:eastAsia="Times New Roman" w:hAnsi="Times New Roman"/>
          <w:sz w:val="18"/>
          <w:szCs w:val="18"/>
          <w:color w:val="auto"/>
        </w:rPr>
        <w:t>Our principal sources of liquidity to date have been cash and cash equivalents, net accounts receivable, our common stock offerings, and our convertible notes offerings.</w:t>
      </w:r>
    </w:p>
    <w:p>
      <w:pPr>
        <w:spacing w:after="0" w:line="121" w:lineRule="exact"/>
        <w:rPr>
          <w:sz w:val="20"/>
          <w:szCs w:val="20"/>
          <w:color w:val="auto"/>
        </w:rPr>
      </w:pPr>
    </w:p>
    <w:p>
      <w:pPr>
        <w:ind w:right="16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shows cash and cash equivalents, working capital, net cash and cash equivalents provided by operating activities, net cash and cash equivalents used in investing activities, and net cash and cash equivalents (used in) and provided by</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type w:val="continuous"/>
        </w:sectPr>
      </w:pPr>
    </w:p>
    <w:bookmarkStart w:id="60" w:name="page61"/>
    <w:bookmarkEnd w:id="60"/>
    <w:p>
      <w:pPr>
        <w:spacing w:after="0"/>
        <w:rPr>
          <w:sz w:val="20"/>
          <w:szCs w:val="20"/>
          <w:color w:val="auto"/>
        </w:rPr>
      </w:pPr>
      <w:r>
        <w:rPr>
          <w:rFonts w:ascii="Times New Roman" w:cs="Times New Roman" w:eastAsia="Times New Roman" w:hAnsi="Times New Roman"/>
          <w:sz w:val="18"/>
          <w:szCs w:val="18"/>
          <w:color w:val="auto"/>
        </w:rPr>
        <w:t>financing activities for the years ended December 31, 2023, 2022 and 2021:</w:t>
      </w:r>
    </w:p>
    <w:p>
      <w:pPr>
        <w:spacing w:after="0" w:line="232" w:lineRule="exact"/>
        <w:rPr>
          <w:sz w:val="20"/>
          <w:szCs w:val="20"/>
          <w:color w:val="auto"/>
        </w:rPr>
      </w:pPr>
    </w:p>
    <w:tbl>
      <w:tblPr>
        <w:tblLayout w:type="fixed"/>
        <w:tblInd w:w="580" w:type="dxa"/>
        <w:tblCellMar>
          <w:top w:w="0" w:type="dxa"/>
          <w:left w:w="0" w:type="dxa"/>
          <w:bottom w:w="0" w:type="dxa"/>
          <w:right w:w="0" w:type="dxa"/>
        </w:tblCellMar>
      </w:tblPr>
      <w:tr>
        <w:trPr>
          <w:trHeight w:val="187"/>
        </w:trPr>
        <w:tc>
          <w:tcPr>
            <w:tcW w:w="58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4"/>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58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r>
      <w:tr>
        <w:trPr>
          <w:trHeight w:val="169"/>
        </w:trPr>
        <w:tc>
          <w:tcPr>
            <w:tcW w:w="5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3"/>
        </w:trPr>
        <w:tc>
          <w:tcPr>
            <w:tcW w:w="5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387,987</w:t>
            </w:r>
          </w:p>
        </w:tc>
        <w:tc>
          <w:tcPr>
            <w:tcW w:w="3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331,022</w:t>
            </w:r>
          </w:p>
        </w:tc>
        <w:tc>
          <w:tcPr>
            <w:tcW w:w="220" w:type="dxa"/>
            <w:vAlign w:val="bottom"/>
            <w:shd w:val="clear" w:color="auto" w:fill="CFF0FC"/>
          </w:tcPr>
          <w:p>
            <w:pPr>
              <w:spacing w:after="0"/>
              <w:rPr>
                <w:sz w:val="21"/>
                <w:szCs w:val="21"/>
                <w:color w:val="auto"/>
              </w:rPr>
            </w:pP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377,013</w:t>
            </w:r>
          </w:p>
        </w:tc>
        <w:tc>
          <w:tcPr>
            <w:tcW w:w="100" w:type="dxa"/>
            <w:vAlign w:val="bottom"/>
            <w:shd w:val="clear" w:color="auto" w:fill="CFF0FC"/>
          </w:tcPr>
          <w:p>
            <w:pPr>
              <w:spacing w:after="0"/>
              <w:rPr>
                <w:sz w:val="21"/>
                <w:szCs w:val="21"/>
                <w:color w:val="auto"/>
              </w:rPr>
            </w:pPr>
          </w:p>
        </w:tc>
      </w:tr>
      <w:tr>
        <w:trPr>
          <w:trHeight w:val="239"/>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Working capital</w:t>
            </w: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915,293</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992,946</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836,100</w:t>
            </w:r>
          </w:p>
        </w:tc>
        <w:tc>
          <w:tcPr>
            <w:tcW w:w="100" w:type="dxa"/>
            <w:vAlign w:val="bottom"/>
          </w:tcPr>
          <w:p>
            <w:pPr>
              <w:spacing w:after="0"/>
              <w:rPr>
                <w:sz w:val="20"/>
                <w:szCs w:val="20"/>
                <w:color w:val="auto"/>
              </w:rPr>
            </w:pPr>
          </w:p>
        </w:tc>
      </w:tr>
      <w:tr>
        <w:trPr>
          <w:trHeight w:val="247"/>
        </w:trPr>
        <w:tc>
          <w:tcPr>
            <w:tcW w:w="5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and cash equivalents provided by operating activities</w:t>
            </w:r>
          </w:p>
        </w:tc>
        <w:tc>
          <w:tcPr>
            <w:tcW w:w="28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350,971</w:t>
            </w:r>
          </w:p>
        </w:tc>
        <w:tc>
          <w:tcPr>
            <w:tcW w:w="2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273,174</w:t>
            </w:r>
          </w:p>
        </w:tc>
        <w:tc>
          <w:tcPr>
            <w:tcW w:w="2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238,728</w:t>
            </w:r>
          </w:p>
        </w:tc>
        <w:tc>
          <w:tcPr>
            <w:tcW w:w="100" w:type="dxa"/>
            <w:vAlign w:val="bottom"/>
            <w:shd w:val="clear" w:color="auto" w:fill="CFF0FC"/>
          </w:tcPr>
          <w:p>
            <w:pPr>
              <w:spacing w:after="0"/>
              <w:rPr>
                <w:sz w:val="21"/>
                <w:szCs w:val="21"/>
                <w:color w:val="auto"/>
              </w:rPr>
            </w:pPr>
          </w:p>
        </w:tc>
      </w:tr>
      <w:tr>
        <w:trPr>
          <w:trHeight w:val="239"/>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Net cash and cash equivalents used in investing activities</w:t>
            </w:r>
          </w:p>
        </w:tc>
        <w:tc>
          <w:tcPr>
            <w:tcW w:w="280" w:type="dxa"/>
            <w:vAlign w:val="bottom"/>
          </w:tcPr>
          <w:p>
            <w:pPr>
              <w:spacing w:after="0"/>
              <w:rPr>
                <w:sz w:val="20"/>
                <w:szCs w:val="20"/>
                <w:color w:val="auto"/>
              </w:rPr>
            </w:pPr>
          </w:p>
        </w:tc>
        <w:tc>
          <w:tcPr>
            <w:tcW w:w="1220" w:type="dxa"/>
            <w:vAlign w:val="bottom"/>
            <w:gridSpan w:val="2"/>
          </w:tcPr>
          <w:p>
            <w:pPr>
              <w:jc w:val="right"/>
              <w:ind w:right="119"/>
              <w:spacing w:after="0"/>
              <w:rPr>
                <w:sz w:val="20"/>
                <w:szCs w:val="20"/>
                <w:color w:val="auto"/>
              </w:rPr>
            </w:pPr>
            <w:r>
              <w:rPr>
                <w:rFonts w:ascii="Times New Roman" w:cs="Times New Roman" w:eastAsia="Times New Roman" w:hAnsi="Times New Roman"/>
                <w:sz w:val="18"/>
                <w:szCs w:val="18"/>
                <w:color w:val="auto"/>
              </w:rPr>
              <w:t>(334,766 )</w:t>
            </w:r>
          </w:p>
        </w:tc>
        <w:tc>
          <w:tcPr>
            <w:tcW w:w="120" w:type="dxa"/>
            <w:vAlign w:val="bottom"/>
          </w:tcPr>
          <w:p>
            <w:pPr>
              <w:spacing w:after="0"/>
              <w:rPr>
                <w:sz w:val="20"/>
                <w:szCs w:val="20"/>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(319,658 )</w:t>
            </w:r>
          </w:p>
        </w:tc>
        <w:tc>
          <w:tcPr>
            <w:tcW w:w="280" w:type="dxa"/>
            <w:vAlign w:val="bottom"/>
          </w:tcPr>
          <w:p>
            <w:pPr>
              <w:spacing w:after="0"/>
              <w:rPr>
                <w:sz w:val="20"/>
                <w:szCs w:val="20"/>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(179,508 )</w:t>
            </w:r>
          </w:p>
        </w:tc>
      </w:tr>
      <w:tr>
        <w:trPr>
          <w:trHeight w:val="247"/>
        </w:trPr>
        <w:tc>
          <w:tcPr>
            <w:tcW w:w="5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and cash equivalents provided by (used in) financing activities</w:t>
            </w:r>
          </w:p>
        </w:tc>
        <w:tc>
          <w:tcPr>
            <w:tcW w:w="28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37,011</w:t>
            </w:r>
          </w:p>
        </w:tc>
        <w:tc>
          <w:tcPr>
            <w:tcW w:w="2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7,428</w:t>
            </w:r>
          </w:p>
        </w:tc>
        <w:tc>
          <w:tcPr>
            <w:tcW w:w="2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(51,469 )</w:t>
            </w:r>
          </w:p>
        </w:tc>
      </w:tr>
    </w:tbl>
    <w:p>
      <w:pPr>
        <w:spacing w:after="0" w:line="171"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Our cash and cash equivalents at December 31, 2023 were held for working capital purposes. We believe our working capital is sufficient to support our operations for at least the next 12 months. At December 31, 2023, $179.8 million of our cash and cash equivalents was held in accounts outside the United States. We do not assert indefinite reinvestment of our foreign earnings because these earnings have been subject to United States Federal tax. While we have concluded that any incremental tax incurred upon ultimate distribution of these earnings to be immaterial, our current plans do not demonstrate a need to repatriate undistributed earnings to fund our U.S. operations.</w:t>
      </w:r>
    </w:p>
    <w:p>
      <w:pPr>
        <w:spacing w:after="0" w:line="13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Net Cash and Cash Equivalents Provided by Operating Activities</w:t>
      </w:r>
    </w:p>
    <w:p>
      <w:pPr>
        <w:spacing w:after="0" w:line="189" w:lineRule="exact"/>
        <w:rPr>
          <w:sz w:val="20"/>
          <w:szCs w:val="20"/>
          <w:color w:val="auto"/>
        </w:rPr>
      </w:pPr>
    </w:p>
    <w:p>
      <w:pPr>
        <w:ind w:right="300" w:firstLine="509"/>
        <w:spacing w:after="0" w:line="282" w:lineRule="auto"/>
        <w:rPr>
          <w:sz w:val="20"/>
          <w:szCs w:val="20"/>
          <w:color w:val="auto"/>
        </w:rPr>
      </w:pPr>
      <w:r>
        <w:rPr>
          <w:rFonts w:ascii="Times New Roman" w:cs="Times New Roman" w:eastAsia="Times New Roman" w:hAnsi="Times New Roman"/>
          <w:sz w:val="18"/>
          <w:szCs w:val="18"/>
          <w:color w:val="auto"/>
        </w:rPr>
        <w:t>Net cash and cash equivalents provided by operating activities consists primarily of net loss adjusted for certain non-cash items, including stock-based compensation, depreciation and amortization and other non-cash charges, net.</w:t>
      </w:r>
    </w:p>
    <w:p>
      <w:pPr>
        <w:spacing w:after="0" w:line="135"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Net cash and cash equivalents provided by operating activities during the year ended December 31, 2023 primarily reflected our net loss of $176.3 million and $42.9 million accretion of bond discounts, offset by non-cash expenses that included $72.7 million of depreciation and amortization, restructuring charges of $67.3 million, $432.3 million in stock-based compensation, $1.7 million on impairment of strategic investments, and $2.0 million of amortization of debt issuance costs. Working capital sources of cash and cash equivalents primarily included a $109.9 million increase in deferred revenue primarily resulting from the growth in the number of customers invoiced during the period, a $29.2 million increase in right-of-use asset, and $87.1 million increase in accrued expenses and other liabilities. These sources of cash and cash equivalents were offset by a $47.0 million increase in prepaid expenses and other assets, a $36.9 million decrease in operating lease liabilities, a $14.0 million increase in accounts payable related to timing of bill payments, a $81.2 million increase in deferred commissions, and a $57.6 million increase in accounts receivable as a result of increased billings to customers.</w:t>
      </w:r>
    </w:p>
    <w:p>
      <w:pPr>
        <w:spacing w:after="0" w:line="148"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Net cash and cash equivalents provided by operating activities during the year ended December 31, 2022 primarily reflected our net loss of $112.7 million, benefit from deferred income taxes of $2.1 million, $9.1 million accretion of bond discounts, and gains on strategic investments of $4.2 million, offset by non-cash expenses that included $58.2 million of depreciation and amortization, $275.8 million in stock-based compensation, $5.9 million on impairment of strategic investments, and $2.0 million of amortization of debt issuance costs. Working capital sources of cash and cash equivalents primarily included a $117.0 million increase in deferred revenue primarily resulting from the growth in the number of customers invoiced during the period, a $29.5 million increase in right-of-use asset, a $18.3 million increase in accounts payable related to timing of bill payments, and $32.4 million increase in accrued expenses and other liabilities. These sources of cash and cash equivalents were offset by a $6.0 million increase in prepaid expenses and other assets, a $21.1 million decrease in operating lease liabilities, a $37.6 million increase in deferred commissions, and a $74.0 million increase in accounts receivable as a result of increased billings to customers.</w:t>
      </w:r>
    </w:p>
    <w:p>
      <w:pPr>
        <w:spacing w:after="0" w:line="148"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Net cash and cash equivalents provided by operating activities during the year ended December 31, 2021 primarily reflected our net loss of $77.8 million, the portion of the repayment of the 2022 Notes attributable to the debt discount of $26.4 million, benefit from deferred income taxes of $2.9 million, gain on termination of operating leases of $4.3 million, and gains on strategic investments of $11.7 million, offset by non-cash expenses that included $45.2 million of depreciation and amortization, $166.8 million in stock-based compensation, $4.3 million amortization of bond discounts, $23.5 million of amortization of debt discount and issuance costs, loss on disposal of fixed assets of $6.5 million, and $4.9 million of loss on early extinguishment of 2022 Notes. Working capital sources of cash and cash equivalents primarily included a $127.7 million increase in deferred revenue primarily resulting from the growth in the number of customers invoiced during the period, a $31.4 million increase in right-of-use asset, and a $58.2 million increase in accrued expenses and other liabilities. These sources of cash and cash equivalents were offset by a $10.6 million increase in accounts payable related to timing of bill payments, a $29.5 million decrease in operating lease liabilities, a $32.6 million increase in deferred commissions, a $1.1 million increase in prepaid and other assets, and a $34.1 million increase in accounts receivable as a result of increased billings to customers consistent with the overall growth of the business.</w:t>
      </w: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61" w:name="page62"/>
    <w:bookmarkEnd w:id="61"/>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Net Cash and Cash Equivalents Used in Investing Activities</w:t>
      </w:r>
    </w:p>
    <w:p>
      <w:pPr>
        <w:spacing w:after="0" w:line="202"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Our investing activities have consisted primarily of purchases, maturities and sale of investments, property and equipment purchases, business acquisitions, purchase of intangible assets, purchases of strategic investments, an equity method investment and capitalization of software development costs. Capitalized software development costs are related to new products or improvements to our existing software platform that expands the functionality for our customers.</w:t>
      </w:r>
    </w:p>
    <w:p>
      <w:pPr>
        <w:spacing w:after="0" w:line="139"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Net cash and cash equivalents used in investing activities during the year ended December 31, 2023 consisted primarily of $1.6 billion purchases of investments, $33.7 million of purchased property and equipment, $12.4 million of purchases of strategic investments, $2.0 million in an equity method investment, $66.4 million of capitalized software development costs, and $142.1 million in a business acquisition. These uses of cash were offset by $1.5 billion received related to the maturity of investments.</w:t>
      </w:r>
    </w:p>
    <w:p>
      <w:pPr>
        <w:spacing w:after="0" w:line="139"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Net cash and cash equivalents used in investing activities during the year ended December 31, 2022 consisted primarily of $1.5 billion purchases of investments, $37.4 million of purchased property and equipment, $26.4 million of purchases of strategic investments, $3.1 million in an equity method investment, $44.3 million of capitalized software development costs, and a $10.0 million purchase of intangible assets. These uses of cash were offset by $1.2 billion received related to the maturity of investments and $125.0 million received for sale of strategic investments.</w:t>
      </w:r>
    </w:p>
    <w:p>
      <w:pPr>
        <w:spacing w:after="0" w:line="153"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Net cash and cash equivalents used in investing activities during the year ended December 31, 2021 consisted primarily of $1.5 billion purchases of investments, $28.7 million of purchased property and equipment, a $16.8 million business acquisition, $13.1 million of purchases of strategic investments, $3.1 million in an equity method investment and $33.1 million of capitalized software development costs. These uses of cash were offset by $1.4 billion received related to the maturity of investments and $12.6 million received for sale of strategic investments.</w:t>
      </w:r>
    </w:p>
    <w:p>
      <w:pPr>
        <w:spacing w:after="0" w:line="13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Net Cash and Cash Equivalents Provided by (Used in) Financing Activities</w:t>
      </w:r>
    </w:p>
    <w:p>
      <w:pPr>
        <w:spacing w:after="0" w:line="189"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Our financing activities have consisted primarily of the various components of our 2022 Notes repayment, the various components of our 2025 Notes offering and repayment, the issuance of common stock under our stock plans, and payments of employee taxes related to the net share settlement of stock-based awards.</w:t>
      </w:r>
    </w:p>
    <w:p>
      <w:pPr>
        <w:spacing w:after="0" w:line="149"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For the year ended December 31, 2023, cash provided by financing activities consisted of $47.7 million of proceeds related to issuance of common stock under stock plans, offset by $10.7 million used for payment of employee taxes related to the net share settlement of stock-based awards.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For the year ended December 31, 2022, cash provided by $39.9 million of proceeds related to issuance of common stock under stock plans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$60.5 million of proceeds from settlement of the Convertible Note Hedges, offset by $1.6 million used for the repayment of the 2025 Notes attributable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principal, $79.8 million payment for settlement of the 2022 Notes, and $11.5 million used for payment of employee taxes related to the net share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settlement of stock-based awards.</w:t>
      </w:r>
    </w:p>
    <w:p>
      <w:pPr>
        <w:spacing w:after="0" w:line="166"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For the year ended December 31, 2021, cash used in financing activities consisted of $89.5 million used for repayment of the 2022 Notes attributable to the principal and $17.4 million used for payment of employee taxes related to the net share settlement of stock-based awards, offset by $9.0 million of proceeds from the settlement of the Convertible Note Hedges related to the 2022 Notes and $46.5 million of proceeds related to issuance of common stock under stock plans.</w:t>
      </w:r>
    </w:p>
    <w:p>
      <w:pPr>
        <w:spacing w:after="0" w:line="27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57" w:right="399" w:bottom="1440" w:gutter="0" w:footer="0" w:header="0"/>
        </w:sectPr>
      </w:pPr>
    </w:p>
    <w:bookmarkStart w:id="62" w:name="page63"/>
    <w:bookmarkEnd w:id="62"/>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Liquidity and Capital Resources Considerations</w:t>
      </w:r>
    </w:p>
    <w:p>
      <w:pPr>
        <w:spacing w:after="0" w:line="20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Contractual Obligations and Commitments</w:t>
      </w:r>
    </w:p>
    <w:p>
      <w:pPr>
        <w:spacing w:after="0" w:line="187"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Contractual obligations are cash that we are obligated to pay as part of certain contracts that we have entered during our course of business. Our contractual obligations consist of operating lease liabilities that are included in our consolidated balance sheet and vendor commitments associated with agreements that are legally binding. As of December 31, 2023, the total obligation for operating leases was $405.1 million, of which $54.6 million is expected in the next twelve months. As of December 31, 2023, our vendor commitment was $848.7 million, of which $213.2 million is expected in the next twelve months. See Note 11 of the Notes to Consolidated Financial Statements included elsewhere in this Annual Report.</w:t>
      </w:r>
    </w:p>
    <w:p>
      <w:pPr>
        <w:spacing w:after="0" w:line="14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Convertible Senior Notes</w:t>
      </w:r>
    </w:p>
    <w:p>
      <w:pPr>
        <w:spacing w:after="0" w:line="200"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As of December 31, 2023, the carrying value was $456.2 million for our 2025 Notes. The interest rate is fixed at 0.375% for the 2025 Notes. Interest is payable semi-annually in arrears on June 1 and December 1 of each year for both Notes. See Note 9 of the Notes to Consolidated Financial Statements included elsewhere in this Annual Report.</w:t>
      </w:r>
    </w:p>
    <w:p>
      <w:pPr>
        <w:spacing w:after="0" w:line="13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Letters of Credit</w:t>
      </w:r>
    </w:p>
    <w:p>
      <w:pPr>
        <w:spacing w:after="0" w:line="187" w:lineRule="exact"/>
        <w:rPr>
          <w:sz w:val="20"/>
          <w:szCs w:val="20"/>
          <w:color w:val="auto"/>
        </w:rPr>
      </w:pPr>
    </w:p>
    <w:p>
      <w:pPr>
        <w:ind w:right="520" w:firstLine="509"/>
        <w:spacing w:after="0" w:line="282" w:lineRule="auto"/>
        <w:rPr>
          <w:sz w:val="20"/>
          <w:szCs w:val="20"/>
          <w:color w:val="auto"/>
        </w:rPr>
      </w:pPr>
      <w:r>
        <w:rPr>
          <w:rFonts w:ascii="Times New Roman" w:cs="Times New Roman" w:eastAsia="Times New Roman" w:hAnsi="Times New Roman"/>
          <w:sz w:val="18"/>
          <w:szCs w:val="18"/>
          <w:color w:val="auto"/>
        </w:rPr>
        <w:t>As of December 31, 2023, we had a total of $4.1 million in letters of credit outstanding for office space. These irrevocable letters of credit are expected to remain in effect, in some cases, until 2029.</w:t>
      </w:r>
    </w:p>
    <w:p>
      <w:pPr>
        <w:spacing w:after="0" w:line="13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Off Balance Sheet Arrangements</w:t>
      </w:r>
    </w:p>
    <w:p>
      <w:pPr>
        <w:spacing w:after="0" w:line="187" w:lineRule="exact"/>
        <w:rPr>
          <w:sz w:val="20"/>
          <w:szCs w:val="20"/>
          <w:color w:val="auto"/>
        </w:rPr>
      </w:pPr>
    </w:p>
    <w:p>
      <w:pPr>
        <w:ind w:right="40" w:firstLine="509"/>
        <w:spacing w:after="0" w:line="312" w:lineRule="auto"/>
        <w:rPr>
          <w:sz w:val="20"/>
          <w:szCs w:val="20"/>
          <w:color w:val="auto"/>
        </w:rPr>
      </w:pPr>
      <w:r>
        <w:rPr>
          <w:rFonts w:ascii="Times New Roman" w:cs="Times New Roman" w:eastAsia="Times New Roman" w:hAnsi="Times New Roman"/>
          <w:sz w:val="17"/>
          <w:szCs w:val="17"/>
          <w:color w:val="auto"/>
        </w:rPr>
        <w:t>We have no material off-balance sheet arrangements at December 31, 2023 or 2022 exclusive of items described above and indemnifications of officers, directors and employees for certain events or occurrences while the officer, director or employee is, or was, serving at our request in such capacity.</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02"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Our management’s discussion and analysis of financial condition and results of operations is based on our consolidated financial statements which have been prepared in accordance with accounting principles generally accepted in the United States of America. In preparing our financial statements, we make estimates, assumptions and judgments that can have a significant impact on our reported revenues, results of operations and net income or loss, as well as on the value of certain assets and liabilities on our balance sheet during and as of the reporting periods. These estimates, assumptions and judgments are necessary because future events and their effects on our results and the value of our assets cannot be determined with certainty and are made based on our historical experience and on other assumptions that we believe to be reasonable under the circumstances. These estimates may change as new events occur or additional information is obtained, and we may periodically be faced with uncertainties, the outcomes of which are not within our control and may not be known for a prolonged period of time. Because the use of estimates is inherent in the financial reporting process, actual results could differ from those estimates.</w:t>
      </w:r>
    </w:p>
    <w:p>
      <w:pPr>
        <w:spacing w:after="0" w:line="148" w:lineRule="exact"/>
        <w:rPr>
          <w:sz w:val="20"/>
          <w:szCs w:val="20"/>
          <w:color w:val="auto"/>
        </w:rPr>
      </w:pPr>
    </w:p>
    <w:p>
      <w:pPr>
        <w:ind w:right="740" w:firstLine="509"/>
        <w:spacing w:after="0" w:line="312" w:lineRule="auto"/>
        <w:rPr>
          <w:sz w:val="20"/>
          <w:szCs w:val="20"/>
          <w:color w:val="auto"/>
        </w:rPr>
      </w:pPr>
      <w:r>
        <w:rPr>
          <w:rFonts w:ascii="Times New Roman" w:cs="Times New Roman" w:eastAsia="Times New Roman" w:hAnsi="Times New Roman"/>
          <w:sz w:val="17"/>
          <w:szCs w:val="17"/>
          <w:color w:val="auto"/>
        </w:rPr>
        <w:t>We believe that of our significant accounting policies, which are described in Note 2 “Summary of Significant Accounting Policies” to our consolidated financial statements, the following accounting policies and specific estimates involve a greater degree of judgment and complexity.</w:t>
      </w:r>
    </w:p>
    <w:p>
      <w:pPr>
        <w:spacing w:after="0" w:line="9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02"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We generate revenue from arrangements with multiple performance obligations, which typically include subscriptions to our online software solutions and professional and other services which include on-boarding, training, consulting services and our Commerce Hub. Our customers do not have the right to take possession of the online software products. Revenue from online software products is recognized ratably over the subscription period beginning on the date the online software product is made available to customers. We recognize revenue from on-boarding, training, consulting services, and Commerce Hub as the services are provided. Amounts billed that have not yet met the applicable revenue recognition criteria are recorded as deferred revenue.</w:t>
      </w:r>
    </w:p>
    <w:p>
      <w:pPr>
        <w:spacing w:after="0" w:line="147" w:lineRule="exact"/>
        <w:rPr>
          <w:sz w:val="20"/>
          <w:szCs w:val="20"/>
          <w:color w:val="auto"/>
        </w:rPr>
      </w:pPr>
    </w:p>
    <w:p>
      <w:pPr>
        <w:ind w:right="160" w:firstLine="509"/>
        <w:spacing w:after="0" w:line="274" w:lineRule="auto"/>
        <w:rPr>
          <w:sz w:val="20"/>
          <w:szCs w:val="20"/>
          <w:color w:val="auto"/>
        </w:rPr>
      </w:pPr>
      <w:r>
        <w:rPr>
          <w:rFonts w:ascii="Times New Roman" w:cs="Times New Roman" w:eastAsia="Times New Roman" w:hAnsi="Times New Roman"/>
          <w:sz w:val="17"/>
          <w:szCs w:val="17"/>
          <w:color w:val="auto"/>
        </w:rPr>
        <w:t>We allocate the transaction price to each distinct performance obligation based on the standalone selling price (“SSP”) of each good or service. We calculate SSP for each type of online software product and professional service offering by averaging the selling price of all purchases within the trailing four calendar quarters. We generally use four quarters of transaction data to determine SSP as most of our customer arrangements are one year or less and pricing may be subject to change upon each customer’s renewal. In instances where there are not sufficient data points, or the average selling prices for a particular online software product or professional service offering are disparate, we estimate the SSP using other observable inputs, such as similar products or services. If the actual selling price for the sale of an online software product or professional service offering within a multiple performance</w:t>
      </w:r>
    </w:p>
    <w:p>
      <w:pPr>
        <w:spacing w:after="0" w:line="2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7" w:right="339" w:bottom="1440" w:gutter="0" w:footer="0" w:header="0"/>
        </w:sectPr>
      </w:pPr>
    </w:p>
    <w:bookmarkStart w:id="63" w:name="page64"/>
    <w:bookmarkEnd w:id="63"/>
    <w:p>
      <w:pPr>
        <w:ind w:right="460"/>
        <w:spacing w:after="0" w:line="282" w:lineRule="auto"/>
        <w:rPr>
          <w:sz w:val="20"/>
          <w:szCs w:val="20"/>
          <w:color w:val="auto"/>
        </w:rPr>
      </w:pPr>
      <w:r>
        <w:rPr>
          <w:rFonts w:ascii="Times New Roman" w:cs="Times New Roman" w:eastAsia="Times New Roman" w:hAnsi="Times New Roman"/>
          <w:sz w:val="18"/>
          <w:szCs w:val="18"/>
          <w:color w:val="auto"/>
        </w:rPr>
        <w:t>obligation arrangement substantially differs from the SSP of that offering, we use the relative SSP to allocate the transaction price to the performance obligations in the contract.</w:t>
      </w:r>
    </w:p>
    <w:p>
      <w:pPr>
        <w:spacing w:after="0" w:line="13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Costs to Obtain a Contract with a Customer</w:t>
      </w:r>
    </w:p>
    <w:p>
      <w:pPr>
        <w:spacing w:after="0" w:line="189"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Sales commissions earned by our sales force and Solutions Partners are considered incremental, recoverable costs of obtaining a contract with a customer. Sales commissions for initial contracts are deferred and then amortized on a straight-line basis over a period of benefit that we have determined to be approximately two to four years. The two to four-year period has been determined by taking into consideration the type of product sold, the commitment term of the customer contract, the nature of the Company’s technology development life-cycle, and an estimated customer relationship period. Sales commissions for upgrade contracts are deferred and amortized on a straight-line basis over the remaining estimated customer relationship period of the related customer. While we do not anticipate any significant changes to the two to four year amortization period, if a change did occur it could produce a material impact on our financial statements. For example, if the commitment term of our customer contracts significantly increased, our deferred commission expense asset would increase, and our amortization expense would decrease in the period in which the change occurs.</w:t>
      </w:r>
    </w:p>
    <w:p>
      <w:pPr>
        <w:spacing w:after="0" w:line="14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Capitalized Software Development Costs</w:t>
      </w:r>
    </w:p>
    <w:p>
      <w:pPr>
        <w:spacing w:after="0" w:line="202"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Software development costs consist of certain payroll and stock compensation costs incurred to develop functionality for our customer platform and internally-built software platforms, as well as certain upgrades and enhancements that are expected to result in enhanced functionality. We capitalize certain software development costs for new offerings as well as upgrades to our existing software platforms, while costs associated with planning new developments and maintaining our customer platform and internally built software platforms are expensed as incurred. We amortize these development costs over the estimated useful life of two to five years on a straight-line basis. We determined that a two- to five- year life is appropriate for our internal-use software based on our best estimate of the useful life of the internally developed software after considering factors such as continuous developments in the technology, obsolescence, and anticipated life of the service offering before significant upgrades. Management evaluates the useful lives of these assets on a quarterly basis and tests for impairment whenever events or changes in circumstances occur that could impact the recoverability of these assets.</w:t>
      </w:r>
    </w:p>
    <w:p>
      <w:pPr>
        <w:spacing w:after="0" w:line="151"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We determine the amount of internal software costs to be capitalized based on the amount of time spent by our developers on projects in the application stage of development. There is judgment involved in estimating the time allocated to a particular project in the application stage. A significant change in the time spent on each project could have a material impact on the amount capitalized and related amortization expense in subsequent periods.</w:t>
      </w:r>
    </w:p>
    <w:p>
      <w:pPr>
        <w:spacing w:after="0" w:line="13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212529"/>
        </w:rPr>
        <w:t>Leases</w:t>
      </w:r>
    </w:p>
    <w:p>
      <w:pPr>
        <w:spacing w:after="0" w:line="202" w:lineRule="exact"/>
        <w:rPr>
          <w:sz w:val="20"/>
          <w:szCs w:val="20"/>
          <w:color w:val="auto"/>
        </w:rPr>
      </w:pPr>
    </w:p>
    <w:p>
      <w:pPr>
        <w:ind w:right="160" w:firstLine="509"/>
        <w:spacing w:after="0" w:line="282" w:lineRule="auto"/>
        <w:rPr>
          <w:sz w:val="20"/>
          <w:szCs w:val="20"/>
          <w:color w:val="auto"/>
        </w:rPr>
      </w:pPr>
      <w:r>
        <w:rPr>
          <w:rFonts w:ascii="Times New Roman" w:cs="Times New Roman" w:eastAsia="Times New Roman" w:hAnsi="Times New Roman"/>
          <w:sz w:val="18"/>
          <w:szCs w:val="18"/>
          <w:color w:val="auto"/>
        </w:rPr>
        <w:t>We lease office facilities under non-cancelable operating leases that expire at various dates through February 2035. Certain leases contain optional termination dates.</w:t>
      </w:r>
    </w:p>
    <w:p>
      <w:pPr>
        <w:spacing w:after="0" w:line="121" w:lineRule="exact"/>
        <w:rPr>
          <w:sz w:val="20"/>
          <w:szCs w:val="20"/>
          <w:color w:val="auto"/>
        </w:rPr>
      </w:pPr>
    </w:p>
    <w:p>
      <w:pPr>
        <w:ind w:right="140" w:firstLine="509"/>
        <w:spacing w:after="0" w:line="266" w:lineRule="auto"/>
        <w:rPr>
          <w:sz w:val="20"/>
          <w:szCs w:val="20"/>
          <w:color w:val="auto"/>
        </w:rPr>
      </w:pPr>
      <w:r>
        <w:rPr>
          <w:rFonts w:ascii="Times New Roman" w:cs="Times New Roman" w:eastAsia="Times New Roman" w:hAnsi="Times New Roman"/>
          <w:sz w:val="18"/>
          <w:szCs w:val="18"/>
          <w:color w:val="auto"/>
        </w:rPr>
        <w:t>We determine if an arrangement contains a lease at inception and do not separate lease and non-lease components of an arrangement determined to contain a lease. Operating leases with a duration of 12 months or less are excluded from right-of-use-assets and lease liabilities and related expenses are recorded as incurred.</w:t>
      </w:r>
    </w:p>
    <w:p>
      <w:pPr>
        <w:spacing w:after="0" w:line="135" w:lineRule="exact"/>
        <w:rPr>
          <w:sz w:val="20"/>
          <w:szCs w:val="20"/>
          <w:color w:val="auto"/>
        </w:rPr>
      </w:pPr>
    </w:p>
    <w:p>
      <w:pPr>
        <w:ind w:right="120" w:firstLine="499"/>
        <w:spacing w:after="0" w:line="266" w:lineRule="auto"/>
        <w:rPr>
          <w:sz w:val="20"/>
          <w:szCs w:val="20"/>
          <w:color w:val="auto"/>
        </w:rPr>
      </w:pPr>
      <w:r>
        <w:rPr>
          <w:rFonts w:ascii="Times New Roman" w:cs="Times New Roman" w:eastAsia="Times New Roman" w:hAnsi="Times New Roman"/>
          <w:sz w:val="18"/>
          <w:szCs w:val="18"/>
          <w:color w:val="auto"/>
        </w:rPr>
        <w:t>We use our estimated incremental borrowing rate, which is derived from information available at the lease commencement date, in determining the present value of operating lease payments. To determine the estimated incremental borrowing rate, we use publicly available credit ratings for peer companies, and estimate the incremental borrowing rate using yields for maturities that are in line with the duration of the lease payments.</w:t>
      </w:r>
    </w:p>
    <w:p>
      <w:pPr>
        <w:spacing w:after="0" w:line="14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Business Combinations</w:t>
      </w:r>
    </w:p>
    <w:p>
      <w:pPr>
        <w:spacing w:after="0" w:line="189" w:lineRule="exact"/>
        <w:rPr>
          <w:sz w:val="20"/>
          <w:szCs w:val="20"/>
          <w:color w:val="auto"/>
        </w:rPr>
      </w:pPr>
    </w:p>
    <w:p>
      <w:pPr>
        <w:ind w:right="60" w:firstLine="499"/>
        <w:spacing w:after="0" w:line="266" w:lineRule="auto"/>
        <w:rPr>
          <w:sz w:val="20"/>
          <w:szCs w:val="20"/>
          <w:color w:val="auto"/>
        </w:rPr>
      </w:pPr>
      <w:r>
        <w:rPr>
          <w:rFonts w:ascii="Times New Roman" w:cs="Times New Roman" w:eastAsia="Times New Roman" w:hAnsi="Times New Roman"/>
          <w:sz w:val="18"/>
          <w:szCs w:val="18"/>
          <w:color w:val="auto"/>
        </w:rPr>
        <w:t>We account for business acquisitions using the purchase method of accounting, in accordance with which assets acquired and liabilities assumed are recorded at their respective fair values at the acquisition date. Goodwill represents the excess of the purchase price over the estimated fair values of the assets acquired and liabilities assumed.</w:t>
      </w:r>
    </w:p>
    <w:p>
      <w:pPr>
        <w:spacing w:after="0" w:line="135" w:lineRule="exact"/>
        <w:rPr>
          <w:sz w:val="20"/>
          <w:szCs w:val="20"/>
          <w:color w:val="auto"/>
        </w:rPr>
      </w:pPr>
    </w:p>
    <w:p>
      <w:pPr>
        <w:ind w:right="20" w:firstLine="499"/>
        <w:spacing w:after="0" w:line="255" w:lineRule="auto"/>
        <w:rPr>
          <w:sz w:val="20"/>
          <w:szCs w:val="20"/>
          <w:color w:val="auto"/>
        </w:rPr>
      </w:pPr>
      <w:r>
        <w:rPr>
          <w:rFonts w:ascii="Times New Roman" w:cs="Times New Roman" w:eastAsia="Times New Roman" w:hAnsi="Times New Roman"/>
          <w:sz w:val="18"/>
          <w:szCs w:val="18"/>
          <w:color w:val="auto"/>
        </w:rPr>
        <w:t>Significant judgment is used in determining fair values of assets acquired and liabilities assumed, as well as intangible assets and their estimated useful lives. Fair value and useful life determinations are based on, among other factors, estimates of future expected cash flows attributable to the acquired intangible assets and appropriate discount rates used in computing present values. Particularly for the acquisition of Clearbit, management applied judgment in estimating the fair value of the acquired developed technology intangible asset, which involved estimates and assumptions with respect to forecasted revenue growth rates, the revenue attributable to the acquired intangible asset over its estimated economic life and the discount rate. These judgments may materially impact the estimates used in allocating the purchase price consideration to the fair value of assets acquired and liabilities assumed, as well as our current and future operating results. Actual results may vary from these estimates that may result in adjustments to goodwill and</w:t>
      </w:r>
    </w:p>
    <w:p>
      <w:pPr>
        <w:spacing w:after="0" w:line="2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61" w:right="359" w:bottom="1440" w:gutter="0" w:footer="0" w:header="0"/>
        </w:sectPr>
      </w:pPr>
    </w:p>
    <w:bookmarkStart w:id="64" w:name="page65"/>
    <w:bookmarkEnd w:id="64"/>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acquisition date fair values of assets and liabilities during a measurement period or upon a final determination of asset and liability fair values, whichever occurs first. Adjustments to the fair value of assets acquired and liabilities assumed made after the end of the measurement period are recorded within our operating results.</w:t>
      </w:r>
    </w:p>
    <w:p>
      <w:pPr>
        <w:spacing w:after="0" w:line="14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87" w:lineRule="exact"/>
        <w:rPr>
          <w:sz w:val="20"/>
          <w:szCs w:val="20"/>
          <w:color w:val="auto"/>
        </w:rPr>
      </w:pPr>
    </w:p>
    <w:p>
      <w:pPr>
        <w:ind w:right="80" w:firstLine="499"/>
        <w:spacing w:after="0" w:line="284" w:lineRule="auto"/>
        <w:rPr>
          <w:sz w:val="20"/>
          <w:szCs w:val="20"/>
          <w:color w:val="auto"/>
        </w:rPr>
      </w:pPr>
      <w:r>
        <w:rPr>
          <w:rFonts w:ascii="Times New Roman" w:cs="Times New Roman" w:eastAsia="Times New Roman" w:hAnsi="Times New Roman"/>
          <w:sz w:val="18"/>
          <w:szCs w:val="18"/>
          <w:color w:val="auto"/>
        </w:rPr>
        <w:t xml:space="preserve">For information on recent accounting pronouncements, see </w:t>
      </w:r>
      <w:r>
        <w:rPr>
          <w:rFonts w:ascii="Times New Roman" w:cs="Times New Roman" w:eastAsia="Times New Roman" w:hAnsi="Times New Roman"/>
          <w:sz w:val="18"/>
          <w:szCs w:val="18"/>
          <w:i w:val="1"/>
          <w:iCs w:val="1"/>
          <w:color w:val="auto"/>
        </w:rPr>
        <w:t>Recent Accounting Pronouncements</w:t>
      </w:r>
      <w:r>
        <w:rPr>
          <w:rFonts w:ascii="Times New Roman" w:cs="Times New Roman" w:eastAsia="Times New Roman" w:hAnsi="Times New Roman"/>
          <w:sz w:val="18"/>
          <w:szCs w:val="18"/>
          <w:color w:val="auto"/>
        </w:rPr>
        <w:t xml:space="preserve"> in the notes to the consolidated financial statements appearing elsewhere in this Annual Report on Form 10-K.</w:t>
      </w:r>
    </w:p>
    <w:p>
      <w:pPr>
        <w:spacing w:after="0" w:line="116"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7A.</w:t>
        <w:tab/>
        <w:t>Qualitative and Quantitative Disclosures About Market Risk</w:t>
      </w:r>
    </w:p>
    <w:p>
      <w:pPr>
        <w:spacing w:after="0" w:line="19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Exchange Risk</w:t>
      </w:r>
    </w:p>
    <w:p>
      <w:pPr>
        <w:spacing w:after="0" w:line="189"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We have foreign currency risks related to our revenue, cost of revenue, and operating expenses denominated in currencies other than the U.S. dollar, primarily the Euro, British Pound Sterling, Australian dollar, Singaporean dollar, Japanese Yen, Colombian Peso and Canadian dollar. Since we translate foreign currencies into U.S. dollars for financial reporting purposes, currency fluctuations can have an impact on our financial results.</w:t>
      </w:r>
    </w:p>
    <w:p>
      <w:pPr>
        <w:spacing w:after="0" w:line="135"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We have experienced and will continue to experience fluctuations in our net loss as a result of transaction gains or losses related to revaluing certain current asset and current liability balances that are denominated in currencies other than the functional currency of the entities in which they are recorded. Our Board recently approved a hedging program intended to allow us to mitigate foreign exchange impacts, such as exposure to currency exchange rates in connection with significant transactions denominated in currencies other than the U.S. dollar, by entering into derivatives transactions such as foreign exchange forwards. We expect to begin our hedging program in 2024.</w:t>
      </w:r>
    </w:p>
    <w:p>
      <w:pPr>
        <w:spacing w:after="0" w:line="15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Interest Rate Sensitivity</w:t>
      </w:r>
    </w:p>
    <w:p>
      <w:pPr>
        <w:spacing w:after="0" w:line="189"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Our portfolio of cash and cash equivalents and short- and long-term investments is maintained in a variety of securities, including government agency obligations, corporate bonds and money market funds. Investments are classified as available-for-sale securities and carried at their fair market value with cumulative unrealized gains or losses recorded as a component of accumulated other comprehensive loss within stockholders' equity. A sharp rise in interest rates could have an adverse impact on the fair market value of certain securities in our portfolio. We do not currently hedge our interest rate exposure and do not enter into financial instruments for trading or speculative purposes.</w:t>
      </w:r>
    </w:p>
    <w:p>
      <w:pPr>
        <w:spacing w:after="0" w:line="13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Market Risk and Market Interest Risk</w:t>
      </w:r>
    </w:p>
    <w:p>
      <w:pPr>
        <w:spacing w:after="0" w:line="202"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In June 2020, we issued $460.0 million aggregate principal amount of convertible senior notes due June 1, 2025, of which $459.1 million remained outstanding as of December 31, 2023. The fair value of the 2025 Notes is subject to interest rate risk, market risk and other factors due to the convertible feature. The fair value of the 2025 Notes will generally increase as our common stock price increases and will generally decrease as our common stock price declines in value. The interest and market value changes affect the fair value of the 2025 Notes but do not impact our financial position, cash flows or results of operations due to the fixed nature of the debt obligation. Generally, the fair values of the 2025 Notes will increase as interest rates fall and decrease as interest rates rise. Additionally, we carry the 2025 Notes at face value less unamortized discount on our balance sheet, and we present the fair value for required disclosure purposes only. The Federal Reserve has raised, and may continue to raise interest rates in an effort to combat high inflation. There continues to be uncertainty in the changing market and economic conditions, including the possibility or additional measures that could be taken by the Federal Reserve and other government agencies, related to concerns over inflation risk.</w:t>
      </w:r>
    </w:p>
    <w:p>
      <w:pPr>
        <w:spacing w:after="0" w:line="188"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The table below provides a sensitivity analysis of hypothetical 10% changes of our stock price as of December 31, 2023 and the estimated impact on the fair value of the 2025 Notes. The selected scenarios are not predictions of future events, but rather are intended to illustrate the effect such event may have on the fair value of the Notes.</w:t>
      </w:r>
    </w:p>
    <w:p>
      <w:pPr>
        <w:spacing w:after="0" w:line="19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2025 Notes</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0" w:type="dxa"/>
            <w:vAlign w:val="bottom"/>
          </w:tcPr>
          <w:p>
            <w:pPr>
              <w:spacing w:after="0"/>
              <w:rPr>
                <w:sz w:val="13"/>
                <w:szCs w:val="13"/>
                <w:color w:val="auto"/>
              </w:rPr>
            </w:pPr>
          </w:p>
        </w:tc>
        <w:tc>
          <w:tcPr>
            <w:tcW w:w="4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860" w:type="dxa"/>
            <w:vAlign w:val="bottom"/>
            <w:gridSpan w:val="3"/>
          </w:tcPr>
          <w:p>
            <w:pPr>
              <w:jc w:val="center"/>
              <w:ind w:right="940"/>
              <w:spacing w:after="0"/>
              <w:rPr>
                <w:sz w:val="20"/>
                <w:szCs w:val="20"/>
                <w:color w:val="auto"/>
              </w:rPr>
            </w:pPr>
            <w:r>
              <w:rPr>
                <w:rFonts w:ascii="Times New Roman" w:cs="Times New Roman" w:eastAsia="Times New Roman" w:hAnsi="Times New Roman"/>
                <w:sz w:val="14"/>
                <w:szCs w:val="14"/>
                <w:b w:val="1"/>
                <w:bCs w:val="1"/>
                <w:color w:val="auto"/>
              </w:rPr>
              <w:t>Hypothetical</w:t>
            </w:r>
          </w:p>
        </w:tc>
        <w:tc>
          <w:tcPr>
            <w:tcW w:w="0" w:type="dxa"/>
            <w:vAlign w:val="bottom"/>
          </w:tcPr>
          <w:p>
            <w:pPr>
              <w:spacing w:after="0"/>
              <w:rPr>
                <w:sz w:val="1"/>
                <w:szCs w:val="1"/>
                <w:color w:val="auto"/>
              </w:rPr>
            </w:pPr>
          </w:p>
        </w:tc>
      </w:tr>
      <w:tr>
        <w:trPr>
          <w:trHeight w:val="148"/>
        </w:trPr>
        <w:tc>
          <w:tcPr>
            <w:tcW w:w="86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60" w:type="dxa"/>
            <w:vAlign w:val="bottom"/>
            <w:gridSpan w:val="3"/>
          </w:tcPr>
          <w:p>
            <w:pPr>
              <w:jc w:val="center"/>
              <w:ind w:right="940"/>
              <w:spacing w:after="0" w:line="149" w:lineRule="exact"/>
              <w:rPr>
                <w:sz w:val="20"/>
                <w:szCs w:val="20"/>
                <w:color w:val="auto"/>
              </w:rPr>
            </w:pPr>
            <w:r>
              <w:rPr>
                <w:rFonts w:ascii="Times New Roman" w:cs="Times New Roman" w:eastAsia="Times New Roman" w:hAnsi="Times New Roman"/>
                <w:sz w:val="14"/>
                <w:szCs w:val="14"/>
                <w:b w:val="1"/>
                <w:bCs w:val="1"/>
                <w:color w:val="auto"/>
              </w:rPr>
              <w:t>percentage</w:t>
            </w:r>
          </w:p>
        </w:tc>
        <w:tc>
          <w:tcPr>
            <w:tcW w:w="0" w:type="dxa"/>
            <w:vAlign w:val="bottom"/>
          </w:tcPr>
          <w:p>
            <w:pPr>
              <w:spacing w:after="0"/>
              <w:rPr>
                <w:sz w:val="1"/>
                <w:szCs w:val="1"/>
                <w:color w:val="auto"/>
              </w:rPr>
            </w:pPr>
          </w:p>
        </w:tc>
      </w:tr>
      <w:tr>
        <w:trPr>
          <w:trHeight w:val="149"/>
        </w:trPr>
        <w:tc>
          <w:tcPr>
            <w:tcW w:w="86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40" w:type="dxa"/>
            <w:vAlign w:val="bottom"/>
            <w:gridSpan w:val="2"/>
            <w:vMerge w:val="restart"/>
          </w:tcPr>
          <w:p>
            <w:pPr>
              <w:jc w:val="center"/>
              <w:ind w:right="341"/>
              <w:spacing w:after="0"/>
              <w:rPr>
                <w:sz w:val="20"/>
                <w:szCs w:val="20"/>
                <w:color w:val="auto"/>
              </w:rPr>
            </w:pPr>
            <w:r>
              <w:rPr>
                <w:rFonts w:ascii="Times New Roman" w:cs="Times New Roman" w:eastAsia="Times New Roman" w:hAnsi="Times New Roman"/>
                <w:sz w:val="14"/>
                <w:szCs w:val="14"/>
                <w:b w:val="1"/>
                <w:bCs w:val="1"/>
                <w:color w:val="auto"/>
              </w:rPr>
              <w:t>Estimated change in</w:t>
            </w:r>
          </w:p>
        </w:tc>
        <w:tc>
          <w:tcPr>
            <w:tcW w:w="2860" w:type="dxa"/>
            <w:vAlign w:val="bottom"/>
            <w:gridSpan w:val="3"/>
          </w:tcPr>
          <w:p>
            <w:pPr>
              <w:jc w:val="center"/>
              <w:ind w:right="960"/>
              <w:spacing w:after="0" w:line="149" w:lineRule="exact"/>
              <w:rPr>
                <w:sz w:val="20"/>
                <w:szCs w:val="20"/>
                <w:color w:val="auto"/>
              </w:rPr>
            </w:pPr>
            <w:r>
              <w:rPr>
                <w:rFonts w:ascii="Times New Roman" w:cs="Times New Roman" w:eastAsia="Times New Roman" w:hAnsi="Times New Roman"/>
                <w:sz w:val="14"/>
                <w:szCs w:val="14"/>
                <w:b w:val="1"/>
                <w:bCs w:val="1"/>
                <w:color w:val="auto"/>
              </w:rPr>
              <w:t>increase</w:t>
            </w:r>
          </w:p>
        </w:tc>
        <w:tc>
          <w:tcPr>
            <w:tcW w:w="0" w:type="dxa"/>
            <w:vAlign w:val="bottom"/>
          </w:tcPr>
          <w:p>
            <w:pPr>
              <w:spacing w:after="0"/>
              <w:rPr>
                <w:sz w:val="1"/>
                <w:szCs w:val="1"/>
                <w:color w:val="auto"/>
              </w:rPr>
            </w:pPr>
          </w:p>
        </w:tc>
      </w:tr>
      <w:tr>
        <w:trPr>
          <w:trHeight w:val="148"/>
        </w:trPr>
        <w:tc>
          <w:tcPr>
            <w:tcW w:w="860" w:type="dxa"/>
            <w:vAlign w:val="bottom"/>
          </w:tcPr>
          <w:p>
            <w:pPr>
              <w:spacing w:after="0"/>
              <w:rPr>
                <w:sz w:val="12"/>
                <w:szCs w:val="12"/>
                <w:color w:val="auto"/>
              </w:rPr>
            </w:pPr>
          </w:p>
        </w:tc>
        <w:tc>
          <w:tcPr>
            <w:tcW w:w="41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Hypothetical change in HubSpot stock price</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vMerge w:val="restart"/>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40" w:type="dxa"/>
            <w:vAlign w:val="bottom"/>
            <w:gridSpan w:val="2"/>
            <w:vMerge w:val="continue"/>
          </w:tcPr>
          <w:p>
            <w:pPr>
              <w:spacing w:after="0"/>
              <w:rPr>
                <w:sz w:val="12"/>
                <w:szCs w:val="12"/>
                <w:color w:val="auto"/>
              </w:rPr>
            </w:pPr>
          </w:p>
        </w:tc>
        <w:tc>
          <w:tcPr>
            <w:tcW w:w="2860" w:type="dxa"/>
            <w:vAlign w:val="bottom"/>
            <w:gridSpan w:val="3"/>
          </w:tcPr>
          <w:p>
            <w:pPr>
              <w:jc w:val="center"/>
              <w:ind w:right="960"/>
              <w:spacing w:after="0" w:line="149" w:lineRule="exact"/>
              <w:rPr>
                <w:sz w:val="20"/>
                <w:szCs w:val="20"/>
                <w:color w:val="auto"/>
              </w:rPr>
            </w:pPr>
            <w:r>
              <w:rPr>
                <w:rFonts w:ascii="Times New Roman" w:cs="Times New Roman" w:eastAsia="Times New Roman" w:hAnsi="Times New Roman"/>
                <w:sz w:val="14"/>
                <w:szCs w:val="14"/>
                <w:b w:val="1"/>
                <w:bCs w:val="1"/>
                <w:color w:val="auto"/>
              </w:rPr>
              <w:t>(decrease) in</w:t>
            </w:r>
          </w:p>
        </w:tc>
        <w:tc>
          <w:tcPr>
            <w:tcW w:w="0" w:type="dxa"/>
            <w:vAlign w:val="bottom"/>
          </w:tcPr>
          <w:p>
            <w:pPr>
              <w:spacing w:after="0"/>
              <w:rPr>
                <w:sz w:val="1"/>
                <w:szCs w:val="1"/>
                <w:color w:val="auto"/>
              </w:rPr>
            </w:pPr>
          </w:p>
        </w:tc>
      </w:tr>
      <w:tr>
        <w:trPr>
          <w:trHeight w:val="187"/>
        </w:trPr>
        <w:tc>
          <w:tcPr>
            <w:tcW w:w="860" w:type="dxa"/>
            <w:vAlign w:val="bottom"/>
          </w:tcPr>
          <w:p>
            <w:pPr>
              <w:spacing w:after="0"/>
              <w:rPr>
                <w:sz w:val="16"/>
                <w:szCs w:val="16"/>
                <w:color w:val="auto"/>
              </w:rPr>
            </w:pPr>
          </w:p>
        </w:tc>
        <w:tc>
          <w:tcPr>
            <w:tcW w:w="41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40" w:type="dxa"/>
            <w:vAlign w:val="bottom"/>
            <w:gridSpan w:val="2"/>
          </w:tcPr>
          <w:p>
            <w:pPr>
              <w:jc w:val="center"/>
              <w:ind w:right="341"/>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860" w:type="dxa"/>
            <w:vAlign w:val="bottom"/>
            <w:gridSpan w:val="3"/>
          </w:tcPr>
          <w:p>
            <w:pPr>
              <w:jc w:val="center"/>
              <w:ind w:right="94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228"/>
        </w:trPr>
        <w:tc>
          <w:tcPr>
            <w:tcW w:w="860" w:type="dxa"/>
            <w:vAlign w:val="bottom"/>
          </w:tcPr>
          <w:p>
            <w:pPr>
              <w:spacing w:after="0"/>
              <w:rPr>
                <w:sz w:val="19"/>
                <w:szCs w:val="19"/>
                <w:color w:val="auto"/>
              </w:rPr>
            </w:pPr>
          </w:p>
        </w:tc>
        <w:tc>
          <w:tcPr>
            <w:tcW w:w="41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10% increase</w:t>
            </w:r>
          </w:p>
        </w:tc>
        <w:tc>
          <w:tcPr>
            <w:tcW w:w="12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853,193</w:t>
            </w:r>
          </w:p>
        </w:tc>
        <w:tc>
          <w:tcPr>
            <w:tcW w:w="24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(101,222</w:t>
            </w:r>
          </w:p>
        </w:tc>
        <w:tc>
          <w:tcPr>
            <w:tcW w:w="280" w:type="dxa"/>
            <w:vAlign w:val="bottom"/>
          </w:tcPr>
          <w:p>
            <w:pPr>
              <w:jc w:val="right"/>
              <w:ind w:right="141"/>
              <w:spacing w:after="0"/>
              <w:rPr>
                <w:sz w:val="20"/>
                <w:szCs w:val="20"/>
                <w:color w:val="auto"/>
              </w:rPr>
            </w:pPr>
            <w:r>
              <w:rPr>
                <w:rFonts w:ascii="Times New Roman" w:cs="Times New Roman" w:eastAsia="Times New Roman" w:hAnsi="Times New Roman"/>
                <w:sz w:val="16"/>
                <w:szCs w:val="16"/>
                <w:color w:val="auto"/>
                <w:w w:val="74"/>
              </w:rPr>
              <w:t>)</w:t>
            </w:r>
          </w:p>
        </w:tc>
        <w:tc>
          <w:tcPr>
            <w:tcW w:w="1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940" w:type="dxa"/>
            <w:vAlign w:val="bottom"/>
            <w:gridSpan w:val="2"/>
          </w:tcPr>
          <w:p>
            <w:pPr>
              <w:jc w:val="right"/>
              <w:ind w:right="780"/>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52"/>
        </w:trPr>
        <w:tc>
          <w:tcPr>
            <w:tcW w:w="860" w:type="dxa"/>
            <w:vAlign w:val="bottom"/>
          </w:tcPr>
          <w:p>
            <w:pPr>
              <w:spacing w:after="0"/>
              <w:rPr>
                <w:sz w:val="21"/>
                <w:szCs w:val="21"/>
                <w:color w:val="auto"/>
              </w:rPr>
            </w:pPr>
          </w:p>
        </w:tc>
        <w:tc>
          <w:tcPr>
            <w:tcW w:w="4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 change</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954,414</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gridSpan w:val="2"/>
            <w:shd w:val="clear" w:color="auto" w:fill="CFF0FC"/>
          </w:tcPr>
          <w:p>
            <w:pPr>
              <w:jc w:val="right"/>
              <w:ind w:right="221"/>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860" w:type="dxa"/>
            <w:vAlign w:val="bottom"/>
          </w:tcPr>
          <w:p>
            <w:pPr>
              <w:spacing w:after="0"/>
              <w:rPr>
                <w:sz w:val="20"/>
                <w:szCs w:val="20"/>
                <w:color w:val="auto"/>
              </w:rPr>
            </w:pPr>
          </w:p>
        </w:tc>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10% decrease</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1,037,604</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83,189</w:t>
            </w:r>
          </w:p>
        </w:tc>
        <w:tc>
          <w:tcPr>
            <w:tcW w:w="280" w:type="dxa"/>
            <w:vAlign w:val="bottom"/>
          </w:tcPr>
          <w:p>
            <w:pPr>
              <w:spacing w:after="0"/>
              <w:rPr>
                <w:sz w:val="20"/>
                <w:szCs w:val="20"/>
                <w:color w:val="auto"/>
              </w:rPr>
            </w:pPr>
          </w:p>
        </w:tc>
        <w:tc>
          <w:tcPr>
            <w:tcW w:w="2860" w:type="dxa"/>
            <w:vAlign w:val="bottom"/>
            <w:gridSpan w:val="3"/>
          </w:tcPr>
          <w:p>
            <w:pPr>
              <w:jc w:val="right"/>
              <w:ind w:right="780"/>
              <w:spacing w:after="0"/>
              <w:rPr>
                <w:sz w:val="20"/>
                <w:szCs w:val="20"/>
                <w:color w:val="auto"/>
              </w:rPr>
            </w:pPr>
            <w:r>
              <w:rPr>
                <w:rFonts w:ascii="Times New Roman" w:cs="Times New Roman" w:eastAsia="Times New Roman" w:hAnsi="Times New Roman"/>
                <w:sz w:val="18"/>
                <w:szCs w:val="18"/>
                <w:color w:val="auto"/>
              </w:rPr>
              <w:t>9 %</w:t>
            </w:r>
          </w:p>
        </w:tc>
        <w:tc>
          <w:tcPr>
            <w:tcW w:w="0" w:type="dxa"/>
            <w:vAlign w:val="bottom"/>
          </w:tcPr>
          <w:p>
            <w:pPr>
              <w:spacing w:after="0"/>
              <w:rPr>
                <w:sz w:val="1"/>
                <w:szCs w:val="1"/>
                <w:color w:val="auto"/>
              </w:rPr>
            </w:pPr>
          </w:p>
        </w:tc>
      </w:tr>
      <w:tr>
        <w:trPr>
          <w:trHeight w:val="657"/>
        </w:trPr>
        <w:tc>
          <w:tcPr>
            <w:tcW w:w="86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jc w:val="right"/>
              <w:ind w:right="474"/>
              <w:spacing w:after="0"/>
              <w:rPr>
                <w:sz w:val="20"/>
                <w:szCs w:val="20"/>
                <w:color w:val="auto"/>
              </w:rPr>
            </w:pPr>
            <w:r>
              <w:rPr>
                <w:rFonts w:ascii="Times New Roman" w:cs="Times New Roman" w:eastAsia="Times New Roman" w:hAnsi="Times New Roman"/>
                <w:sz w:val="18"/>
                <w:szCs w:val="18"/>
                <w:color w:val="auto"/>
              </w:rPr>
              <w:t>65</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860" w:type="dxa"/>
            <w:vAlign w:val="bottom"/>
            <w:tcBorders>
              <w:bottom w:val="single" w:sz="8" w:color="9A9A9A"/>
            </w:tcBorders>
          </w:tcPr>
          <w:p>
            <w:pPr>
              <w:spacing w:after="0"/>
              <w:rPr>
                <w:sz w:val="24"/>
                <w:szCs w:val="24"/>
                <w:color w:val="auto"/>
              </w:rPr>
            </w:pPr>
          </w:p>
        </w:tc>
        <w:tc>
          <w:tcPr>
            <w:tcW w:w="41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9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color w:val="auto"/>
        </w:rPr>
        <w:t>ITEM 8. FINANCIAL STATEMENTS</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w:t>
      </w:r>
    </w:p>
    <w:p>
      <w:pPr>
        <w:spacing w:after="0" w:line="236" w:lineRule="exact"/>
        <w:rPr>
          <w:sz w:val="20"/>
          <w:szCs w:val="20"/>
          <w:color w:val="auto"/>
        </w:rPr>
      </w:pPr>
    </w:p>
    <w:tbl>
      <w:tblPr>
        <w:tblLayout w:type="fixed"/>
        <w:tblInd w:w="20" w:type="dxa"/>
        <w:tblCellMar>
          <w:top w:w="0" w:type="dxa"/>
          <w:left w:w="0" w:type="dxa"/>
          <w:bottom w:w="0" w:type="dxa"/>
          <w:right w:w="0" w:type="dxa"/>
        </w:tblCellMar>
      </w:tblPr>
      <w:tr>
        <w:trPr>
          <w:trHeight w:val="187"/>
        </w:trPr>
        <w:tc>
          <w:tcPr>
            <w:tcW w:w="2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120" w:type="dxa"/>
            <w:vAlign w:val="bottom"/>
          </w:tcPr>
          <w:p>
            <w:pPr>
              <w:spacing w:after="0"/>
              <w:rPr>
                <w:sz w:val="16"/>
                <w:szCs w:val="16"/>
                <w:color w:val="auto"/>
              </w:rPr>
            </w:pPr>
          </w:p>
        </w:tc>
        <w:tc>
          <w:tcPr>
            <w:tcW w:w="56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223"/>
        </w:trPr>
        <w:tc>
          <w:tcPr>
            <w:tcW w:w="1066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Reports of Independent Registered Public Accounting Firm (PCAOB ID No. 238)</w:t>
            </w:r>
          </w:p>
        </w:tc>
        <w:tc>
          <w:tcPr>
            <w:tcW w:w="560" w:type="dxa"/>
            <w:vAlign w:val="bottom"/>
          </w:tcPr>
          <w:p>
            <w:pPr>
              <w:spacing w:after="0"/>
              <w:rPr>
                <w:sz w:val="19"/>
                <w:szCs w:val="19"/>
                <w:color w:val="auto"/>
              </w:rPr>
            </w:pPr>
          </w:p>
        </w:tc>
      </w:tr>
      <w:tr>
        <w:trPr>
          <w:trHeight w:val="203"/>
        </w:trPr>
        <w:tc>
          <w:tcPr>
            <w:tcW w:w="2100" w:type="dxa"/>
            <w:vAlign w:val="bottom"/>
            <w:tcBorders>
              <w:bottom w:val="single" w:sz="8" w:color="0000EE"/>
            </w:tcBorders>
          </w:tcPr>
          <w:p>
            <w:pPr>
              <w:spacing w:after="0" w:line="202" w:lineRule="exact"/>
              <w:rPr>
                <w:sz w:val="20"/>
                <w:szCs w:val="20"/>
                <w:color w:val="auto"/>
              </w:rPr>
            </w:pPr>
            <w:r>
              <w:rPr>
                <w:rFonts w:ascii="Times New Roman" w:cs="Times New Roman" w:eastAsia="Times New Roman" w:hAnsi="Times New Roman"/>
                <w:sz w:val="18"/>
                <w:szCs w:val="18"/>
                <w:color w:val="auto"/>
                <w:w w:val="99"/>
              </w:rPr>
              <w:t>Consolidated Balance Sheets</w:t>
            </w:r>
          </w:p>
        </w:tc>
        <w:tc>
          <w:tcPr>
            <w:tcW w:w="8560" w:type="dxa"/>
            <w:vAlign w:val="bottom"/>
            <w:gridSpan w:val="6"/>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69</w:t>
            </w:r>
          </w:p>
        </w:tc>
      </w:tr>
      <w:tr>
        <w:trPr>
          <w:trHeight w:val="223"/>
        </w:trPr>
        <w:tc>
          <w:tcPr>
            <w:tcW w:w="282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auto"/>
                <w:w w:val="99"/>
              </w:rPr>
              <w:t>Consolidated Statements of Operations</w:t>
            </w:r>
          </w:p>
        </w:tc>
        <w:tc>
          <w:tcPr>
            <w:tcW w:w="7840" w:type="dxa"/>
            <w:vAlign w:val="bottom"/>
            <w:gridSpan w:val="5"/>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23"/>
        </w:trPr>
        <w:tc>
          <w:tcPr>
            <w:tcW w:w="354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auto"/>
                <w:w w:val="99"/>
              </w:rPr>
              <w:t>Consolidated Statements of Comprehensive Loss</w:t>
            </w:r>
          </w:p>
        </w:tc>
        <w:tc>
          <w:tcPr>
            <w:tcW w:w="71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223"/>
        </w:trPr>
        <w:tc>
          <w:tcPr>
            <w:tcW w:w="348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auto"/>
                <w:w w:val="99"/>
              </w:rPr>
              <w:t>Consolidated Statement of Stockholders’ Equity</w:t>
            </w:r>
          </w:p>
        </w:tc>
        <w:tc>
          <w:tcPr>
            <w:tcW w:w="7180" w:type="dxa"/>
            <w:vAlign w:val="bottom"/>
            <w:gridSpan w:val="2"/>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223"/>
        </w:trPr>
        <w:tc>
          <w:tcPr>
            <w:tcW w:w="288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auto"/>
                <w:w w:val="99"/>
              </w:rPr>
              <w:t>Consolidated Statements of Cash Flows</w:t>
            </w:r>
          </w:p>
        </w:tc>
        <w:tc>
          <w:tcPr>
            <w:tcW w:w="7780" w:type="dxa"/>
            <w:vAlign w:val="bottom"/>
            <w:gridSpan w:val="4"/>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223"/>
        </w:trPr>
        <w:tc>
          <w:tcPr>
            <w:tcW w:w="1066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Notes to Consolidated Financial Statements</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20"/>
        </w:trPr>
        <w:tc>
          <w:tcPr>
            <w:tcW w:w="210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Board of Directors and Stockholders of HubSpot, Inc.</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Opinions on the Financial Statements and Internal Control over Financial Reporting</w:t>
      </w:r>
    </w:p>
    <w:p>
      <w:pPr>
        <w:spacing w:after="0" w:line="229"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 xml:space="preserve">We have audited the accompanying consolidated balance sheets of HubSpot, Inc. and its subsidiaries (the “Company”) as of December 31, 2023 and 2022, and the related consolidated statements of operations, of comprehensive loss, of stockholders’ equity and of cash flows for each of the three years in the period ended December 31, 2023, including the related notes (collectively referred to as the “consolidated financial statements”). We also have audited the Company's internal control over financial reporting as of December 31, 2023, based on criteria established in </w:t>
      </w:r>
      <w:r>
        <w:rPr>
          <w:rFonts w:ascii="Times New Roman" w:cs="Times New Roman" w:eastAsia="Times New Roman" w:hAnsi="Times New Roman"/>
          <w:sz w:val="18"/>
          <w:szCs w:val="18"/>
          <w:i w:val="1"/>
          <w:iCs w:val="1"/>
          <w:color w:val="auto"/>
        </w:rPr>
        <w:t>Internal Control - Integrated Framework</w:t>
      </w:r>
      <w:r>
        <w:rPr>
          <w:rFonts w:ascii="Times New Roman" w:cs="Times New Roman" w:eastAsia="Times New Roman" w:hAnsi="Times New Roman"/>
          <w:sz w:val="18"/>
          <w:szCs w:val="18"/>
          <w:color w:val="auto"/>
        </w:rPr>
        <w:t xml:space="preserve"> (2013) issued by the Committee of Sponsoring Organizations of the Treadway Commission (COSO).</w:t>
      </w:r>
    </w:p>
    <w:p>
      <w:pPr>
        <w:spacing w:after="0" w:line="183" w:lineRule="exact"/>
        <w:rPr>
          <w:sz w:val="20"/>
          <w:szCs w:val="20"/>
          <w:color w:val="auto"/>
        </w:rPr>
      </w:pPr>
    </w:p>
    <w:p>
      <w:pPr>
        <w:ind w:right="280"/>
        <w:spacing w:after="0" w:line="258" w:lineRule="auto"/>
        <w:rPr>
          <w:sz w:val="20"/>
          <w:szCs w:val="20"/>
          <w:color w:val="auto"/>
        </w:rPr>
      </w:pPr>
      <w:r>
        <w:rPr>
          <w:rFonts w:ascii="Times New Roman" w:cs="Times New Roman" w:eastAsia="Times New Roman" w:hAnsi="Times New Roman"/>
          <w:sz w:val="18"/>
          <w:szCs w:val="18"/>
          <w:color w:val="auto"/>
        </w:rPr>
        <w:t xml:space="preserve">In our opinion, the consolidated financial statements referred to above present fairly, in all material respects, the financial position of the Company as of December 31, 2023 and 2022, and the results of its operations and its cash flows for each of the three years in the period ended December 31, 2023 in conformity with accounting principles generally accepted in the United States of America. Also in our opinion, the Company maintained, in all material respects, effective internal control over financial reporting as of December 31, 2023, based on criteria established in </w:t>
      </w:r>
      <w:r>
        <w:rPr>
          <w:rFonts w:ascii="Times New Roman" w:cs="Times New Roman" w:eastAsia="Times New Roman" w:hAnsi="Times New Roman"/>
          <w:sz w:val="18"/>
          <w:szCs w:val="18"/>
          <w:i w:val="1"/>
          <w:iCs w:val="1"/>
          <w:color w:val="auto"/>
        </w:rPr>
        <w:t>Internal Control - Integrated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Framework </w:t>
      </w:r>
      <w:r>
        <w:rPr>
          <w:rFonts w:ascii="Times New Roman" w:cs="Times New Roman" w:eastAsia="Times New Roman" w:hAnsi="Times New Roman"/>
          <w:sz w:val="18"/>
          <w:szCs w:val="18"/>
          <w:color w:val="auto"/>
        </w:rPr>
        <w:t>(2013) issued by the COSO.</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for Opinions</w:t>
      </w:r>
    </w:p>
    <w:p>
      <w:pPr>
        <w:spacing w:after="0" w:line="22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Company's management is responsible for these consolidated financial statements, for maintaining effective internal control over financial reporting, and for its assessment of the effectiveness of internal control over financial reporting, included in Management’s Report on Internal Control Over Financial Reporting appearing under Item 9A.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7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66" w:name="page67"/>
    <w:bookmarkEnd w:id="66"/>
    <w:p>
      <w:pPr>
        <w:ind w:right="200"/>
        <w:spacing w:after="0" w:line="258" w:lineRule="auto"/>
        <w:rPr>
          <w:sz w:val="20"/>
          <w:szCs w:val="20"/>
          <w:color w:val="auto"/>
        </w:rPr>
      </w:pPr>
      <w:r>
        <w:rPr>
          <w:rFonts w:ascii="Times New Roman" w:cs="Times New Roman" w:eastAsia="Times New Roman" w:hAnsi="Times New Roman"/>
          <w:sz w:val="18"/>
          <w:szCs w:val="18"/>
          <w:color w:val="auto"/>
        </w:rPr>
        <w:t>As described in Management’s Report on Internal Control Over Financial Reporting, management has excluded Clearbit from its assessment of internal control over financial reporting as of December 31, 2023 because it was acquired by the Company in a purchase business combination during 2023. We have also excluded Clearbit from our audit of internal control over financial reporting. Clearbit is a wholly-owned subsidiary whose total assets and total revenues excluded from management’s assessment and our audit of internal control over financial reporting represent less than 1% of the related consolidated financial statement amounts as of and for the year ended December 31, 2023.</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Definition and Limitations of Internal Control over Financial Reporting</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92"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Critical Audit Matters</w:t>
      </w:r>
    </w:p>
    <w:p>
      <w:pPr>
        <w:spacing w:after="0" w:line="229"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Capitalized software development costs - estimate of time and related costs eligible for capitalization</w:t>
      </w:r>
    </w:p>
    <w:p>
      <w:pPr>
        <w:spacing w:after="0" w:line="227" w:lineRule="exact"/>
        <w:rPr>
          <w:sz w:val="20"/>
          <w:szCs w:val="20"/>
          <w:color w:val="auto"/>
        </w:rPr>
      </w:pPr>
    </w:p>
    <w:p>
      <w:pPr>
        <w:ind w:right="260"/>
        <w:spacing w:after="0" w:line="281" w:lineRule="auto"/>
        <w:rPr>
          <w:sz w:val="20"/>
          <w:szCs w:val="20"/>
          <w:color w:val="auto"/>
        </w:rPr>
      </w:pPr>
      <w:r>
        <w:rPr>
          <w:rFonts w:ascii="Times New Roman" w:cs="Times New Roman" w:eastAsia="Times New Roman" w:hAnsi="Times New Roman"/>
          <w:sz w:val="17"/>
          <w:szCs w:val="17"/>
          <w:color w:val="auto"/>
        </w:rPr>
        <w:t>As described in Note 2 to the consolidated financial statements, the Company’s consolidated capitalized software development costs, net balance was $106.2 million as of December 31, 2023. The Company capitalizes certain software development costs for new offerings as well as upgrades to existing software platforms. Management determines the amount of internal software costs to be capitalized based on the amount of time spent by developers on projects in the application stage of development. There is judgment involved in estimating time allocated to a particular project in the application stage.</w:t>
      </w:r>
    </w:p>
    <w:p>
      <w:pPr>
        <w:spacing w:after="0" w:line="164"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principal considerations for our determination that performing procedures relating to the estimate of time and related costs eligible for capitalization as capitalized software development costs is a critical audit matter are (i) the significant judgment by management when determining the amount of time to capitalize for projects, and (ii) a high degree of auditor judgment, subjectivity, and effort in performing procedures and evaluating audit evidence related to management’s determination of capitalized costs and management’s judgment related to the amount of time incurred by developers on projects in the application stage.</w:t>
      </w:r>
    </w:p>
    <w:p>
      <w:pPr>
        <w:spacing w:after="0" w:line="183"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Addressing the matter involved performing procedures and evaluating audit evidence in connection with forming our overall opinion on the consolidated financial statements. These procedures included testing the effectiveness of controls relating to capitalized software development costs, including controls over management’s estimate of time and related costs eligible for capitalization. These procedures also included, among others (i) testing management’s process for determining the time and related costs eligible for capitalization in the current year, (ii) evaluating whether the time and related costs were eligible for capitalization, (iii) testing the completeness and accuracy of underlying data used in management’s estimate of eligible time and related costs, and (iv) evaluating the reasonableness of significant assumptions used by management in estimating eligible time and related costs. Evaluating management’s assumptions related to eligible software development time for capitalization involved evaluating whether the assumptions used by management were reasonable considering (i) inquiries with management and IT product development managers in evaluating the software development costs capitalized for a sample of capitalized projects, and (ii) evaluating management’s estimate of hours through inquiry with a sample of individual software developers regarding the nature, timing and extent of time worked on development activities.</w:t>
      </w:r>
    </w:p>
    <w:p>
      <w:pPr>
        <w:spacing w:after="0" w:line="200" w:lineRule="exact"/>
        <w:rPr>
          <w:sz w:val="20"/>
          <w:szCs w:val="20"/>
          <w:color w:val="auto"/>
        </w:rPr>
      </w:pPr>
    </w:p>
    <w:p>
      <w:pPr>
        <w:spacing w:after="0" w:line="21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5" w:right="37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color w:val="auto"/>
        </w:rPr>
        <w:t>/s/ PricewaterhouseCoopers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Boston, Massachusetts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14, 2024</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2016.</w:t>
      </w:r>
    </w:p>
    <w:p>
      <w:pPr>
        <w:spacing w:after="0" w:line="200" w:lineRule="exact"/>
        <w:rPr>
          <w:sz w:val="20"/>
          <w:szCs w:val="20"/>
          <w:color w:val="auto"/>
        </w:rPr>
      </w:pPr>
    </w:p>
    <w:p>
      <w:pPr>
        <w:spacing w:after="0" w:line="241"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985" w:right="1440" w:bottom="1440" w:gutter="0" w:footer="0" w:header="0"/>
        </w:sectPr>
      </w:pPr>
    </w:p>
    <w:bookmarkStart w:id="68" w:name="page69"/>
    <w:bookmarkEnd w:id="68"/>
    <w:p>
      <w:pPr>
        <w:jc w:val="center"/>
        <w:spacing w:after="0"/>
        <w:rPr>
          <w:sz w:val="20"/>
          <w:szCs w:val="20"/>
          <w:color w:val="auto"/>
        </w:rPr>
      </w:pPr>
      <w:r>
        <w:rPr>
          <w:rFonts w:ascii="Times New Roman" w:cs="Times New Roman" w:eastAsia="Times New Roman" w:hAnsi="Times New Roman"/>
          <w:sz w:val="18"/>
          <w:szCs w:val="18"/>
          <w:b w:val="1"/>
          <w:bCs w:val="1"/>
          <w:color w:val="auto"/>
        </w:rPr>
        <w:t>HUBSPOT, INC.</w:t>
      </w:r>
    </w:p>
    <w:p>
      <w:pPr>
        <w:spacing w:after="0" w:line="31"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0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40" w:type="dxa"/>
            <w:vAlign w:val="bottom"/>
          </w:tcPr>
          <w:p>
            <w:pPr>
              <w:spacing w:after="0"/>
              <w:rPr>
                <w:sz w:val="16"/>
                <w:szCs w:val="16"/>
                <w:color w:val="auto"/>
              </w:rPr>
            </w:pPr>
          </w:p>
        </w:tc>
        <w:tc>
          <w:tcPr>
            <w:tcW w:w="150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December 31, 2022</w:t>
            </w:r>
          </w:p>
        </w:tc>
      </w:tr>
      <w:tr>
        <w:trPr>
          <w:trHeight w:val="237"/>
        </w:trPr>
        <w:tc>
          <w:tcPr>
            <w:tcW w:w="7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40" w:type="dxa"/>
            <w:vAlign w:val="bottom"/>
            <w:tcBorders>
              <w:top w:val="single" w:sz="8" w:color="auto"/>
            </w:tcBorders>
            <w:shd w:val="clear" w:color="auto" w:fill="CFF0FC"/>
          </w:tcPr>
          <w:p>
            <w:pPr>
              <w:spacing w:after="0"/>
              <w:rPr>
                <w:sz w:val="20"/>
                <w:szCs w:val="20"/>
                <w:color w:val="auto"/>
              </w:rPr>
            </w:pPr>
          </w:p>
        </w:tc>
        <w:tc>
          <w:tcPr>
            <w:tcW w:w="1420" w:type="dxa"/>
            <w:vAlign w:val="bottom"/>
            <w:tcBorders>
              <w:top w:val="single" w:sz="8" w:color="auto"/>
            </w:tcBorders>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spacing w:after="0"/>
              <w:rPr>
                <w:sz w:val="20"/>
                <w:szCs w:val="20"/>
                <w:color w:val="auto"/>
              </w:rPr>
            </w:pPr>
          </w:p>
        </w:tc>
        <w:tc>
          <w:tcPr>
            <w:tcW w:w="140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1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7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387,987</w:t>
            </w:r>
          </w:p>
        </w:tc>
        <w:tc>
          <w:tcPr>
            <w:tcW w:w="280" w:type="dxa"/>
            <w:vAlign w:val="bottom"/>
            <w:shd w:val="clear" w:color="auto" w:fill="CFF0FC"/>
          </w:tcPr>
          <w:p>
            <w:pPr>
              <w:spacing w:after="0"/>
              <w:rPr>
                <w:sz w:val="21"/>
                <w:szCs w:val="21"/>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331,022</w:t>
            </w:r>
          </w:p>
        </w:tc>
        <w:tc>
          <w:tcPr>
            <w:tcW w:w="100" w:type="dxa"/>
            <w:vAlign w:val="bottom"/>
            <w:shd w:val="clear" w:color="auto" w:fill="CFF0FC"/>
          </w:tcPr>
          <w:p>
            <w:pPr>
              <w:spacing w:after="0"/>
              <w:rPr>
                <w:sz w:val="21"/>
                <w:szCs w:val="21"/>
                <w:color w:val="auto"/>
              </w:rPr>
            </w:pPr>
          </w:p>
        </w:tc>
      </w:tr>
      <w:tr>
        <w:trPr>
          <w:trHeight w:val="239"/>
        </w:trPr>
        <w:tc>
          <w:tcPr>
            <w:tcW w:w="7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Short-term investments</w:t>
            </w:r>
          </w:p>
        </w:tc>
        <w:tc>
          <w:tcPr>
            <w:tcW w:w="1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1,000,245</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1,081,662</w:t>
            </w:r>
          </w:p>
        </w:tc>
        <w:tc>
          <w:tcPr>
            <w:tcW w:w="100" w:type="dxa"/>
            <w:vAlign w:val="bottom"/>
          </w:tcPr>
          <w:p>
            <w:pPr>
              <w:spacing w:after="0"/>
              <w:rPr>
                <w:sz w:val="20"/>
                <w:szCs w:val="20"/>
                <w:color w:val="auto"/>
              </w:rPr>
            </w:pPr>
          </w:p>
        </w:tc>
      </w:tr>
      <w:tr>
        <w:trPr>
          <w:trHeight w:val="215"/>
        </w:trPr>
        <w:tc>
          <w:tcPr>
            <w:tcW w:w="77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Accounts receivable—net of allowance for credit losses of $5,516 and $3,266 at December 31, 2023</w:t>
            </w: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48"/>
        </w:trPr>
        <w:tc>
          <w:tcPr>
            <w:tcW w:w="77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and 2022, respectively</w:t>
            </w:r>
          </w:p>
        </w:tc>
        <w:tc>
          <w:tcPr>
            <w:tcW w:w="14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295,303</w:t>
            </w:r>
          </w:p>
        </w:tc>
        <w:tc>
          <w:tcPr>
            <w:tcW w:w="2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226,849</w:t>
            </w:r>
          </w:p>
        </w:tc>
        <w:tc>
          <w:tcPr>
            <w:tcW w:w="100" w:type="dxa"/>
            <w:vAlign w:val="bottom"/>
            <w:shd w:val="clear" w:color="auto" w:fill="CFF0FC"/>
          </w:tcPr>
          <w:p>
            <w:pPr>
              <w:spacing w:after="0"/>
              <w:rPr>
                <w:sz w:val="21"/>
                <w:szCs w:val="21"/>
                <w:color w:val="auto"/>
              </w:rPr>
            </w:pPr>
          </w:p>
        </w:tc>
      </w:tr>
      <w:tr>
        <w:trPr>
          <w:trHeight w:val="239"/>
        </w:trPr>
        <w:tc>
          <w:tcPr>
            <w:tcW w:w="7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Deferred commission expense</w:t>
            </w:r>
          </w:p>
        </w:tc>
        <w:tc>
          <w:tcPr>
            <w:tcW w:w="1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99,326</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70,992</w:t>
            </w:r>
          </w:p>
        </w:tc>
        <w:tc>
          <w:tcPr>
            <w:tcW w:w="100" w:type="dxa"/>
            <w:vAlign w:val="bottom"/>
          </w:tcPr>
          <w:p>
            <w:pPr>
              <w:spacing w:after="0"/>
              <w:rPr>
                <w:sz w:val="20"/>
                <w:szCs w:val="20"/>
                <w:color w:val="auto"/>
              </w:rPr>
            </w:pPr>
          </w:p>
        </w:tc>
      </w:tr>
      <w:tr>
        <w:trPr>
          <w:trHeight w:val="247"/>
        </w:trPr>
        <w:tc>
          <w:tcPr>
            <w:tcW w:w="77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40" w:type="dxa"/>
            <w:vAlign w:val="bottom"/>
            <w:tcBorders>
              <w:bottom w:val="single" w:sz="8" w:color="auto"/>
            </w:tcBorders>
            <w:shd w:val="clear" w:color="auto" w:fill="CFF0FC"/>
          </w:tcPr>
          <w:p>
            <w:pPr>
              <w:spacing w:after="0"/>
              <w:rPr>
                <w:sz w:val="21"/>
                <w:szCs w:val="21"/>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88,679</w:t>
            </w:r>
          </w:p>
        </w:tc>
        <w:tc>
          <w:tcPr>
            <w:tcW w:w="28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44,074</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2"/>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current assets</w:t>
            </w:r>
          </w:p>
        </w:tc>
        <w:tc>
          <w:tcPr>
            <w:tcW w:w="1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1,871,540</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1,754,599</w:t>
            </w:r>
          </w:p>
        </w:tc>
        <w:tc>
          <w:tcPr>
            <w:tcW w:w="100" w:type="dxa"/>
            <w:vAlign w:val="bottom"/>
          </w:tcPr>
          <w:p>
            <w:pPr>
              <w:spacing w:after="0"/>
              <w:rPr>
                <w:sz w:val="20"/>
                <w:szCs w:val="20"/>
                <w:color w:val="auto"/>
              </w:rPr>
            </w:pPr>
          </w:p>
        </w:tc>
      </w:tr>
      <w:tr>
        <w:trPr>
          <w:trHeight w:val="247"/>
        </w:trPr>
        <w:tc>
          <w:tcPr>
            <w:tcW w:w="7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Long-term investments</w:t>
            </w:r>
          </w:p>
        </w:tc>
        <w:tc>
          <w:tcPr>
            <w:tcW w:w="14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325,703</w:t>
            </w:r>
          </w:p>
        </w:tc>
        <w:tc>
          <w:tcPr>
            <w:tcW w:w="2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112,791</w:t>
            </w:r>
          </w:p>
        </w:tc>
        <w:tc>
          <w:tcPr>
            <w:tcW w:w="100" w:type="dxa"/>
            <w:vAlign w:val="bottom"/>
            <w:shd w:val="clear" w:color="auto" w:fill="CFF0FC"/>
          </w:tcPr>
          <w:p>
            <w:pPr>
              <w:spacing w:after="0"/>
              <w:rPr>
                <w:sz w:val="21"/>
                <w:szCs w:val="21"/>
                <w:color w:val="auto"/>
              </w:rPr>
            </w:pPr>
          </w:p>
        </w:tc>
      </w:tr>
      <w:tr>
        <w:trPr>
          <w:trHeight w:val="239"/>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103,331</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105,227</w:t>
            </w:r>
          </w:p>
        </w:tc>
        <w:tc>
          <w:tcPr>
            <w:tcW w:w="100" w:type="dxa"/>
            <w:vAlign w:val="bottom"/>
          </w:tcPr>
          <w:p>
            <w:pPr>
              <w:spacing w:after="0"/>
              <w:rPr>
                <w:sz w:val="20"/>
                <w:szCs w:val="20"/>
                <w:color w:val="auto"/>
              </w:rPr>
            </w:pPr>
          </w:p>
        </w:tc>
      </w:tr>
      <w:tr>
        <w:trPr>
          <w:trHeight w:val="247"/>
        </w:trPr>
        <w:tc>
          <w:tcPr>
            <w:tcW w:w="7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Capitalized software development costs, net</w:t>
            </w:r>
          </w:p>
        </w:tc>
        <w:tc>
          <w:tcPr>
            <w:tcW w:w="14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106,229</w:t>
            </w:r>
          </w:p>
        </w:tc>
        <w:tc>
          <w:tcPr>
            <w:tcW w:w="2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63,790</w:t>
            </w:r>
          </w:p>
        </w:tc>
        <w:tc>
          <w:tcPr>
            <w:tcW w:w="100" w:type="dxa"/>
            <w:vAlign w:val="bottom"/>
            <w:shd w:val="clear" w:color="auto" w:fill="CFF0FC"/>
          </w:tcPr>
          <w:p>
            <w:pPr>
              <w:spacing w:after="0"/>
              <w:rPr>
                <w:sz w:val="21"/>
                <w:szCs w:val="21"/>
                <w:color w:val="auto"/>
              </w:rPr>
            </w:pPr>
          </w:p>
        </w:tc>
      </w:tr>
      <w:tr>
        <w:trPr>
          <w:trHeight w:val="239"/>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Right-of-use assets</w:t>
            </w:r>
          </w:p>
        </w:tc>
        <w:tc>
          <w:tcPr>
            <w:tcW w:w="1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251,071</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319,304</w:t>
            </w:r>
          </w:p>
        </w:tc>
        <w:tc>
          <w:tcPr>
            <w:tcW w:w="100" w:type="dxa"/>
            <w:vAlign w:val="bottom"/>
          </w:tcPr>
          <w:p>
            <w:pPr>
              <w:spacing w:after="0"/>
              <w:rPr>
                <w:sz w:val="20"/>
                <w:szCs w:val="20"/>
                <w:color w:val="auto"/>
              </w:rPr>
            </w:pPr>
          </w:p>
        </w:tc>
      </w:tr>
      <w:tr>
        <w:trPr>
          <w:trHeight w:val="247"/>
        </w:trPr>
        <w:tc>
          <w:tcPr>
            <w:tcW w:w="7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Deferred commission expense, net of current portion</w:t>
            </w:r>
          </w:p>
        </w:tc>
        <w:tc>
          <w:tcPr>
            <w:tcW w:w="14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122,194</w:t>
            </w:r>
          </w:p>
        </w:tc>
        <w:tc>
          <w:tcPr>
            <w:tcW w:w="2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66,559</w:t>
            </w:r>
          </w:p>
        </w:tc>
        <w:tc>
          <w:tcPr>
            <w:tcW w:w="100" w:type="dxa"/>
            <w:vAlign w:val="bottom"/>
            <w:shd w:val="clear" w:color="auto" w:fill="CFF0FC"/>
          </w:tcPr>
          <w:p>
            <w:pPr>
              <w:spacing w:after="0"/>
              <w:rPr>
                <w:sz w:val="21"/>
                <w:szCs w:val="21"/>
                <w:color w:val="auto"/>
              </w:rPr>
            </w:pPr>
          </w:p>
        </w:tc>
      </w:tr>
      <w:tr>
        <w:trPr>
          <w:trHeight w:val="239"/>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1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75,247</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58,795</w:t>
            </w:r>
          </w:p>
        </w:tc>
        <w:tc>
          <w:tcPr>
            <w:tcW w:w="100" w:type="dxa"/>
            <w:vAlign w:val="bottom"/>
          </w:tcPr>
          <w:p>
            <w:pPr>
              <w:spacing w:after="0"/>
              <w:rPr>
                <w:sz w:val="20"/>
                <w:szCs w:val="20"/>
                <w:color w:val="auto"/>
              </w:rPr>
            </w:pPr>
          </w:p>
        </w:tc>
      </w:tr>
      <w:tr>
        <w:trPr>
          <w:trHeight w:val="247"/>
        </w:trPr>
        <w:tc>
          <w:tcPr>
            <w:tcW w:w="7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14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42,316</w:t>
            </w:r>
          </w:p>
        </w:tc>
        <w:tc>
          <w:tcPr>
            <w:tcW w:w="2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17,446</w:t>
            </w:r>
          </w:p>
        </w:tc>
        <w:tc>
          <w:tcPr>
            <w:tcW w:w="100" w:type="dxa"/>
            <w:vAlign w:val="bottom"/>
            <w:shd w:val="clear" w:color="auto" w:fill="CFF0FC"/>
          </w:tcPr>
          <w:p>
            <w:pPr>
              <w:spacing w:after="0"/>
              <w:rPr>
                <w:sz w:val="21"/>
                <w:szCs w:val="21"/>
                <w:color w:val="auto"/>
              </w:rPr>
            </w:pPr>
          </w:p>
        </w:tc>
      </w:tr>
      <w:tr>
        <w:trPr>
          <w:trHeight w:val="243"/>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14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173,761</w:t>
            </w:r>
          </w:p>
        </w:tc>
        <w:tc>
          <w:tcPr>
            <w:tcW w:w="28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46,227</w:t>
            </w:r>
          </w:p>
        </w:tc>
        <w:tc>
          <w:tcPr>
            <w:tcW w:w="100" w:type="dxa"/>
            <w:vAlign w:val="bottom"/>
          </w:tcPr>
          <w:p>
            <w:pPr>
              <w:spacing w:after="0"/>
              <w:rPr>
                <w:sz w:val="21"/>
                <w:szCs w:val="21"/>
                <w:color w:val="auto"/>
              </w:rPr>
            </w:pPr>
          </w:p>
        </w:tc>
      </w:tr>
      <w:tr>
        <w:trPr>
          <w:trHeight w:val="277"/>
        </w:trPr>
        <w:tc>
          <w:tcPr>
            <w:tcW w:w="77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40" w:type="dxa"/>
            <w:vAlign w:val="bottom"/>
            <w:tcBorders>
              <w:bottom w:val="single" w:sz="8" w:color="auto"/>
            </w:tcBorders>
            <w:shd w:val="clear" w:color="auto" w:fill="CFF0FC"/>
          </w:tcPr>
          <w:p>
            <w:pPr>
              <w:spacing w:after="0"/>
              <w:rPr>
                <w:sz w:val="24"/>
                <w:szCs w:val="24"/>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3,071,392</w:t>
            </w:r>
          </w:p>
        </w:tc>
        <w:tc>
          <w:tcPr>
            <w:tcW w:w="28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auto"/>
            </w:tcBorders>
            <w:shd w:val="clear" w:color="auto" w:fill="CFF0FC"/>
          </w:tcPr>
          <w:p>
            <w:pPr>
              <w:spacing w:after="0"/>
              <w:rPr>
                <w:sz w:val="24"/>
                <w:szCs w:val="24"/>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2,544,738</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21"/>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5"/>
        </w:trPr>
        <w:tc>
          <w:tcPr>
            <w:tcW w:w="7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140" w:type="dxa"/>
            <w:vAlign w:val="bottom"/>
            <w:shd w:val="clear" w:color="auto" w:fill="CFF0FC"/>
          </w:tcPr>
          <w:p>
            <w:pPr>
              <w:spacing w:after="0"/>
              <w:rPr>
                <w:sz w:val="21"/>
                <w:szCs w:val="21"/>
                <w:color w:val="auto"/>
              </w:rPr>
            </w:pPr>
          </w:p>
        </w:tc>
        <w:tc>
          <w:tcPr>
            <w:tcW w:w="14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7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Accounts payable</w:t>
            </w:r>
          </w:p>
        </w:tc>
        <w:tc>
          <w:tcPr>
            <w:tcW w:w="1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9,106</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20,883</w:t>
            </w:r>
          </w:p>
        </w:tc>
        <w:tc>
          <w:tcPr>
            <w:tcW w:w="100" w:type="dxa"/>
            <w:vAlign w:val="bottom"/>
          </w:tcPr>
          <w:p>
            <w:pPr>
              <w:spacing w:after="0"/>
              <w:rPr>
                <w:sz w:val="20"/>
                <w:szCs w:val="20"/>
                <w:color w:val="auto"/>
              </w:rPr>
            </w:pPr>
          </w:p>
        </w:tc>
      </w:tr>
      <w:tr>
        <w:trPr>
          <w:trHeight w:val="247"/>
        </w:trPr>
        <w:tc>
          <w:tcPr>
            <w:tcW w:w="77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Accrued compensation costs</w:t>
            </w:r>
          </w:p>
        </w:tc>
        <w:tc>
          <w:tcPr>
            <w:tcW w:w="14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53,462</w:t>
            </w:r>
          </w:p>
        </w:tc>
        <w:tc>
          <w:tcPr>
            <w:tcW w:w="2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10,224</w:t>
            </w:r>
          </w:p>
        </w:tc>
        <w:tc>
          <w:tcPr>
            <w:tcW w:w="100" w:type="dxa"/>
            <w:vAlign w:val="bottom"/>
            <w:shd w:val="clear" w:color="auto" w:fill="CFF0FC"/>
          </w:tcPr>
          <w:p>
            <w:pPr>
              <w:spacing w:after="0"/>
              <w:rPr>
                <w:sz w:val="21"/>
                <w:szCs w:val="21"/>
                <w:color w:val="auto"/>
              </w:rPr>
            </w:pPr>
          </w:p>
        </w:tc>
      </w:tr>
      <w:tr>
        <w:trPr>
          <w:trHeight w:val="239"/>
        </w:trPr>
        <w:tc>
          <w:tcPr>
            <w:tcW w:w="7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Accrued commissions</w:t>
            </w:r>
          </w:p>
        </w:tc>
        <w:tc>
          <w:tcPr>
            <w:tcW w:w="1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78,169</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52,622</w:t>
            </w:r>
          </w:p>
        </w:tc>
        <w:tc>
          <w:tcPr>
            <w:tcW w:w="100" w:type="dxa"/>
            <w:vAlign w:val="bottom"/>
          </w:tcPr>
          <w:p>
            <w:pPr>
              <w:spacing w:after="0"/>
              <w:rPr>
                <w:sz w:val="20"/>
                <w:szCs w:val="20"/>
                <w:color w:val="auto"/>
              </w:rPr>
            </w:pPr>
          </w:p>
        </w:tc>
      </w:tr>
      <w:tr>
        <w:trPr>
          <w:trHeight w:val="247"/>
        </w:trPr>
        <w:tc>
          <w:tcPr>
            <w:tcW w:w="77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4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108,313</w:t>
            </w:r>
          </w:p>
        </w:tc>
        <w:tc>
          <w:tcPr>
            <w:tcW w:w="2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102,122</w:t>
            </w:r>
          </w:p>
        </w:tc>
        <w:tc>
          <w:tcPr>
            <w:tcW w:w="100" w:type="dxa"/>
            <w:vAlign w:val="bottom"/>
            <w:shd w:val="clear" w:color="auto" w:fill="CFF0FC"/>
          </w:tcPr>
          <w:p>
            <w:pPr>
              <w:spacing w:after="0"/>
              <w:rPr>
                <w:sz w:val="21"/>
                <w:szCs w:val="21"/>
                <w:color w:val="auto"/>
              </w:rPr>
            </w:pPr>
          </w:p>
        </w:tc>
      </w:tr>
      <w:tr>
        <w:trPr>
          <w:trHeight w:val="239"/>
        </w:trPr>
        <w:tc>
          <w:tcPr>
            <w:tcW w:w="7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35,047</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35,928</w:t>
            </w:r>
          </w:p>
        </w:tc>
        <w:tc>
          <w:tcPr>
            <w:tcW w:w="100" w:type="dxa"/>
            <w:vAlign w:val="bottom"/>
          </w:tcPr>
          <w:p>
            <w:pPr>
              <w:spacing w:after="0"/>
              <w:rPr>
                <w:sz w:val="20"/>
                <w:szCs w:val="20"/>
                <w:color w:val="auto"/>
              </w:rPr>
            </w:pPr>
          </w:p>
        </w:tc>
      </w:tr>
      <w:tr>
        <w:trPr>
          <w:trHeight w:val="247"/>
        </w:trPr>
        <w:tc>
          <w:tcPr>
            <w:tcW w:w="77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Deferred revenue</w:t>
            </w:r>
          </w:p>
        </w:tc>
        <w:tc>
          <w:tcPr>
            <w:tcW w:w="140" w:type="dxa"/>
            <w:vAlign w:val="bottom"/>
            <w:tcBorders>
              <w:bottom w:val="single" w:sz="8" w:color="auto"/>
            </w:tcBorders>
            <w:shd w:val="clear" w:color="auto" w:fill="CFF0FC"/>
          </w:tcPr>
          <w:p>
            <w:pPr>
              <w:spacing w:after="0"/>
              <w:rPr>
                <w:sz w:val="21"/>
                <w:szCs w:val="21"/>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672,150</w:t>
            </w:r>
          </w:p>
        </w:tc>
        <w:tc>
          <w:tcPr>
            <w:tcW w:w="28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539,874</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2"/>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956,247</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761,653</w:t>
            </w:r>
          </w:p>
        </w:tc>
        <w:tc>
          <w:tcPr>
            <w:tcW w:w="100" w:type="dxa"/>
            <w:vAlign w:val="bottom"/>
          </w:tcPr>
          <w:p>
            <w:pPr>
              <w:spacing w:after="0"/>
              <w:rPr>
                <w:sz w:val="20"/>
                <w:szCs w:val="20"/>
                <w:color w:val="auto"/>
              </w:rPr>
            </w:pPr>
          </w:p>
        </w:tc>
      </w:tr>
      <w:tr>
        <w:trPr>
          <w:trHeight w:val="247"/>
        </w:trPr>
        <w:tc>
          <w:tcPr>
            <w:tcW w:w="7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lease liabilities, net of current portion</w:t>
            </w:r>
          </w:p>
        </w:tc>
        <w:tc>
          <w:tcPr>
            <w:tcW w:w="14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296,561</w:t>
            </w:r>
          </w:p>
        </w:tc>
        <w:tc>
          <w:tcPr>
            <w:tcW w:w="2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316,184</w:t>
            </w:r>
          </w:p>
        </w:tc>
        <w:tc>
          <w:tcPr>
            <w:tcW w:w="100" w:type="dxa"/>
            <w:vAlign w:val="bottom"/>
            <w:shd w:val="clear" w:color="auto" w:fill="CFF0FC"/>
          </w:tcPr>
          <w:p>
            <w:pPr>
              <w:spacing w:after="0"/>
              <w:rPr>
                <w:sz w:val="21"/>
                <w:szCs w:val="21"/>
                <w:color w:val="auto"/>
              </w:rPr>
            </w:pPr>
          </w:p>
        </w:tc>
      </w:tr>
      <w:tr>
        <w:trPr>
          <w:trHeight w:val="239"/>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revenue, net of current portion</w:t>
            </w:r>
          </w:p>
        </w:tc>
        <w:tc>
          <w:tcPr>
            <w:tcW w:w="1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5,810</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5,904</w:t>
            </w:r>
          </w:p>
        </w:tc>
        <w:tc>
          <w:tcPr>
            <w:tcW w:w="100" w:type="dxa"/>
            <w:vAlign w:val="bottom"/>
          </w:tcPr>
          <w:p>
            <w:pPr>
              <w:spacing w:after="0"/>
              <w:rPr>
                <w:sz w:val="20"/>
                <w:szCs w:val="20"/>
                <w:color w:val="auto"/>
              </w:rPr>
            </w:pPr>
          </w:p>
        </w:tc>
      </w:tr>
      <w:tr>
        <w:trPr>
          <w:trHeight w:val="247"/>
        </w:trPr>
        <w:tc>
          <w:tcPr>
            <w:tcW w:w="7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4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36,459</w:t>
            </w:r>
          </w:p>
        </w:tc>
        <w:tc>
          <w:tcPr>
            <w:tcW w:w="2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14,546</w:t>
            </w:r>
          </w:p>
        </w:tc>
        <w:tc>
          <w:tcPr>
            <w:tcW w:w="100" w:type="dxa"/>
            <w:vAlign w:val="bottom"/>
            <w:shd w:val="clear" w:color="auto" w:fill="CFF0FC"/>
          </w:tcPr>
          <w:p>
            <w:pPr>
              <w:spacing w:after="0"/>
              <w:rPr>
                <w:sz w:val="21"/>
                <w:szCs w:val="21"/>
                <w:color w:val="auto"/>
              </w:rPr>
            </w:pPr>
          </w:p>
        </w:tc>
      </w:tr>
      <w:tr>
        <w:trPr>
          <w:trHeight w:val="243"/>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Convertible senior notes</w:t>
            </w:r>
          </w:p>
        </w:tc>
        <w:tc>
          <w:tcPr>
            <w:tcW w:w="14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456,206</w:t>
            </w:r>
          </w:p>
        </w:tc>
        <w:tc>
          <w:tcPr>
            <w:tcW w:w="28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454,227</w:t>
            </w:r>
          </w:p>
        </w:tc>
        <w:tc>
          <w:tcPr>
            <w:tcW w:w="100" w:type="dxa"/>
            <w:vAlign w:val="bottom"/>
          </w:tcPr>
          <w:p>
            <w:pPr>
              <w:spacing w:after="0"/>
              <w:rPr>
                <w:sz w:val="21"/>
                <w:szCs w:val="21"/>
                <w:color w:val="auto"/>
              </w:rPr>
            </w:pPr>
          </w:p>
        </w:tc>
      </w:tr>
      <w:tr>
        <w:trPr>
          <w:trHeight w:val="237"/>
        </w:trPr>
        <w:tc>
          <w:tcPr>
            <w:tcW w:w="77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140" w:type="dxa"/>
            <w:vAlign w:val="bottom"/>
            <w:tcBorders>
              <w:bottom w:val="single" w:sz="8" w:color="auto"/>
            </w:tcBorders>
            <w:shd w:val="clear" w:color="auto" w:fill="CFF0FC"/>
          </w:tcPr>
          <w:p>
            <w:pPr>
              <w:spacing w:after="0"/>
              <w:rPr>
                <w:sz w:val="20"/>
                <w:szCs w:val="20"/>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1,751,283</w:t>
            </w:r>
          </w:p>
        </w:tc>
        <w:tc>
          <w:tcPr>
            <w:tcW w:w="28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1,552,514</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2"/>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11)</w:t>
            </w:r>
          </w:p>
        </w:tc>
        <w:tc>
          <w:tcPr>
            <w:tcW w:w="1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140" w:type="dxa"/>
            <w:vAlign w:val="bottom"/>
            <w:shd w:val="clear" w:color="auto" w:fill="CFF0FC"/>
          </w:tcPr>
          <w:p>
            <w:pPr>
              <w:spacing w:after="0"/>
              <w:rPr>
                <w:sz w:val="21"/>
                <w:szCs w:val="21"/>
                <w:color w:val="auto"/>
              </w:rPr>
            </w:pPr>
          </w:p>
        </w:tc>
        <w:tc>
          <w:tcPr>
            <w:tcW w:w="14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11"/>
        </w:trPr>
        <w:tc>
          <w:tcPr>
            <w:tcW w:w="7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Common stock, $0.001 par value—500,000 shares authorized; 51,358 and 50,127 shares issued;</w:t>
            </w: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7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50,448 and 49,217 shares outstanding at December 31, 2023 and 2022, respectively</w:t>
            </w:r>
          </w:p>
        </w:tc>
        <w:tc>
          <w:tcPr>
            <w:tcW w:w="1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tcPr>
          <w:p>
            <w:pPr>
              <w:spacing w:after="0"/>
              <w:rPr>
                <w:sz w:val="20"/>
                <w:szCs w:val="20"/>
                <w:color w:val="auto"/>
              </w:rPr>
            </w:pPr>
          </w:p>
        </w:tc>
      </w:tr>
      <w:tr>
        <w:trPr>
          <w:trHeight w:val="250"/>
        </w:trPr>
        <w:tc>
          <w:tcPr>
            <w:tcW w:w="77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4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2,136,908</w:t>
            </w:r>
          </w:p>
        </w:tc>
        <w:tc>
          <w:tcPr>
            <w:tcW w:w="2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1,647,446</w:t>
            </w:r>
          </w:p>
        </w:tc>
        <w:tc>
          <w:tcPr>
            <w:tcW w:w="100" w:type="dxa"/>
            <w:vAlign w:val="bottom"/>
            <w:shd w:val="clear" w:color="auto" w:fill="CFF0FC"/>
          </w:tcPr>
          <w:p>
            <w:pPr>
              <w:spacing w:after="0"/>
              <w:rPr>
                <w:sz w:val="21"/>
                <w:szCs w:val="21"/>
                <w:color w:val="auto"/>
              </w:rPr>
            </w:pPr>
          </w:p>
        </w:tc>
      </w:tr>
      <w:tr>
        <w:trPr>
          <w:trHeight w:val="239"/>
        </w:trPr>
        <w:tc>
          <w:tcPr>
            <w:tcW w:w="7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1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1,827</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(12,890 )</w:t>
            </w:r>
          </w:p>
        </w:tc>
      </w:tr>
      <w:tr>
        <w:trPr>
          <w:trHeight w:val="247"/>
        </w:trPr>
        <w:tc>
          <w:tcPr>
            <w:tcW w:w="77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Accumulated deficit</w:t>
            </w:r>
          </w:p>
        </w:tc>
        <w:tc>
          <w:tcPr>
            <w:tcW w:w="140" w:type="dxa"/>
            <w:vAlign w:val="bottom"/>
            <w:shd w:val="clear" w:color="auto" w:fill="CFF0FC"/>
          </w:tcPr>
          <w:p>
            <w:pPr>
              <w:spacing w:after="0"/>
              <w:rPr>
                <w:sz w:val="21"/>
                <w:szCs w:val="21"/>
                <w:color w:val="auto"/>
              </w:rPr>
            </w:pPr>
          </w:p>
        </w:tc>
        <w:tc>
          <w:tcPr>
            <w:tcW w:w="17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(818,676 )</w:t>
            </w:r>
          </w:p>
        </w:tc>
        <w:tc>
          <w:tcPr>
            <w:tcW w:w="140" w:type="dxa"/>
            <w:vAlign w:val="bottom"/>
            <w:shd w:val="clear" w:color="auto" w:fill="CFF0FC"/>
          </w:tcPr>
          <w:p>
            <w:pPr>
              <w:spacing w:after="0"/>
              <w:rPr>
                <w:sz w:val="21"/>
                <w:szCs w:val="21"/>
                <w:color w:val="auto"/>
              </w:rPr>
            </w:pPr>
          </w:p>
        </w:tc>
        <w:tc>
          <w:tcPr>
            <w:tcW w:w="15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(642,381 )</w:t>
            </w:r>
          </w:p>
        </w:tc>
      </w:tr>
      <w:tr>
        <w:trPr>
          <w:trHeight w:val="237"/>
        </w:trPr>
        <w:tc>
          <w:tcPr>
            <w:tcW w:w="776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40" w:type="dxa"/>
            <w:vAlign w:val="bottom"/>
            <w:tcBorders>
              <w:top w:val="single" w:sz="8" w:color="auto"/>
              <w:bottom w:val="single" w:sz="8" w:color="auto"/>
            </w:tcBorders>
          </w:tcPr>
          <w:p>
            <w:pPr>
              <w:spacing w:after="0"/>
              <w:rPr>
                <w:sz w:val="20"/>
                <w:szCs w:val="20"/>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1,320,109</w:t>
            </w:r>
          </w:p>
        </w:tc>
        <w:tc>
          <w:tcPr>
            <w:tcW w:w="280" w:type="dxa"/>
            <w:vAlign w:val="bottom"/>
            <w:tcBorders>
              <w:top w:val="single" w:sz="8" w:color="CFF0FC"/>
            </w:tcBorders>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992,224</w:t>
            </w:r>
          </w:p>
        </w:tc>
        <w:tc>
          <w:tcPr>
            <w:tcW w:w="100" w:type="dxa"/>
            <w:vAlign w:val="bottom"/>
            <w:tcBorders>
              <w:top w:val="single" w:sz="8" w:color="CFF0FC"/>
            </w:tcBorders>
          </w:tcPr>
          <w:p>
            <w:pPr>
              <w:spacing w:after="0"/>
              <w:rPr>
                <w:sz w:val="20"/>
                <w:szCs w:val="20"/>
                <w:color w:val="auto"/>
              </w:rPr>
            </w:pPr>
          </w:p>
        </w:tc>
      </w:tr>
      <w:tr>
        <w:trPr>
          <w:trHeight w:val="276"/>
        </w:trPr>
        <w:tc>
          <w:tcPr>
            <w:tcW w:w="77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3,071,392</w:t>
            </w:r>
          </w:p>
        </w:tc>
        <w:tc>
          <w:tcPr>
            <w:tcW w:w="28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2,544,738</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5920105</wp:posOffset>
            </wp:positionH>
            <wp:positionV relativeFrom="paragraph">
              <wp:posOffset>-5185410</wp:posOffset>
            </wp:positionV>
            <wp:extent cx="6858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-5185410</wp:posOffset>
            </wp:positionV>
            <wp:extent cx="6858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-3625215</wp:posOffset>
            </wp:positionV>
            <wp:extent cx="6858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-3608070</wp:posOffset>
            </wp:positionV>
            <wp:extent cx="6858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-3625215</wp:posOffset>
            </wp:positionV>
            <wp:extent cx="6858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-3608070</wp:posOffset>
            </wp:positionV>
            <wp:extent cx="6858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-2365375</wp:posOffset>
            </wp:positionV>
            <wp:extent cx="6858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-2365375</wp:posOffset>
            </wp:positionV>
            <wp:extent cx="6858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-1422400</wp:posOffset>
            </wp:positionV>
            <wp:extent cx="6858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-1422400</wp:posOffset>
            </wp:positionV>
            <wp:extent cx="6858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-351155</wp:posOffset>
            </wp:positionV>
            <wp:extent cx="6858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-351155</wp:posOffset>
            </wp:positionV>
            <wp:extent cx="6858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-24765</wp:posOffset>
            </wp:positionV>
            <wp:extent cx="6858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-8255</wp:posOffset>
            </wp:positionV>
            <wp:extent cx="6858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69" w:name="page70"/>
    <w:bookmarkEnd w:id="69"/>
    <w:p>
      <w:pPr>
        <w:jc w:val="center"/>
        <w:spacing w:after="0"/>
        <w:rPr>
          <w:sz w:val="20"/>
          <w:szCs w:val="20"/>
          <w:color w:val="auto"/>
        </w:rPr>
      </w:pPr>
      <w:r>
        <w:rPr>
          <w:rFonts w:ascii="Times New Roman" w:cs="Times New Roman" w:eastAsia="Times New Roman" w:hAnsi="Times New Roman"/>
          <w:sz w:val="18"/>
          <w:szCs w:val="18"/>
          <w:b w:val="1"/>
          <w:bCs w:val="1"/>
          <w:color w:val="auto"/>
        </w:rPr>
        <w:t>HUBSPOT,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6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4"/>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83"/>
        </w:trPr>
        <w:tc>
          <w:tcPr>
            <w:tcW w:w="666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5"/>
                <w:szCs w:val="15"/>
                <w:color w:val="auto"/>
              </w:rPr>
            </w:pPr>
          </w:p>
        </w:tc>
      </w:tr>
      <w:tr>
        <w:trPr>
          <w:trHeight w:val="237"/>
        </w:trPr>
        <w:tc>
          <w:tcPr>
            <w:tcW w:w="6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2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6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Subscription</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2,123,479</w:t>
            </w:r>
          </w:p>
        </w:tc>
        <w:tc>
          <w:tcPr>
            <w:tcW w:w="80" w:type="dxa"/>
            <w:vAlign w:val="bottom"/>
          </w:tcPr>
          <w:p>
            <w:pPr>
              <w:spacing w:after="0"/>
              <w:rPr>
                <w:sz w:val="20"/>
                <w:szCs w:val="20"/>
                <w:color w:val="auto"/>
              </w:rPr>
            </w:pPr>
          </w:p>
        </w:tc>
        <w:tc>
          <w:tcPr>
            <w:tcW w:w="5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1,690,538</w:t>
            </w:r>
          </w:p>
        </w:tc>
        <w:tc>
          <w:tcPr>
            <w:tcW w:w="24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1,258,319</w:t>
            </w:r>
          </w:p>
        </w:tc>
        <w:tc>
          <w:tcPr>
            <w:tcW w:w="100" w:type="dxa"/>
            <w:vAlign w:val="bottom"/>
          </w:tcPr>
          <w:p>
            <w:pPr>
              <w:spacing w:after="0"/>
              <w:rPr>
                <w:sz w:val="20"/>
                <w:szCs w:val="20"/>
                <w:color w:val="auto"/>
              </w:rPr>
            </w:pPr>
          </w:p>
        </w:tc>
      </w:tr>
      <w:tr>
        <w:trPr>
          <w:trHeight w:val="247"/>
        </w:trPr>
        <w:tc>
          <w:tcPr>
            <w:tcW w:w="66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Professional services and other</w:t>
            </w:r>
          </w:p>
        </w:tc>
        <w:tc>
          <w:tcPr>
            <w:tcW w:w="32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46,751</w:t>
            </w:r>
          </w:p>
        </w:tc>
        <w:tc>
          <w:tcPr>
            <w:tcW w:w="8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40,431</w:t>
            </w:r>
          </w:p>
        </w:tc>
        <w:tc>
          <w:tcPr>
            <w:tcW w:w="24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42,339</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66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revenue</w:t>
            </w:r>
          </w:p>
        </w:tc>
        <w:tc>
          <w:tcPr>
            <w:tcW w:w="3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2,170,230</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1,730,969</w:t>
            </w:r>
          </w:p>
        </w:tc>
        <w:tc>
          <w:tcPr>
            <w:tcW w:w="2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1,300,658</w:t>
            </w:r>
          </w:p>
        </w:tc>
        <w:tc>
          <w:tcPr>
            <w:tcW w:w="100" w:type="dxa"/>
            <w:vAlign w:val="bottom"/>
          </w:tcPr>
          <w:p>
            <w:pPr>
              <w:spacing w:after="0"/>
              <w:rPr>
                <w:sz w:val="20"/>
                <w:szCs w:val="20"/>
                <w:color w:val="auto"/>
              </w:rPr>
            </w:pPr>
          </w:p>
        </w:tc>
      </w:tr>
      <w:tr>
        <w:trPr>
          <w:trHeight w:val="237"/>
        </w:trPr>
        <w:tc>
          <w:tcPr>
            <w:tcW w:w="6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32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6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Subscription</w:t>
            </w: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290,802</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257,513</w:t>
            </w: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211,132</w:t>
            </w:r>
          </w:p>
        </w:tc>
        <w:tc>
          <w:tcPr>
            <w:tcW w:w="100" w:type="dxa"/>
            <w:vAlign w:val="bottom"/>
          </w:tcPr>
          <w:p>
            <w:pPr>
              <w:spacing w:after="0"/>
              <w:rPr>
                <w:sz w:val="20"/>
                <w:szCs w:val="20"/>
                <w:color w:val="auto"/>
              </w:rPr>
            </w:pPr>
          </w:p>
        </w:tc>
      </w:tr>
      <w:tr>
        <w:trPr>
          <w:trHeight w:val="247"/>
        </w:trPr>
        <w:tc>
          <w:tcPr>
            <w:tcW w:w="66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Professional services and other</w:t>
            </w:r>
          </w:p>
        </w:tc>
        <w:tc>
          <w:tcPr>
            <w:tcW w:w="32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54,687</w:t>
            </w:r>
          </w:p>
        </w:tc>
        <w:tc>
          <w:tcPr>
            <w:tcW w:w="8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56,746</w:t>
            </w:r>
          </w:p>
        </w:tc>
        <w:tc>
          <w:tcPr>
            <w:tcW w:w="24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47,725</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66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cost of revenue</w:t>
            </w:r>
          </w:p>
        </w:tc>
        <w:tc>
          <w:tcPr>
            <w:tcW w:w="3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345,489</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314,259</w:t>
            </w:r>
          </w:p>
        </w:tc>
        <w:tc>
          <w:tcPr>
            <w:tcW w:w="2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258,857</w:t>
            </w:r>
          </w:p>
        </w:tc>
        <w:tc>
          <w:tcPr>
            <w:tcW w:w="100" w:type="dxa"/>
            <w:vAlign w:val="bottom"/>
          </w:tcPr>
          <w:p>
            <w:pPr>
              <w:spacing w:after="0"/>
              <w:rPr>
                <w:sz w:val="20"/>
                <w:szCs w:val="20"/>
                <w:color w:val="auto"/>
              </w:rPr>
            </w:pPr>
          </w:p>
        </w:tc>
      </w:tr>
      <w:tr>
        <w:trPr>
          <w:trHeight w:val="236"/>
        </w:trPr>
        <w:tc>
          <w:tcPr>
            <w:tcW w:w="66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320" w:type="dxa"/>
            <w:vAlign w:val="bottom"/>
            <w:tcBorders>
              <w:bottom w:val="single" w:sz="8" w:color="auto"/>
            </w:tcBorders>
            <w:shd w:val="clear" w:color="auto" w:fill="CFF0FC"/>
          </w:tcPr>
          <w:p>
            <w:pPr>
              <w:spacing w:after="0"/>
              <w:rPr>
                <w:sz w:val="20"/>
                <w:szCs w:val="20"/>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1,824,741</w:t>
            </w:r>
          </w:p>
        </w:tc>
        <w:tc>
          <w:tcPr>
            <w:tcW w:w="8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spacing w:after="0"/>
              <w:rPr>
                <w:sz w:val="20"/>
                <w:szCs w:val="20"/>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1,416,710</w:t>
            </w:r>
          </w:p>
        </w:tc>
        <w:tc>
          <w:tcPr>
            <w:tcW w:w="24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spacing w:after="0"/>
              <w:rPr>
                <w:sz w:val="20"/>
                <w:szCs w:val="20"/>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1,041,801</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2"/>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66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617,745</w:t>
            </w:r>
          </w:p>
        </w:tc>
        <w:tc>
          <w:tcPr>
            <w:tcW w:w="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442,022</w:t>
            </w:r>
          </w:p>
        </w:tc>
        <w:tc>
          <w:tcPr>
            <w:tcW w:w="2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301,970</w:t>
            </w:r>
          </w:p>
        </w:tc>
        <w:tc>
          <w:tcPr>
            <w:tcW w:w="100" w:type="dxa"/>
            <w:vAlign w:val="bottom"/>
            <w:shd w:val="clear" w:color="auto" w:fill="CFF0FC"/>
          </w:tcPr>
          <w:p>
            <w:pPr>
              <w:spacing w:after="0"/>
              <w:rPr>
                <w:sz w:val="21"/>
                <w:szCs w:val="21"/>
                <w:color w:val="auto"/>
              </w:rPr>
            </w:pPr>
          </w:p>
        </w:tc>
      </w:tr>
      <w:tr>
        <w:trPr>
          <w:trHeight w:val="239"/>
        </w:trPr>
        <w:tc>
          <w:tcPr>
            <w:tcW w:w="6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Sales and marketing</w:t>
            </w: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1,068,560</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886,069</w:t>
            </w: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649,681</w:t>
            </w:r>
          </w:p>
        </w:tc>
        <w:tc>
          <w:tcPr>
            <w:tcW w:w="100" w:type="dxa"/>
            <w:vAlign w:val="bottom"/>
          </w:tcPr>
          <w:p>
            <w:pPr>
              <w:spacing w:after="0"/>
              <w:rPr>
                <w:sz w:val="20"/>
                <w:szCs w:val="20"/>
                <w:color w:val="auto"/>
              </w:rPr>
            </w:pPr>
          </w:p>
        </w:tc>
      </w:tr>
      <w:tr>
        <w:trPr>
          <w:trHeight w:val="247"/>
        </w:trPr>
        <w:tc>
          <w:tcPr>
            <w:tcW w:w="66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249,649</w:t>
            </w:r>
          </w:p>
        </w:tc>
        <w:tc>
          <w:tcPr>
            <w:tcW w:w="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197,720</w:t>
            </w:r>
          </w:p>
        </w:tc>
        <w:tc>
          <w:tcPr>
            <w:tcW w:w="2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144,949</w:t>
            </w:r>
          </w:p>
        </w:tc>
        <w:tc>
          <w:tcPr>
            <w:tcW w:w="100" w:type="dxa"/>
            <w:vAlign w:val="bottom"/>
            <w:shd w:val="clear" w:color="auto" w:fill="CFF0FC"/>
          </w:tcPr>
          <w:p>
            <w:pPr>
              <w:spacing w:after="0"/>
              <w:rPr>
                <w:sz w:val="21"/>
                <w:szCs w:val="21"/>
                <w:color w:val="auto"/>
              </w:rPr>
            </w:pPr>
          </w:p>
        </w:tc>
      </w:tr>
      <w:tr>
        <w:trPr>
          <w:trHeight w:val="243"/>
        </w:trPr>
        <w:tc>
          <w:tcPr>
            <w:tcW w:w="6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Restructuring (Note 17)</w:t>
            </w: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96,843</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666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20" w:type="dxa"/>
            <w:vAlign w:val="bottom"/>
            <w:tcBorders>
              <w:top w:val="single" w:sz="8" w:color="auto"/>
              <w:bottom w:val="single" w:sz="8" w:color="auto"/>
            </w:tcBorders>
            <w:shd w:val="clear" w:color="auto" w:fill="CFF0FC"/>
          </w:tcPr>
          <w:p>
            <w:pPr>
              <w:spacing w:after="0"/>
              <w:rPr>
                <w:sz w:val="20"/>
                <w:szCs w:val="20"/>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2,032,797</w:t>
            </w:r>
          </w:p>
        </w:tc>
        <w:tc>
          <w:tcPr>
            <w:tcW w:w="8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top w:val="single" w:sz="8" w:color="auto"/>
              <w:bottom w:val="single" w:sz="8" w:color="auto"/>
            </w:tcBorders>
            <w:shd w:val="clear" w:color="auto" w:fill="CFF0FC"/>
          </w:tcPr>
          <w:p>
            <w:pPr>
              <w:spacing w:after="0"/>
              <w:rPr>
                <w:sz w:val="20"/>
                <w:szCs w:val="20"/>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1,525,811</w:t>
            </w:r>
          </w:p>
        </w:tc>
        <w:tc>
          <w:tcPr>
            <w:tcW w:w="24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top w:val="single" w:sz="8" w:color="auto"/>
              <w:bottom w:val="single" w:sz="8" w:color="auto"/>
            </w:tcBorders>
            <w:shd w:val="clear" w:color="auto" w:fill="CFF0FC"/>
          </w:tcPr>
          <w:p>
            <w:pPr>
              <w:spacing w:after="0"/>
              <w:rPr>
                <w:sz w:val="20"/>
                <w:szCs w:val="20"/>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1,096,600</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7"/>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320" w:type="dxa"/>
            <w:vAlign w:val="bottom"/>
          </w:tcPr>
          <w:p>
            <w:pPr>
              <w:spacing w:after="0"/>
              <w:rPr>
                <w:sz w:val="20"/>
                <w:szCs w:val="20"/>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(208,056 )</w:t>
            </w: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(109,101 )</w:t>
            </w:r>
          </w:p>
        </w:tc>
        <w:tc>
          <w:tcPr>
            <w:tcW w:w="300" w:type="dxa"/>
            <w:vAlign w:val="bottom"/>
          </w:tcPr>
          <w:p>
            <w:pPr>
              <w:spacing w:after="0"/>
              <w:rPr>
                <w:sz w:val="20"/>
                <w:szCs w:val="20"/>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(54,799 )</w:t>
            </w:r>
          </w:p>
        </w:tc>
      </w:tr>
      <w:tr>
        <w:trPr>
          <w:trHeight w:val="237"/>
        </w:trPr>
        <w:tc>
          <w:tcPr>
            <w:tcW w:w="6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expense:</w:t>
            </w:r>
          </w:p>
        </w:tc>
        <w:tc>
          <w:tcPr>
            <w:tcW w:w="320" w:type="dxa"/>
            <w:vAlign w:val="bottom"/>
            <w:tcBorders>
              <w:top w:val="single" w:sz="8" w:color="auto"/>
            </w:tcBorders>
            <w:shd w:val="clear" w:color="auto" w:fill="CFF0FC"/>
          </w:tcPr>
          <w:p>
            <w:pPr>
              <w:spacing w:after="0"/>
              <w:rPr>
                <w:sz w:val="20"/>
                <w:szCs w:val="20"/>
                <w:color w:val="auto"/>
              </w:rPr>
            </w:pPr>
          </w:p>
        </w:tc>
        <w:tc>
          <w:tcPr>
            <w:tcW w:w="1020" w:type="dxa"/>
            <w:vAlign w:val="bottom"/>
            <w:tcBorders>
              <w:top w:val="single" w:sz="8" w:color="auto"/>
            </w:tcBorders>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320" w:type="dxa"/>
            <w:vAlign w:val="bottom"/>
            <w:tcBorders>
              <w:top w:val="single" w:sz="8" w:color="auto"/>
            </w:tcBorders>
            <w:shd w:val="clear" w:color="auto" w:fill="CFF0FC"/>
          </w:tcPr>
          <w:p>
            <w:pPr>
              <w:spacing w:after="0"/>
              <w:rPr>
                <w:sz w:val="20"/>
                <w:szCs w:val="20"/>
                <w:color w:val="auto"/>
              </w:rPr>
            </w:pPr>
          </w:p>
        </w:tc>
        <w:tc>
          <w:tcPr>
            <w:tcW w:w="1000" w:type="dxa"/>
            <w:vAlign w:val="bottom"/>
            <w:tcBorders>
              <w:top w:val="single" w:sz="8" w:color="auto"/>
            </w:tcBorders>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300" w:type="dxa"/>
            <w:vAlign w:val="bottom"/>
            <w:tcBorders>
              <w:top w:val="single" w:sz="8" w:color="auto"/>
            </w:tcBorders>
            <w:shd w:val="clear" w:color="auto" w:fill="CFF0FC"/>
          </w:tcPr>
          <w:p>
            <w:pPr>
              <w:spacing w:after="0"/>
              <w:rPr>
                <w:sz w:val="20"/>
                <w:szCs w:val="20"/>
                <w:color w:val="auto"/>
              </w:rPr>
            </w:pPr>
          </w:p>
        </w:tc>
        <w:tc>
          <w:tcPr>
            <w:tcW w:w="102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6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income</w:t>
            </w: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58,828</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1,173</w:t>
            </w:r>
          </w:p>
        </w:tc>
        <w:tc>
          <w:tcPr>
            <w:tcW w:w="100" w:type="dxa"/>
            <w:vAlign w:val="bottom"/>
          </w:tcPr>
          <w:p>
            <w:pPr>
              <w:spacing w:after="0"/>
              <w:rPr>
                <w:sz w:val="20"/>
                <w:szCs w:val="20"/>
                <w:color w:val="auto"/>
              </w:rPr>
            </w:pPr>
          </w:p>
        </w:tc>
      </w:tr>
      <w:tr>
        <w:trPr>
          <w:trHeight w:val="247"/>
        </w:trPr>
        <w:tc>
          <w:tcPr>
            <w:tcW w:w="66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Interest expense</w:t>
            </w:r>
          </w:p>
        </w:tc>
        <w:tc>
          <w:tcPr>
            <w:tcW w:w="32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(3,801 )</w:t>
            </w:r>
          </w:p>
        </w:tc>
        <w:tc>
          <w:tcPr>
            <w:tcW w:w="1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(3,762 )</w:t>
            </w:r>
          </w:p>
        </w:tc>
        <w:tc>
          <w:tcPr>
            <w:tcW w:w="30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(30,282 )</w:t>
            </w:r>
          </w:p>
        </w:tc>
      </w:tr>
      <w:tr>
        <w:trPr>
          <w:trHeight w:val="243"/>
        </w:trPr>
        <w:tc>
          <w:tcPr>
            <w:tcW w:w="6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(expense) income</w:t>
            </w:r>
          </w:p>
        </w:tc>
        <w:tc>
          <w:tcPr>
            <w:tcW w:w="320" w:type="dxa"/>
            <w:vAlign w:val="bottom"/>
          </w:tcPr>
          <w:p>
            <w:pPr>
              <w:spacing w:after="0"/>
              <w:rPr>
                <w:sz w:val="21"/>
                <w:szCs w:val="21"/>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(4,673 )</w:t>
            </w:r>
          </w:p>
        </w:tc>
        <w:tc>
          <w:tcPr>
            <w:tcW w:w="1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(6,829 )</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10,090</w:t>
            </w:r>
          </w:p>
        </w:tc>
        <w:tc>
          <w:tcPr>
            <w:tcW w:w="100" w:type="dxa"/>
            <w:vAlign w:val="bottom"/>
          </w:tcPr>
          <w:p>
            <w:pPr>
              <w:spacing w:after="0"/>
              <w:rPr>
                <w:sz w:val="21"/>
                <w:szCs w:val="21"/>
                <w:color w:val="auto"/>
              </w:rPr>
            </w:pPr>
          </w:p>
        </w:tc>
      </w:tr>
      <w:tr>
        <w:trPr>
          <w:trHeight w:val="20"/>
        </w:trPr>
        <w:tc>
          <w:tcPr>
            <w:tcW w:w="66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66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other income (expense)</w:t>
            </w:r>
          </w:p>
        </w:tc>
        <w:tc>
          <w:tcPr>
            <w:tcW w:w="32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50,354</w:t>
            </w:r>
          </w:p>
        </w:tc>
        <w:tc>
          <w:tcPr>
            <w:tcW w:w="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4,409</w:t>
            </w:r>
          </w:p>
        </w:tc>
        <w:tc>
          <w:tcPr>
            <w:tcW w:w="2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(19,019 )</w:t>
            </w:r>
          </w:p>
        </w:tc>
      </w:tr>
      <w:tr>
        <w:trPr>
          <w:trHeight w:val="20"/>
        </w:trPr>
        <w:tc>
          <w:tcPr>
            <w:tcW w:w="666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2"/>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before income tax expense</w:t>
            </w:r>
          </w:p>
        </w:tc>
        <w:tc>
          <w:tcPr>
            <w:tcW w:w="320" w:type="dxa"/>
            <w:vAlign w:val="bottom"/>
          </w:tcPr>
          <w:p>
            <w:pPr>
              <w:spacing w:after="0"/>
              <w:rPr>
                <w:sz w:val="20"/>
                <w:szCs w:val="20"/>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(157,702 )</w:t>
            </w: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(104,692 )</w:t>
            </w:r>
          </w:p>
        </w:tc>
        <w:tc>
          <w:tcPr>
            <w:tcW w:w="300" w:type="dxa"/>
            <w:vAlign w:val="bottom"/>
          </w:tcPr>
          <w:p>
            <w:pPr>
              <w:spacing w:after="0"/>
              <w:rPr>
                <w:sz w:val="20"/>
                <w:szCs w:val="20"/>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(73,818 )</w:t>
            </w:r>
          </w:p>
        </w:tc>
      </w:tr>
      <w:tr>
        <w:trPr>
          <w:trHeight w:val="247"/>
        </w:trPr>
        <w:tc>
          <w:tcPr>
            <w:tcW w:w="66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Income tax expense</w:t>
            </w:r>
          </w:p>
        </w:tc>
        <w:tc>
          <w:tcPr>
            <w:tcW w:w="32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(18,593 )</w:t>
            </w:r>
          </w:p>
        </w:tc>
        <w:tc>
          <w:tcPr>
            <w:tcW w:w="1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(8,057 )</w:t>
            </w:r>
          </w:p>
        </w:tc>
        <w:tc>
          <w:tcPr>
            <w:tcW w:w="30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(4,019 )</w:t>
            </w:r>
          </w:p>
        </w:tc>
      </w:tr>
      <w:tr>
        <w:trPr>
          <w:trHeight w:val="20"/>
        </w:trPr>
        <w:tc>
          <w:tcPr>
            <w:tcW w:w="666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7"/>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20" w:type="dxa"/>
            <w:vAlign w:val="bottom"/>
          </w:tcPr>
          <w:p>
            <w:pPr>
              <w:spacing w:after="0"/>
              <w:rPr>
                <w:sz w:val="20"/>
                <w:szCs w:val="20"/>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(176,295 )</w:t>
            </w: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(112,749 )</w:t>
            </w:r>
          </w:p>
        </w:tc>
        <w:tc>
          <w:tcPr>
            <w:tcW w:w="300" w:type="dxa"/>
            <w:vAlign w:val="bottom"/>
          </w:tcPr>
          <w:p>
            <w:pPr>
              <w:spacing w:after="0"/>
              <w:rPr>
                <w:sz w:val="20"/>
                <w:szCs w:val="20"/>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(77,837 )</w:t>
            </w:r>
          </w:p>
        </w:tc>
      </w:tr>
      <w:tr>
        <w:trPr>
          <w:trHeight w:val="20"/>
        </w:trPr>
        <w:tc>
          <w:tcPr>
            <w:tcW w:w="66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6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 per common share, basic and diluted</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(3.53 )</w:t>
            </w:r>
          </w:p>
        </w:tc>
        <w:tc>
          <w:tcPr>
            <w:tcW w:w="5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(2.35 )</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(1.66 )</w:t>
            </w:r>
          </w:p>
        </w:tc>
      </w:tr>
      <w:tr>
        <w:trPr>
          <w:trHeight w:val="211"/>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common shares used in computing basic and diluted net</w:t>
            </w: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66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loss per common share:</w:t>
            </w: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49,877</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48,065</w:t>
            </w: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46,891</w:t>
            </w:r>
          </w:p>
        </w:tc>
        <w:tc>
          <w:tcPr>
            <w:tcW w:w="1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5080000</wp:posOffset>
            </wp:positionH>
            <wp:positionV relativeFrom="paragraph">
              <wp:posOffset>-3796665</wp:posOffset>
            </wp:positionV>
            <wp:extent cx="7747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-3796665</wp:posOffset>
            </wp:positionV>
            <wp:extent cx="6858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-3796665</wp:posOffset>
            </wp:positionV>
            <wp:extent cx="6858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-3162300</wp:posOffset>
            </wp:positionV>
            <wp:extent cx="7747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-3162300</wp:posOffset>
            </wp:positionV>
            <wp:extent cx="6858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-3162300</wp:posOffset>
            </wp:positionV>
            <wp:extent cx="6858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-2837180</wp:posOffset>
            </wp:positionV>
            <wp:extent cx="7747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-2837180</wp:posOffset>
            </wp:positionV>
            <wp:extent cx="6858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-2837180</wp:posOffset>
            </wp:positionV>
            <wp:extent cx="6858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-1894205</wp:posOffset>
            </wp:positionV>
            <wp:extent cx="7747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-1894205</wp:posOffset>
            </wp:positionV>
            <wp:extent cx="6858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-1894205</wp:posOffset>
            </wp:positionV>
            <wp:extent cx="6858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-942340</wp:posOffset>
            </wp:positionV>
            <wp:extent cx="7747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-942340</wp:posOffset>
            </wp:positionV>
            <wp:extent cx="6858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-942340</wp:posOffset>
            </wp:positionV>
            <wp:extent cx="6858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-625475</wp:posOffset>
            </wp:positionV>
            <wp:extent cx="7747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-625475</wp:posOffset>
            </wp:positionV>
            <wp:extent cx="6858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-625475</wp:posOffset>
            </wp:positionV>
            <wp:extent cx="6858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70" w:name="page71"/>
    <w:bookmarkEnd w:id="70"/>
    <w:p>
      <w:pPr>
        <w:jc w:val="center"/>
        <w:spacing w:after="0"/>
        <w:rPr>
          <w:sz w:val="20"/>
          <w:szCs w:val="20"/>
          <w:color w:val="auto"/>
        </w:rPr>
      </w:pPr>
      <w:r>
        <w:rPr>
          <w:rFonts w:ascii="Times New Roman" w:cs="Times New Roman" w:eastAsia="Times New Roman" w:hAnsi="Times New Roman"/>
          <w:sz w:val="18"/>
          <w:szCs w:val="18"/>
          <w:b w:val="1"/>
          <w:bCs w:val="1"/>
          <w:color w:val="auto"/>
        </w:rPr>
        <w:t>HUBSPOT,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3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4"/>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630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6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(176,295 )</w:t>
            </w:r>
          </w:p>
        </w:tc>
        <w:tc>
          <w:tcPr>
            <w:tcW w:w="5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(112,749 )</w:t>
            </w: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(77,837 )</w:t>
            </w:r>
          </w:p>
        </w:tc>
        <w:tc>
          <w:tcPr>
            <w:tcW w:w="0" w:type="dxa"/>
            <w:vAlign w:val="bottom"/>
          </w:tcPr>
          <w:p>
            <w:pPr>
              <w:spacing w:after="0"/>
              <w:rPr>
                <w:sz w:val="1"/>
                <w:szCs w:val="1"/>
                <w:color w:val="auto"/>
              </w:rPr>
            </w:pPr>
          </w:p>
        </w:tc>
      </w:tr>
      <w:tr>
        <w:trPr>
          <w:trHeight w:val="239"/>
        </w:trPr>
        <w:tc>
          <w:tcPr>
            <w:tcW w:w="6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loss:</w:t>
            </w: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63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32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4,020</w:t>
            </w:r>
          </w:p>
        </w:tc>
        <w:tc>
          <w:tcPr>
            <w:tcW w:w="1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(2,538 )</w:t>
            </w:r>
          </w:p>
        </w:tc>
        <w:tc>
          <w:tcPr>
            <w:tcW w:w="340" w:type="dxa"/>
            <w:vAlign w:val="bottom"/>
            <w:shd w:val="clear" w:color="auto" w:fill="CFF0FC"/>
          </w:tcPr>
          <w:p>
            <w:pPr>
              <w:spacing w:after="0"/>
              <w:rPr>
                <w:sz w:val="21"/>
                <w:szCs w:val="21"/>
                <w:color w:val="auto"/>
              </w:rPr>
            </w:pPr>
          </w:p>
        </w:tc>
        <w:tc>
          <w:tcPr>
            <w:tcW w:w="1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(4,712 )</w:t>
            </w:r>
          </w:p>
        </w:tc>
        <w:tc>
          <w:tcPr>
            <w:tcW w:w="0" w:type="dxa"/>
            <w:vAlign w:val="bottom"/>
          </w:tcPr>
          <w:p>
            <w:pPr>
              <w:spacing w:after="0"/>
              <w:rPr>
                <w:sz w:val="1"/>
                <w:szCs w:val="1"/>
                <w:color w:val="auto"/>
              </w:rPr>
            </w:pPr>
          </w:p>
        </w:tc>
      </w:tr>
      <w:tr>
        <w:trPr>
          <w:trHeight w:val="211"/>
        </w:trPr>
        <w:tc>
          <w:tcPr>
            <w:tcW w:w="63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Changes in unrealized gain (loss) on investments, net of income taxes of $0 in</w:t>
            </w:r>
          </w:p>
        </w:tc>
        <w:tc>
          <w:tcPr>
            <w:tcW w:w="320" w:type="dxa"/>
            <w:vAlign w:val="bottom"/>
          </w:tcPr>
          <w:p>
            <w:pPr>
              <w:spacing w:after="0"/>
              <w:rPr>
                <w:sz w:val="18"/>
                <w:szCs w:val="18"/>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10,697</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(9,013 )</w:t>
            </w:r>
          </w:p>
        </w:tc>
        <w:tc>
          <w:tcPr>
            <w:tcW w:w="340" w:type="dxa"/>
            <w:vAlign w:val="bottom"/>
          </w:tcPr>
          <w:p>
            <w:pPr>
              <w:spacing w:after="0"/>
              <w:rPr>
                <w:sz w:val="18"/>
                <w:szCs w:val="18"/>
                <w:color w:val="auto"/>
              </w:rPr>
            </w:pPr>
          </w:p>
        </w:tc>
        <w:tc>
          <w:tcPr>
            <w:tcW w:w="126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(1,230 )</w:t>
            </w:r>
          </w:p>
        </w:tc>
        <w:tc>
          <w:tcPr>
            <w:tcW w:w="0" w:type="dxa"/>
            <w:vAlign w:val="bottom"/>
          </w:tcPr>
          <w:p>
            <w:pPr>
              <w:spacing w:after="0"/>
              <w:rPr>
                <w:sz w:val="1"/>
                <w:szCs w:val="1"/>
                <w:color w:val="auto"/>
              </w:rPr>
            </w:pPr>
          </w:p>
        </w:tc>
      </w:tr>
      <w:tr>
        <w:trPr>
          <w:trHeight w:val="234"/>
        </w:trPr>
        <w:tc>
          <w:tcPr>
            <w:tcW w:w="63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2023, $0 in 2022, and ($44) in 2021</w:t>
            </w:r>
          </w:p>
        </w:tc>
        <w:tc>
          <w:tcPr>
            <w:tcW w:w="320" w:type="dxa"/>
            <w:vAlign w:val="bottom"/>
          </w:tcPr>
          <w:p>
            <w:pPr>
              <w:spacing w:after="0"/>
              <w:rPr>
                <w:sz w:val="20"/>
                <w:szCs w:val="20"/>
                <w:color w:val="auto"/>
              </w:rPr>
            </w:pPr>
          </w:p>
        </w:tc>
        <w:tc>
          <w:tcPr>
            <w:tcW w:w="106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00" w:type="dxa"/>
            <w:vAlign w:val="bottom"/>
            <w:gridSpan w:val="2"/>
            <w:vMerge w:val="continue"/>
          </w:tcPr>
          <w:p>
            <w:pPr>
              <w:spacing w:after="0"/>
              <w:rPr>
                <w:sz w:val="20"/>
                <w:szCs w:val="20"/>
                <w:color w:val="auto"/>
              </w:rPr>
            </w:pPr>
          </w:p>
        </w:tc>
        <w:tc>
          <w:tcPr>
            <w:tcW w:w="340" w:type="dxa"/>
            <w:vAlign w:val="bottom"/>
          </w:tcPr>
          <w:p>
            <w:pPr>
              <w:spacing w:after="0"/>
              <w:rPr>
                <w:sz w:val="20"/>
                <w:szCs w:val="20"/>
                <w:color w:val="auto"/>
              </w:rPr>
            </w:pPr>
          </w:p>
        </w:tc>
        <w:tc>
          <w:tcPr>
            <w:tcW w:w="126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3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6"/>
        </w:trPr>
        <w:tc>
          <w:tcPr>
            <w:tcW w:w="6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Comprehensive loss</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(161,578 )</w:t>
            </w:r>
          </w:p>
        </w:tc>
        <w:tc>
          <w:tcPr>
            <w:tcW w:w="5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(124,300 )</w:t>
            </w: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(83,779 )</w:t>
            </w:r>
          </w:p>
        </w:tc>
        <w:tc>
          <w:tcPr>
            <w:tcW w:w="0" w:type="dxa"/>
            <w:vAlign w:val="bottom"/>
          </w:tcPr>
          <w:p>
            <w:pPr>
              <w:spacing w:after="0"/>
              <w:rPr>
                <w:sz w:val="1"/>
                <w:szCs w:val="1"/>
                <w:color w:val="auto"/>
              </w:rPr>
            </w:pPr>
          </w:p>
        </w:tc>
      </w:tr>
      <w:tr>
        <w:trPr>
          <w:trHeight w:val="20"/>
        </w:trPr>
        <w:tc>
          <w:tcPr>
            <w:tcW w:w="630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4882515</wp:posOffset>
            </wp:positionH>
            <wp:positionV relativeFrom="paragraph">
              <wp:posOffset>-25400</wp:posOffset>
            </wp:positionV>
            <wp:extent cx="7747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-7620</wp:posOffset>
            </wp:positionV>
            <wp:extent cx="7747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-25400</wp:posOffset>
            </wp:positionV>
            <wp:extent cx="6858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-7620</wp:posOffset>
            </wp:positionV>
            <wp:extent cx="6858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71" w:name="page72"/>
    <w:bookmarkEnd w:id="71"/>
    <w:p>
      <w:pPr>
        <w:jc w:val="center"/>
        <w:spacing w:after="0"/>
        <w:rPr>
          <w:sz w:val="20"/>
          <w:szCs w:val="20"/>
          <w:color w:val="auto"/>
        </w:rPr>
      </w:pPr>
      <w:r>
        <w:rPr>
          <w:rFonts w:ascii="Times New Roman" w:cs="Times New Roman" w:eastAsia="Times New Roman" w:hAnsi="Times New Roman"/>
          <w:sz w:val="18"/>
          <w:szCs w:val="18"/>
          <w:b w:val="1"/>
          <w:bCs w:val="1"/>
          <w:color w:val="auto"/>
        </w:rPr>
        <w:t>HUBSPOT,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320" w:type="dxa"/>
            <w:vAlign w:val="bottom"/>
          </w:tcPr>
          <w:p>
            <w:pPr>
              <w:spacing w:after="0"/>
              <w:rPr>
                <w:sz w:val="12"/>
                <w:szCs w:val="12"/>
                <w:color w:val="auto"/>
              </w:rPr>
            </w:pPr>
          </w:p>
        </w:tc>
        <w:tc>
          <w:tcPr>
            <w:tcW w:w="1160" w:type="dxa"/>
            <w:vAlign w:val="bottom"/>
            <w:gridSpan w:val="2"/>
          </w:tcPr>
          <w:p>
            <w:pPr>
              <w:jc w:val="center"/>
              <w:ind w:left="297"/>
              <w:spacing w:after="0"/>
              <w:rPr>
                <w:sz w:val="20"/>
                <w:szCs w:val="20"/>
                <w:color w:val="auto"/>
              </w:rPr>
            </w:pPr>
            <w:r>
              <w:rPr>
                <w:rFonts w:ascii="Times New Roman" w:cs="Times New Roman" w:eastAsia="Times New Roman" w:hAnsi="Times New Roman"/>
                <w:sz w:val="13"/>
                <w:szCs w:val="13"/>
                <w:b w:val="1"/>
                <w:bCs w:val="1"/>
                <w:color w:val="auto"/>
              </w:rPr>
              <w:t>Common</w:t>
            </w: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80" w:type="dxa"/>
            <w:vAlign w:val="bottom"/>
            <w:gridSpan w:val="3"/>
          </w:tcPr>
          <w:p>
            <w:pPr>
              <w:jc w:val="center"/>
              <w:spacing w:after="0"/>
              <w:rPr>
                <w:sz w:val="20"/>
                <w:szCs w:val="20"/>
                <w:color w:val="auto"/>
              </w:rPr>
            </w:pPr>
            <w:r>
              <w:rPr>
                <w:rFonts w:ascii="Times New Roman" w:cs="Times New Roman" w:eastAsia="Times New Roman" w:hAnsi="Times New Roman"/>
                <w:sz w:val="13"/>
                <w:szCs w:val="13"/>
                <w:b w:val="1"/>
                <w:bCs w:val="1"/>
                <w:color w:val="auto"/>
              </w:rPr>
              <w:t>Treasury Stock,</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52"/>
        </w:trPr>
        <w:tc>
          <w:tcPr>
            <w:tcW w:w="3320" w:type="dxa"/>
            <w:vAlign w:val="bottom"/>
          </w:tcPr>
          <w:p>
            <w:pPr>
              <w:spacing w:after="0"/>
              <w:rPr>
                <w:sz w:val="13"/>
                <w:szCs w:val="13"/>
                <w:color w:val="auto"/>
              </w:rPr>
            </w:pPr>
          </w:p>
        </w:tc>
        <w:tc>
          <w:tcPr>
            <w:tcW w:w="1160" w:type="dxa"/>
            <w:vAlign w:val="bottom"/>
            <w:gridSpan w:val="2"/>
          </w:tcPr>
          <w:p>
            <w:pPr>
              <w:jc w:val="center"/>
              <w:ind w:left="317"/>
              <w:spacing w:after="0"/>
              <w:rPr>
                <w:sz w:val="20"/>
                <w:szCs w:val="20"/>
                <w:color w:val="auto"/>
              </w:rPr>
            </w:pPr>
            <w:r>
              <w:rPr>
                <w:rFonts w:ascii="Times New Roman" w:cs="Times New Roman" w:eastAsia="Times New Roman" w:hAnsi="Times New Roman"/>
                <w:sz w:val="13"/>
                <w:szCs w:val="13"/>
                <w:b w:val="1"/>
                <w:bCs w:val="1"/>
                <w:color w:val="auto"/>
              </w:rPr>
              <w:t>Stock, $0.001</w:t>
            </w: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gridSpan w:val="2"/>
          </w:tcPr>
          <w:p>
            <w:pPr>
              <w:jc w:val="center"/>
              <w:ind w:left="277"/>
              <w:spacing w:after="0"/>
              <w:rPr>
                <w:sz w:val="20"/>
                <w:szCs w:val="20"/>
                <w:color w:val="auto"/>
              </w:rPr>
            </w:pPr>
            <w:r>
              <w:rPr>
                <w:rFonts w:ascii="Times New Roman" w:cs="Times New Roman" w:eastAsia="Times New Roman" w:hAnsi="Times New Roman"/>
                <w:sz w:val="13"/>
                <w:szCs w:val="13"/>
                <w:b w:val="1"/>
                <w:bCs w:val="1"/>
                <w:color w:val="auto"/>
              </w:rPr>
              <w:t>$0.001</w:t>
            </w:r>
          </w:p>
        </w:tc>
        <w:tc>
          <w:tcPr>
            <w:tcW w:w="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gridSpan w:val="2"/>
          </w:tcPr>
          <w:p>
            <w:pPr>
              <w:jc w:val="right"/>
              <w:ind w:right="380"/>
              <w:spacing w:after="0"/>
              <w:rPr>
                <w:sz w:val="20"/>
                <w:szCs w:val="20"/>
                <w:color w:val="auto"/>
              </w:rPr>
            </w:pPr>
            <w:r>
              <w:rPr>
                <w:rFonts w:ascii="Times New Roman" w:cs="Times New Roman" w:eastAsia="Times New Roman" w:hAnsi="Times New Roman"/>
                <w:sz w:val="13"/>
                <w:szCs w:val="13"/>
                <w:b w:val="1"/>
                <w:bCs w:val="1"/>
                <w:color w:val="auto"/>
              </w:rPr>
              <w:t>Additional</w:t>
            </w:r>
          </w:p>
        </w:tc>
        <w:tc>
          <w:tcPr>
            <w:tcW w:w="100" w:type="dxa"/>
            <w:vAlign w:val="bottom"/>
          </w:tcPr>
          <w:p>
            <w:pPr>
              <w:spacing w:after="0"/>
              <w:rPr>
                <w:sz w:val="13"/>
                <w:szCs w:val="13"/>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rPr>
              <w:t>Other</w:t>
            </w: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76"/>
        </w:trPr>
        <w:tc>
          <w:tcPr>
            <w:tcW w:w="3320" w:type="dxa"/>
            <w:vAlign w:val="bottom"/>
          </w:tcPr>
          <w:p>
            <w:pPr>
              <w:spacing w:after="0"/>
              <w:rPr>
                <w:sz w:val="15"/>
                <w:szCs w:val="15"/>
                <w:color w:val="auto"/>
              </w:rPr>
            </w:pPr>
          </w:p>
        </w:tc>
        <w:tc>
          <w:tcPr>
            <w:tcW w:w="1160" w:type="dxa"/>
            <w:vAlign w:val="bottom"/>
            <w:tcBorders>
              <w:bottom w:val="single" w:sz="8" w:color="auto"/>
            </w:tcBorders>
            <w:gridSpan w:val="2"/>
          </w:tcPr>
          <w:p>
            <w:pPr>
              <w:jc w:val="center"/>
              <w:ind w:left="297"/>
              <w:spacing w:after="0"/>
              <w:rPr>
                <w:sz w:val="20"/>
                <w:szCs w:val="20"/>
                <w:color w:val="auto"/>
              </w:rPr>
            </w:pPr>
            <w:r>
              <w:rPr>
                <w:rFonts w:ascii="Times New Roman" w:cs="Times New Roman" w:eastAsia="Times New Roman" w:hAnsi="Times New Roman"/>
                <w:sz w:val="13"/>
                <w:szCs w:val="13"/>
                <w:b w:val="1"/>
                <w:bCs w:val="1"/>
                <w:color w:val="auto"/>
              </w:rPr>
              <w:t>Par Value</w:t>
            </w:r>
          </w:p>
        </w:tc>
        <w:tc>
          <w:tcPr>
            <w:tcW w:w="1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1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3"/>
                <w:szCs w:val="13"/>
                <w:b w:val="1"/>
                <w:bCs w:val="1"/>
                <w:color w:val="auto"/>
              </w:rPr>
              <w:t>Par Value</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gridSpan w:val="2"/>
          </w:tcPr>
          <w:p>
            <w:pPr>
              <w:jc w:val="right"/>
              <w:ind w:right="460"/>
              <w:spacing w:after="0"/>
              <w:rPr>
                <w:sz w:val="20"/>
                <w:szCs w:val="20"/>
                <w:color w:val="auto"/>
              </w:rPr>
            </w:pPr>
            <w:r>
              <w:rPr>
                <w:rFonts w:ascii="Times New Roman" w:cs="Times New Roman" w:eastAsia="Times New Roman" w:hAnsi="Times New Roman"/>
                <w:sz w:val="13"/>
                <w:szCs w:val="13"/>
                <w:b w:val="1"/>
                <w:bCs w:val="1"/>
                <w:color w:val="auto"/>
              </w:rPr>
              <w:t>Paid-In</w:t>
            </w:r>
          </w:p>
        </w:tc>
        <w:tc>
          <w:tcPr>
            <w:tcW w:w="100" w:type="dxa"/>
            <w:vAlign w:val="bottom"/>
          </w:tcPr>
          <w:p>
            <w:pPr>
              <w:spacing w:after="0"/>
              <w:rPr>
                <w:sz w:val="15"/>
                <w:szCs w:val="15"/>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rPr>
              <w:t>Comprehensive</w:t>
            </w:r>
          </w:p>
        </w:tc>
        <w:tc>
          <w:tcPr>
            <w:tcW w:w="1160" w:type="dxa"/>
            <w:vAlign w:val="bottom"/>
            <w:gridSpan w:val="3"/>
          </w:tcPr>
          <w:p>
            <w:pPr>
              <w:jc w:val="right"/>
              <w:ind w:right="300"/>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9"/>
        </w:trPr>
        <w:tc>
          <w:tcPr>
            <w:tcW w:w="3320" w:type="dxa"/>
            <w:vAlign w:val="bottom"/>
          </w:tcPr>
          <w:p>
            <w:pPr>
              <w:spacing w:after="0"/>
              <w:rPr>
                <w:sz w:val="18"/>
                <w:szCs w:val="18"/>
                <w:color w:val="auto"/>
              </w:rPr>
            </w:pPr>
          </w:p>
        </w:tc>
        <w:tc>
          <w:tcPr>
            <w:tcW w:w="92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2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3"/>
                <w:szCs w:val="13"/>
                <w:b w:val="1"/>
                <w:bCs w:val="1"/>
                <w:color w:val="auto"/>
              </w:rPr>
              <w:t>$</w:t>
            </w:r>
          </w:p>
        </w:tc>
        <w:tc>
          <w:tcPr>
            <w:tcW w:w="240" w:type="dxa"/>
            <w:vAlign w:val="bottom"/>
          </w:tcPr>
          <w:p>
            <w:pPr>
              <w:spacing w:after="0"/>
              <w:rPr>
                <w:sz w:val="18"/>
                <w:szCs w:val="18"/>
                <w:color w:val="auto"/>
              </w:rPr>
            </w:pPr>
          </w:p>
        </w:tc>
        <w:tc>
          <w:tcPr>
            <w:tcW w:w="60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220" w:type="dxa"/>
            <w:vAlign w:val="bottom"/>
          </w:tcPr>
          <w:p>
            <w:pPr>
              <w:spacing w:after="0"/>
              <w:rPr>
                <w:sz w:val="18"/>
                <w:szCs w:val="18"/>
                <w:color w:val="auto"/>
              </w:rPr>
            </w:pPr>
          </w:p>
        </w:tc>
        <w:tc>
          <w:tcPr>
            <w:tcW w:w="36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3"/>
                <w:szCs w:val="13"/>
                <w:b w:val="1"/>
                <w:bCs w:val="1"/>
                <w:color w:val="auto"/>
              </w:rPr>
              <w:t>$</w:t>
            </w:r>
          </w:p>
        </w:tc>
        <w:tc>
          <w:tcPr>
            <w:tcW w:w="2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3"/>
                <w:szCs w:val="13"/>
                <w:b w:val="1"/>
                <w:bCs w:val="1"/>
                <w:color w:val="auto"/>
              </w:rPr>
              <w:t>Capital</w:t>
            </w:r>
          </w:p>
        </w:tc>
        <w:tc>
          <w:tcPr>
            <w:tcW w:w="2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center"/>
              <w:ind w:right="17"/>
              <w:spacing w:after="0"/>
              <w:rPr>
                <w:sz w:val="20"/>
                <w:szCs w:val="20"/>
                <w:color w:val="auto"/>
              </w:rPr>
            </w:pPr>
            <w:r>
              <w:rPr>
                <w:rFonts w:ascii="Times New Roman" w:cs="Times New Roman" w:eastAsia="Times New Roman" w:hAnsi="Times New Roman"/>
                <w:sz w:val="13"/>
                <w:szCs w:val="13"/>
                <w:b w:val="1"/>
                <w:bCs w:val="1"/>
                <w:color w:val="auto"/>
              </w:rPr>
              <w:t>Income (Loss)</w:t>
            </w:r>
          </w:p>
        </w:tc>
        <w:tc>
          <w:tcPr>
            <w:tcW w:w="2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15"/>
              <w:spacing w:after="0"/>
              <w:rPr>
                <w:sz w:val="20"/>
                <w:szCs w:val="20"/>
                <w:color w:val="auto"/>
              </w:rPr>
            </w:pPr>
            <w:r>
              <w:rPr>
                <w:rFonts w:ascii="Times New Roman" w:cs="Times New Roman" w:eastAsia="Times New Roman" w:hAnsi="Times New Roman"/>
                <w:sz w:val="13"/>
                <w:szCs w:val="13"/>
                <w:b w:val="1"/>
                <w:bCs w:val="1"/>
                <w:color w:val="auto"/>
              </w:rPr>
              <w:t>Deficit</w:t>
            </w:r>
          </w:p>
        </w:tc>
        <w:tc>
          <w:tcPr>
            <w:tcW w:w="2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75"/>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00" w:type="dxa"/>
            <w:vAlign w:val="bottom"/>
          </w:tcPr>
          <w:p>
            <w:pPr>
              <w:spacing w:after="0"/>
              <w:rPr>
                <w:sz w:val="18"/>
                <w:szCs w:val="18"/>
                <w:color w:val="auto"/>
              </w:rPr>
            </w:pPr>
          </w:p>
        </w:tc>
      </w:tr>
      <w:tr>
        <w:trPr>
          <w:trHeight w:val="223"/>
        </w:trPr>
        <w:tc>
          <w:tcPr>
            <w:tcW w:w="3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Balances at January 1, 2021</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46,115</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46</w:t>
            </w:r>
          </w:p>
        </w:tc>
        <w:tc>
          <w:tcPr>
            <w:tcW w:w="2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220" w:type="dxa"/>
            <w:vAlign w:val="bottom"/>
            <w:shd w:val="clear" w:color="auto" w:fill="CFF0FC"/>
          </w:tcPr>
          <w:p>
            <w:pPr>
              <w:spacing w:after="0"/>
              <w:rPr>
                <w:sz w:val="19"/>
                <w:szCs w:val="19"/>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1,241,167</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4,603</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7"/>
                <w:szCs w:val="17"/>
                <w:color w:val="auto"/>
              </w:rPr>
              <w:t>(483,161 )</w:t>
            </w: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762,655</w:t>
            </w:r>
          </w:p>
        </w:tc>
        <w:tc>
          <w:tcPr>
            <w:tcW w:w="100" w:type="dxa"/>
            <w:vAlign w:val="bottom"/>
            <w:shd w:val="clear" w:color="auto" w:fill="CFF0FC"/>
          </w:tcPr>
          <w:p>
            <w:pPr>
              <w:spacing w:after="0"/>
              <w:rPr>
                <w:sz w:val="19"/>
                <w:szCs w:val="19"/>
                <w:color w:val="auto"/>
              </w:rPr>
            </w:pPr>
          </w:p>
        </w:tc>
      </w:tr>
      <w:tr>
        <w:trPr>
          <w:trHeight w:val="194"/>
        </w:trPr>
        <w:tc>
          <w:tcPr>
            <w:tcW w:w="3320" w:type="dxa"/>
            <w:vAlign w:val="bottom"/>
          </w:tcPr>
          <w:p>
            <w:pPr>
              <w:ind w:left="20"/>
              <w:spacing w:after="0" w:line="194" w:lineRule="exact"/>
              <w:rPr>
                <w:sz w:val="20"/>
                <w:szCs w:val="20"/>
                <w:color w:val="auto"/>
              </w:rPr>
            </w:pPr>
            <w:r>
              <w:rPr>
                <w:rFonts w:ascii="Times New Roman" w:cs="Times New Roman" w:eastAsia="Times New Roman" w:hAnsi="Times New Roman"/>
                <w:sz w:val="17"/>
                <w:szCs w:val="17"/>
                <w:color w:val="auto"/>
              </w:rPr>
              <w:t>Issuance of common stock under</w:t>
            </w: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3"/>
        </w:trPr>
        <w:tc>
          <w:tcPr>
            <w:tcW w:w="332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stock plans, net of shares withheld for</w:t>
            </w: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332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employee taxes</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1,275</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240" w:type="dxa"/>
            <w:vAlign w:val="bottom"/>
          </w:tcPr>
          <w:p>
            <w:pPr>
              <w:spacing w:after="0"/>
              <w:rPr>
                <w:sz w:val="20"/>
                <w:szCs w:val="20"/>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27,488</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27,489</w:t>
            </w:r>
          </w:p>
        </w:tc>
        <w:tc>
          <w:tcPr>
            <w:tcW w:w="100" w:type="dxa"/>
            <w:vAlign w:val="bottom"/>
          </w:tcPr>
          <w:p>
            <w:pPr>
              <w:spacing w:after="0"/>
              <w:rPr>
                <w:sz w:val="20"/>
                <w:szCs w:val="20"/>
                <w:color w:val="auto"/>
              </w:rPr>
            </w:pPr>
          </w:p>
        </w:tc>
      </w:tr>
      <w:tr>
        <w:trPr>
          <w:trHeight w:val="202"/>
        </w:trPr>
        <w:tc>
          <w:tcPr>
            <w:tcW w:w="3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Equity component of the 2022</w:t>
            </w:r>
          </w:p>
        </w:tc>
        <w:tc>
          <w:tcPr>
            <w:tcW w:w="9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38"/>
        </w:trPr>
        <w:tc>
          <w:tcPr>
            <w:tcW w:w="33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7"/>
                <w:szCs w:val="17"/>
                <w:color w:val="auto"/>
              </w:rPr>
              <w:t>Notes conversions</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898</w:t>
            </w:r>
          </w:p>
        </w:tc>
        <w:tc>
          <w:tcPr>
            <w:tcW w:w="2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240" w:type="dxa"/>
            <w:vAlign w:val="bottom"/>
            <w:shd w:val="clear" w:color="auto" w:fill="CFF0FC"/>
          </w:tcPr>
          <w:p>
            <w:pPr>
              <w:spacing w:after="0"/>
              <w:rPr>
                <w:sz w:val="20"/>
                <w:szCs w:val="20"/>
                <w:color w:val="auto"/>
              </w:rPr>
            </w:pPr>
          </w:p>
        </w:tc>
        <w:tc>
          <w:tcPr>
            <w:tcW w:w="8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7"/>
                <w:szCs w:val="17"/>
                <w:color w:val="auto"/>
              </w:rPr>
              <w:t>(11,278 )</w:t>
            </w:r>
          </w:p>
        </w:tc>
        <w:tc>
          <w:tcPr>
            <w:tcW w:w="100" w:type="dxa"/>
            <w:vAlign w:val="bottom"/>
            <w:shd w:val="clear" w:color="auto" w:fill="CFF0FC"/>
          </w:tcPr>
          <w:p>
            <w:pPr>
              <w:spacing w:after="0"/>
              <w:rPr>
                <w:sz w:val="20"/>
                <w:szCs w:val="20"/>
                <w:color w:val="auto"/>
              </w:rPr>
            </w:pPr>
          </w:p>
        </w:tc>
        <w:tc>
          <w:tcPr>
            <w:tcW w:w="12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FF0FC"/>
          </w:tcPr>
          <w:p>
            <w:pPr>
              <w:spacing w:after="0"/>
              <w:rPr>
                <w:sz w:val="20"/>
                <w:szCs w:val="20"/>
                <w:color w:val="auto"/>
              </w:rPr>
            </w:pPr>
          </w:p>
        </w:tc>
        <w:tc>
          <w:tcPr>
            <w:tcW w:w="9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7"/>
                <w:szCs w:val="17"/>
                <w:color w:val="auto"/>
              </w:rPr>
              <w:t>(11,277 )</w:t>
            </w:r>
          </w:p>
        </w:tc>
      </w:tr>
      <w:tr>
        <w:trPr>
          <w:trHeight w:val="226"/>
        </w:trPr>
        <w:tc>
          <w:tcPr>
            <w:tcW w:w="33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Settlement of Convertible Note Hedges</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(898 )</w:t>
            </w:r>
          </w:p>
        </w:tc>
        <w:tc>
          <w:tcPr>
            <w:tcW w:w="120" w:type="dxa"/>
            <w:vAlign w:val="bottom"/>
          </w:tcPr>
          <w:p>
            <w:pPr>
              <w:spacing w:after="0"/>
              <w:rPr>
                <w:sz w:val="19"/>
                <w:szCs w:val="19"/>
                <w:color w:val="auto"/>
              </w:rPr>
            </w:pPr>
          </w:p>
        </w:tc>
        <w:tc>
          <w:tcPr>
            <w:tcW w:w="5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(1 )</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898</w:t>
            </w:r>
          </w:p>
        </w:tc>
        <w:tc>
          <w:tcPr>
            <w:tcW w:w="22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8,985</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8,984</w:t>
            </w:r>
          </w:p>
        </w:tc>
        <w:tc>
          <w:tcPr>
            <w:tcW w:w="100" w:type="dxa"/>
            <w:vAlign w:val="bottom"/>
          </w:tcPr>
          <w:p>
            <w:pPr>
              <w:spacing w:after="0"/>
              <w:rPr>
                <w:sz w:val="19"/>
                <w:szCs w:val="19"/>
                <w:color w:val="auto"/>
              </w:rPr>
            </w:pPr>
          </w:p>
        </w:tc>
      </w:tr>
      <w:tr>
        <w:trPr>
          <w:trHeight w:val="233"/>
        </w:trPr>
        <w:tc>
          <w:tcPr>
            <w:tcW w:w="3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Stock-based compensation</w:t>
            </w:r>
          </w:p>
        </w:tc>
        <w:tc>
          <w:tcPr>
            <w:tcW w:w="11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FF0FC"/>
          </w:tcPr>
          <w:p>
            <w:pPr>
              <w:spacing w:after="0"/>
              <w:rPr>
                <w:sz w:val="20"/>
                <w:szCs w:val="20"/>
                <w:color w:val="auto"/>
              </w:rPr>
            </w:pPr>
          </w:p>
        </w:tc>
        <w:tc>
          <w:tcPr>
            <w:tcW w:w="5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169,727</w:t>
            </w:r>
          </w:p>
        </w:tc>
        <w:tc>
          <w:tcPr>
            <w:tcW w:w="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FF0FC"/>
          </w:tcPr>
          <w:p>
            <w:pPr>
              <w:spacing w:after="0"/>
              <w:rPr>
                <w:sz w:val="20"/>
                <w:szCs w:val="20"/>
                <w:color w:val="auto"/>
              </w:rPr>
            </w:pPr>
          </w:p>
        </w:tc>
        <w:tc>
          <w:tcPr>
            <w:tcW w:w="9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FF0FC"/>
          </w:tcPr>
          <w:p>
            <w:pPr>
              <w:spacing w:after="0"/>
              <w:rPr>
                <w:sz w:val="20"/>
                <w:szCs w:val="20"/>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169,727</w:t>
            </w:r>
          </w:p>
        </w:tc>
        <w:tc>
          <w:tcPr>
            <w:tcW w:w="100" w:type="dxa"/>
            <w:vAlign w:val="bottom"/>
            <w:shd w:val="clear" w:color="auto" w:fill="CFF0FC"/>
          </w:tcPr>
          <w:p>
            <w:pPr>
              <w:spacing w:after="0"/>
              <w:rPr>
                <w:sz w:val="20"/>
                <w:szCs w:val="20"/>
                <w:color w:val="auto"/>
              </w:rPr>
            </w:pPr>
          </w:p>
        </w:tc>
      </w:tr>
      <w:tr>
        <w:trPr>
          <w:trHeight w:val="226"/>
        </w:trPr>
        <w:tc>
          <w:tcPr>
            <w:tcW w:w="33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Cumulative translation adjustment</w:t>
            </w: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50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(4,712 )</w:t>
            </w:r>
          </w:p>
        </w:tc>
        <w:tc>
          <w:tcPr>
            <w:tcW w:w="180" w:type="dxa"/>
            <w:vAlign w:val="bottom"/>
          </w:tcPr>
          <w:p>
            <w:pPr>
              <w:spacing w:after="0"/>
              <w:rPr>
                <w:sz w:val="19"/>
                <w:szCs w:val="19"/>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(4,712 )</w:t>
            </w:r>
          </w:p>
        </w:tc>
      </w:tr>
      <w:tr>
        <w:trPr>
          <w:trHeight w:val="198"/>
        </w:trPr>
        <w:tc>
          <w:tcPr>
            <w:tcW w:w="3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Unrealized loss on investments, net of</w:t>
            </w:r>
          </w:p>
        </w:tc>
        <w:tc>
          <w:tcPr>
            <w:tcW w:w="9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38"/>
        </w:trPr>
        <w:tc>
          <w:tcPr>
            <w:tcW w:w="33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7"/>
                <w:szCs w:val="17"/>
                <w:color w:val="auto"/>
              </w:rPr>
              <w:t>income taxes of ($44)</w:t>
            </w:r>
          </w:p>
        </w:tc>
        <w:tc>
          <w:tcPr>
            <w:tcW w:w="11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FF0FC"/>
          </w:tcPr>
          <w:p>
            <w:pPr>
              <w:spacing w:after="0"/>
              <w:rPr>
                <w:sz w:val="20"/>
                <w:szCs w:val="20"/>
                <w:color w:val="auto"/>
              </w:rPr>
            </w:pPr>
          </w:p>
        </w:tc>
        <w:tc>
          <w:tcPr>
            <w:tcW w:w="5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FF0FC"/>
          </w:tcPr>
          <w:p>
            <w:pPr>
              <w:spacing w:after="0"/>
              <w:rPr>
                <w:sz w:val="20"/>
                <w:szCs w:val="20"/>
                <w:color w:val="auto"/>
              </w:rPr>
            </w:pPr>
          </w:p>
        </w:tc>
        <w:tc>
          <w:tcPr>
            <w:tcW w:w="12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7"/>
                <w:szCs w:val="17"/>
                <w:color w:val="auto"/>
              </w:rPr>
              <w:t>(1,230 )</w:t>
            </w:r>
          </w:p>
        </w:tc>
        <w:tc>
          <w:tcPr>
            <w:tcW w:w="180" w:type="dxa"/>
            <w:vAlign w:val="bottom"/>
            <w:shd w:val="clear" w:color="auto" w:fill="CFF0FC"/>
          </w:tcPr>
          <w:p>
            <w:pPr>
              <w:spacing w:after="0"/>
              <w:rPr>
                <w:sz w:val="20"/>
                <w:szCs w:val="20"/>
                <w:color w:val="auto"/>
              </w:rPr>
            </w:pPr>
          </w:p>
        </w:tc>
        <w:tc>
          <w:tcPr>
            <w:tcW w:w="9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7"/>
                <w:szCs w:val="17"/>
                <w:color w:val="auto"/>
              </w:rPr>
              <w:t>(1,230 )</w:t>
            </w:r>
          </w:p>
        </w:tc>
      </w:tr>
      <w:tr>
        <w:trPr>
          <w:trHeight w:val="228"/>
        </w:trPr>
        <w:tc>
          <w:tcPr>
            <w:tcW w:w="33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loss</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(77,837 )</w:t>
            </w:r>
          </w:p>
        </w:tc>
        <w:tc>
          <w:tcPr>
            <w:tcW w:w="20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(77,837 )</w:t>
            </w:r>
          </w:p>
        </w:tc>
      </w:tr>
      <w:tr>
        <w:trPr>
          <w:trHeight w:val="20"/>
        </w:trPr>
        <w:tc>
          <w:tcPr>
            <w:tcW w:w="33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4"/>
        </w:trPr>
        <w:tc>
          <w:tcPr>
            <w:tcW w:w="3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Balances at December 31, 2021</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47,390</w:t>
            </w:r>
          </w:p>
        </w:tc>
        <w:tc>
          <w:tcPr>
            <w:tcW w:w="240" w:type="dxa"/>
            <w:vAlign w:val="bottom"/>
            <w:shd w:val="clear" w:color="auto" w:fill="CFF0FC"/>
          </w:tcPr>
          <w:p>
            <w:pPr>
              <w:spacing w:after="0"/>
              <w:rPr>
                <w:sz w:val="22"/>
                <w:szCs w:val="22"/>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47</w:t>
            </w:r>
          </w:p>
        </w:tc>
        <w:tc>
          <w:tcPr>
            <w:tcW w:w="240" w:type="dxa"/>
            <w:vAlign w:val="bottom"/>
            <w:shd w:val="clear" w:color="auto" w:fill="CFF0FC"/>
          </w:tcPr>
          <w:p>
            <w:pPr>
              <w:spacing w:after="0"/>
              <w:rPr>
                <w:sz w:val="22"/>
                <w:szCs w:val="22"/>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910</w:t>
            </w:r>
          </w:p>
        </w:tc>
        <w:tc>
          <w:tcPr>
            <w:tcW w:w="220" w:type="dxa"/>
            <w:vAlign w:val="bottom"/>
            <w:shd w:val="clear" w:color="auto" w:fill="CFF0FC"/>
          </w:tcPr>
          <w:p>
            <w:pPr>
              <w:spacing w:after="0"/>
              <w:rPr>
                <w:sz w:val="22"/>
                <w:szCs w:val="22"/>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220" w:type="dxa"/>
            <w:vAlign w:val="bottom"/>
            <w:shd w:val="clear" w:color="auto" w:fill="CFF0FC"/>
          </w:tcPr>
          <w:p>
            <w:pPr>
              <w:spacing w:after="0"/>
              <w:rPr>
                <w:sz w:val="22"/>
                <w:szCs w:val="22"/>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1,436,089</w:t>
            </w:r>
          </w:p>
        </w:tc>
        <w:tc>
          <w:tcPr>
            <w:tcW w:w="220" w:type="dxa"/>
            <w:vAlign w:val="bottom"/>
            <w:shd w:val="clear" w:color="auto" w:fill="CFF0FC"/>
          </w:tcPr>
          <w:p>
            <w:pPr>
              <w:spacing w:after="0"/>
              <w:rPr>
                <w:sz w:val="22"/>
                <w:szCs w:val="22"/>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7"/>
                <w:szCs w:val="17"/>
                <w:color w:val="auto"/>
              </w:rPr>
              <w:t>(1,339 )</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7"/>
                <w:szCs w:val="17"/>
                <w:color w:val="auto"/>
              </w:rPr>
              <w:t>(560,998 )</w:t>
            </w:r>
          </w:p>
        </w:tc>
        <w:tc>
          <w:tcPr>
            <w:tcW w:w="20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873,799</w:t>
            </w:r>
          </w:p>
        </w:tc>
        <w:tc>
          <w:tcPr>
            <w:tcW w:w="100" w:type="dxa"/>
            <w:vAlign w:val="bottom"/>
            <w:shd w:val="clear" w:color="auto" w:fill="CFF0FC"/>
          </w:tcPr>
          <w:p>
            <w:pPr>
              <w:spacing w:after="0"/>
              <w:rPr>
                <w:sz w:val="22"/>
                <w:szCs w:val="22"/>
                <w:color w:val="auto"/>
              </w:rPr>
            </w:pPr>
          </w:p>
        </w:tc>
      </w:tr>
      <w:tr>
        <w:trPr>
          <w:trHeight w:val="175"/>
        </w:trPr>
        <w:tc>
          <w:tcPr>
            <w:tcW w:w="3320" w:type="dxa"/>
            <w:vAlign w:val="bottom"/>
            <w:tcBorders>
              <w:top w:val="single" w:sz="8" w:color="CFF0FC"/>
            </w:tcBorders>
          </w:tcPr>
          <w:p>
            <w:pPr>
              <w:ind w:left="20"/>
              <w:spacing w:after="0" w:line="175" w:lineRule="exact"/>
              <w:rPr>
                <w:sz w:val="20"/>
                <w:szCs w:val="20"/>
                <w:color w:val="auto"/>
              </w:rPr>
            </w:pPr>
            <w:r>
              <w:rPr>
                <w:rFonts w:ascii="Times New Roman" w:cs="Times New Roman" w:eastAsia="Times New Roman" w:hAnsi="Times New Roman"/>
                <w:sz w:val="17"/>
                <w:szCs w:val="17"/>
                <w:color w:val="auto"/>
              </w:rPr>
              <w:t>Issuance of common stock under</w:t>
            </w:r>
          </w:p>
        </w:tc>
        <w:tc>
          <w:tcPr>
            <w:tcW w:w="920" w:type="dxa"/>
            <w:vAlign w:val="bottom"/>
            <w:tcBorders>
              <w:top w:val="single" w:sz="8" w:color="auto"/>
            </w:tcBorders>
          </w:tcPr>
          <w:p>
            <w:pPr>
              <w:spacing w:after="0"/>
              <w:rPr>
                <w:sz w:val="15"/>
                <w:szCs w:val="15"/>
                <w:color w:val="auto"/>
              </w:rPr>
            </w:pPr>
          </w:p>
        </w:tc>
        <w:tc>
          <w:tcPr>
            <w:tcW w:w="240" w:type="dxa"/>
            <w:vAlign w:val="bottom"/>
            <w:tcBorders>
              <w:top w:val="single" w:sz="8" w:color="CFF0FC"/>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240" w:type="dxa"/>
            <w:vAlign w:val="bottom"/>
            <w:tcBorders>
              <w:top w:val="single" w:sz="8" w:color="CFF0FC"/>
            </w:tcBorders>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220" w:type="dxa"/>
            <w:vAlign w:val="bottom"/>
            <w:tcBorders>
              <w:top w:val="single" w:sz="8" w:color="CFF0FC"/>
            </w:tcBorders>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220" w:type="dxa"/>
            <w:vAlign w:val="bottom"/>
            <w:tcBorders>
              <w:top w:val="single" w:sz="8" w:color="CFF0FC"/>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220" w:type="dxa"/>
            <w:vAlign w:val="bottom"/>
            <w:tcBorders>
              <w:top w:val="single" w:sz="8" w:color="CFF0FC"/>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220" w:type="dxa"/>
            <w:vAlign w:val="bottom"/>
            <w:tcBorders>
              <w:top w:val="single" w:sz="8" w:color="CFF0FC"/>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200" w:type="dxa"/>
            <w:vAlign w:val="bottom"/>
            <w:tcBorders>
              <w:top w:val="single" w:sz="8" w:color="CFF0FC"/>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r>
      <w:tr>
        <w:trPr>
          <w:trHeight w:val="230"/>
        </w:trPr>
        <w:tc>
          <w:tcPr>
            <w:tcW w:w="332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stock plans</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1,052</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240" w:type="dxa"/>
            <w:vAlign w:val="bottom"/>
          </w:tcPr>
          <w:p>
            <w:pPr>
              <w:spacing w:after="0"/>
              <w:rPr>
                <w:sz w:val="20"/>
                <w:szCs w:val="20"/>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39,931</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39,932</w:t>
            </w:r>
          </w:p>
        </w:tc>
        <w:tc>
          <w:tcPr>
            <w:tcW w:w="100" w:type="dxa"/>
            <w:vAlign w:val="bottom"/>
          </w:tcPr>
          <w:p>
            <w:pPr>
              <w:spacing w:after="0"/>
              <w:rPr>
                <w:sz w:val="20"/>
                <w:szCs w:val="20"/>
                <w:color w:val="auto"/>
              </w:rPr>
            </w:pPr>
          </w:p>
        </w:tc>
      </w:tr>
      <w:tr>
        <w:trPr>
          <w:trHeight w:val="237"/>
        </w:trPr>
        <w:tc>
          <w:tcPr>
            <w:tcW w:w="3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Restricted stock units taxes paid in cash</w:t>
            </w:r>
          </w:p>
        </w:tc>
        <w:tc>
          <w:tcPr>
            <w:tcW w:w="11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7"/>
                <w:szCs w:val="17"/>
                <w:color w:val="auto"/>
              </w:rPr>
              <w:t>(27 )</w:t>
            </w:r>
          </w:p>
        </w:tc>
        <w:tc>
          <w:tcPr>
            <w:tcW w:w="120" w:type="dxa"/>
            <w:vAlign w:val="bottom"/>
            <w:shd w:val="clear" w:color="auto" w:fill="CFF0FC"/>
          </w:tcPr>
          <w:p>
            <w:pPr>
              <w:spacing w:after="0"/>
              <w:rPr>
                <w:sz w:val="20"/>
                <w:szCs w:val="20"/>
                <w:color w:val="auto"/>
              </w:rPr>
            </w:pPr>
          </w:p>
        </w:tc>
        <w:tc>
          <w:tcPr>
            <w:tcW w:w="5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7"/>
                <w:szCs w:val="17"/>
                <w:color w:val="auto"/>
              </w:rPr>
              <w:t>(11,526 )</w:t>
            </w:r>
          </w:p>
        </w:tc>
        <w:tc>
          <w:tcPr>
            <w:tcW w:w="100" w:type="dxa"/>
            <w:vAlign w:val="bottom"/>
            <w:shd w:val="clear" w:color="auto" w:fill="CFF0FC"/>
          </w:tcPr>
          <w:p>
            <w:pPr>
              <w:spacing w:after="0"/>
              <w:rPr>
                <w:sz w:val="20"/>
                <w:szCs w:val="20"/>
                <w:color w:val="auto"/>
              </w:rPr>
            </w:pPr>
          </w:p>
        </w:tc>
        <w:tc>
          <w:tcPr>
            <w:tcW w:w="12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FF0FC"/>
          </w:tcPr>
          <w:p>
            <w:pPr>
              <w:spacing w:after="0"/>
              <w:rPr>
                <w:sz w:val="20"/>
                <w:szCs w:val="20"/>
                <w:color w:val="auto"/>
              </w:rPr>
            </w:pPr>
          </w:p>
        </w:tc>
        <w:tc>
          <w:tcPr>
            <w:tcW w:w="9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7"/>
                <w:szCs w:val="17"/>
                <w:color w:val="auto"/>
              </w:rPr>
              <w:t>(11,526 )</w:t>
            </w:r>
          </w:p>
        </w:tc>
      </w:tr>
      <w:tr>
        <w:trPr>
          <w:trHeight w:val="226"/>
        </w:trPr>
        <w:tc>
          <w:tcPr>
            <w:tcW w:w="33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Stock-based compensation</w:t>
            </w: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50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284,749</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284,749</w:t>
            </w:r>
          </w:p>
        </w:tc>
        <w:tc>
          <w:tcPr>
            <w:tcW w:w="100" w:type="dxa"/>
            <w:vAlign w:val="bottom"/>
          </w:tcPr>
          <w:p>
            <w:pPr>
              <w:spacing w:after="0"/>
              <w:rPr>
                <w:sz w:val="19"/>
                <w:szCs w:val="19"/>
                <w:color w:val="auto"/>
              </w:rPr>
            </w:pPr>
          </w:p>
        </w:tc>
      </w:tr>
      <w:tr>
        <w:trPr>
          <w:trHeight w:val="233"/>
        </w:trPr>
        <w:tc>
          <w:tcPr>
            <w:tcW w:w="3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Conversion of the 2025 Notes</w:t>
            </w:r>
          </w:p>
        </w:tc>
        <w:tc>
          <w:tcPr>
            <w:tcW w:w="11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FF0FC"/>
          </w:tcPr>
          <w:p>
            <w:pPr>
              <w:spacing w:after="0"/>
              <w:rPr>
                <w:sz w:val="20"/>
                <w:szCs w:val="20"/>
                <w:color w:val="auto"/>
              </w:rPr>
            </w:pPr>
          </w:p>
        </w:tc>
        <w:tc>
          <w:tcPr>
            <w:tcW w:w="5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7"/>
                <w:szCs w:val="17"/>
                <w:color w:val="auto"/>
              </w:rPr>
              <w:t>(691 )</w:t>
            </w:r>
          </w:p>
        </w:tc>
        <w:tc>
          <w:tcPr>
            <w:tcW w:w="100" w:type="dxa"/>
            <w:vAlign w:val="bottom"/>
            <w:shd w:val="clear" w:color="auto" w:fill="CFF0FC"/>
          </w:tcPr>
          <w:p>
            <w:pPr>
              <w:spacing w:after="0"/>
              <w:rPr>
                <w:sz w:val="20"/>
                <w:szCs w:val="20"/>
                <w:color w:val="auto"/>
              </w:rPr>
            </w:pPr>
          </w:p>
        </w:tc>
        <w:tc>
          <w:tcPr>
            <w:tcW w:w="12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FF0FC"/>
          </w:tcPr>
          <w:p>
            <w:pPr>
              <w:spacing w:after="0"/>
              <w:rPr>
                <w:sz w:val="20"/>
                <w:szCs w:val="20"/>
                <w:color w:val="auto"/>
              </w:rPr>
            </w:pPr>
          </w:p>
        </w:tc>
        <w:tc>
          <w:tcPr>
            <w:tcW w:w="9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7"/>
                <w:szCs w:val="17"/>
                <w:color w:val="auto"/>
              </w:rPr>
              <w:t>(691 )</w:t>
            </w:r>
          </w:p>
        </w:tc>
      </w:tr>
      <w:tr>
        <w:trPr>
          <w:trHeight w:val="226"/>
        </w:trPr>
        <w:tc>
          <w:tcPr>
            <w:tcW w:w="33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Conversion of the 2022 Notes</w:t>
            </w: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50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(60,422 )</w:t>
            </w:r>
          </w:p>
        </w:tc>
        <w:tc>
          <w:tcPr>
            <w:tcW w:w="100" w:type="dxa"/>
            <w:vAlign w:val="bottom"/>
          </w:tcPr>
          <w:p>
            <w:pPr>
              <w:spacing w:after="0"/>
              <w:rPr>
                <w:sz w:val="19"/>
                <w:szCs w:val="19"/>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(60,422 )</w:t>
            </w:r>
          </w:p>
        </w:tc>
      </w:tr>
      <w:tr>
        <w:trPr>
          <w:trHeight w:val="233"/>
        </w:trPr>
        <w:tc>
          <w:tcPr>
            <w:tcW w:w="3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Settlement of Convertible Note Hedges</w:t>
            </w:r>
          </w:p>
        </w:tc>
        <w:tc>
          <w:tcPr>
            <w:tcW w:w="11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FF0FC"/>
          </w:tcPr>
          <w:p>
            <w:pPr>
              <w:spacing w:after="0"/>
              <w:rPr>
                <w:sz w:val="20"/>
                <w:szCs w:val="20"/>
                <w:color w:val="auto"/>
              </w:rPr>
            </w:pPr>
          </w:p>
        </w:tc>
        <w:tc>
          <w:tcPr>
            <w:tcW w:w="5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60,483</w:t>
            </w:r>
          </w:p>
        </w:tc>
        <w:tc>
          <w:tcPr>
            <w:tcW w:w="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FF0FC"/>
          </w:tcPr>
          <w:p>
            <w:pPr>
              <w:spacing w:after="0"/>
              <w:rPr>
                <w:sz w:val="20"/>
                <w:szCs w:val="20"/>
                <w:color w:val="auto"/>
              </w:rPr>
            </w:pPr>
          </w:p>
        </w:tc>
        <w:tc>
          <w:tcPr>
            <w:tcW w:w="9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FF0FC"/>
          </w:tcPr>
          <w:p>
            <w:pPr>
              <w:spacing w:after="0"/>
              <w:rPr>
                <w:sz w:val="20"/>
                <w:szCs w:val="20"/>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60,483</w:t>
            </w:r>
          </w:p>
        </w:tc>
        <w:tc>
          <w:tcPr>
            <w:tcW w:w="100" w:type="dxa"/>
            <w:vAlign w:val="bottom"/>
            <w:shd w:val="clear" w:color="auto" w:fill="CFF0FC"/>
          </w:tcPr>
          <w:p>
            <w:pPr>
              <w:spacing w:after="0"/>
              <w:rPr>
                <w:sz w:val="20"/>
                <w:szCs w:val="20"/>
                <w:color w:val="auto"/>
              </w:rPr>
            </w:pPr>
          </w:p>
        </w:tc>
      </w:tr>
      <w:tr>
        <w:trPr>
          <w:trHeight w:val="194"/>
        </w:trPr>
        <w:tc>
          <w:tcPr>
            <w:tcW w:w="3320" w:type="dxa"/>
            <w:vAlign w:val="bottom"/>
          </w:tcPr>
          <w:p>
            <w:pPr>
              <w:ind w:left="20"/>
              <w:spacing w:after="0" w:line="194" w:lineRule="exact"/>
              <w:rPr>
                <w:sz w:val="20"/>
                <w:szCs w:val="20"/>
                <w:color w:val="auto"/>
              </w:rPr>
            </w:pPr>
            <w:r>
              <w:rPr>
                <w:rFonts w:ascii="Times New Roman" w:cs="Times New Roman" w:eastAsia="Times New Roman" w:hAnsi="Times New Roman"/>
                <w:sz w:val="17"/>
                <w:szCs w:val="17"/>
                <w:color w:val="auto"/>
              </w:rPr>
              <w:t>Cumulative adjustment from adoption</w:t>
            </w: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0"/>
        </w:trPr>
        <w:tc>
          <w:tcPr>
            <w:tcW w:w="332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of convertible debt standard</w:t>
            </w: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20"/>
                <w:szCs w:val="20"/>
                <w:color w:val="auto"/>
              </w:rPr>
            </w:pPr>
          </w:p>
        </w:tc>
        <w:tc>
          <w:tcPr>
            <w:tcW w:w="50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(101,167 )</w:t>
            </w:r>
          </w:p>
        </w:tc>
        <w:tc>
          <w:tcPr>
            <w:tcW w:w="100" w:type="dxa"/>
            <w:vAlign w:val="bottom"/>
          </w:tcPr>
          <w:p>
            <w:pPr>
              <w:spacing w:after="0"/>
              <w:rPr>
                <w:sz w:val="20"/>
                <w:szCs w:val="20"/>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31,366</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(69,801 )</w:t>
            </w:r>
          </w:p>
        </w:tc>
      </w:tr>
      <w:tr>
        <w:trPr>
          <w:trHeight w:val="237"/>
        </w:trPr>
        <w:tc>
          <w:tcPr>
            <w:tcW w:w="3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Settlement of Warrants</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802</w:t>
            </w:r>
          </w:p>
        </w:tc>
        <w:tc>
          <w:tcPr>
            <w:tcW w:w="2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240" w:type="dxa"/>
            <w:vAlign w:val="bottom"/>
            <w:shd w:val="clear" w:color="auto" w:fill="CFF0FC"/>
          </w:tcPr>
          <w:p>
            <w:pPr>
              <w:spacing w:after="0"/>
              <w:rPr>
                <w:sz w:val="20"/>
                <w:szCs w:val="20"/>
                <w:color w:val="auto"/>
              </w:rPr>
            </w:pPr>
          </w:p>
        </w:tc>
        <w:tc>
          <w:tcPr>
            <w:tcW w:w="8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FF0FC"/>
          </w:tcPr>
          <w:p>
            <w:pPr>
              <w:spacing w:after="0"/>
              <w:rPr>
                <w:sz w:val="20"/>
                <w:szCs w:val="20"/>
                <w:color w:val="auto"/>
              </w:rPr>
            </w:pPr>
          </w:p>
        </w:tc>
        <w:tc>
          <w:tcPr>
            <w:tcW w:w="12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FF0FC"/>
          </w:tcPr>
          <w:p>
            <w:pPr>
              <w:spacing w:after="0"/>
              <w:rPr>
                <w:sz w:val="20"/>
                <w:szCs w:val="20"/>
                <w:color w:val="auto"/>
              </w:rPr>
            </w:pPr>
          </w:p>
        </w:tc>
        <w:tc>
          <w:tcPr>
            <w:tcW w:w="9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FF0FC"/>
          </w:tcPr>
          <w:p>
            <w:pPr>
              <w:spacing w:after="0"/>
              <w:rPr>
                <w:sz w:val="20"/>
                <w:szCs w:val="20"/>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shd w:val="clear" w:color="auto" w:fill="CFF0FC"/>
          </w:tcPr>
          <w:p>
            <w:pPr>
              <w:spacing w:after="0"/>
              <w:rPr>
                <w:sz w:val="20"/>
                <w:szCs w:val="20"/>
                <w:color w:val="auto"/>
              </w:rPr>
            </w:pPr>
          </w:p>
        </w:tc>
      </w:tr>
      <w:tr>
        <w:trPr>
          <w:trHeight w:val="226"/>
        </w:trPr>
        <w:tc>
          <w:tcPr>
            <w:tcW w:w="33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Cumulative translation adjustment</w:t>
            </w: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50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(2,538 )</w:t>
            </w:r>
          </w:p>
        </w:tc>
        <w:tc>
          <w:tcPr>
            <w:tcW w:w="180" w:type="dxa"/>
            <w:vAlign w:val="bottom"/>
          </w:tcPr>
          <w:p>
            <w:pPr>
              <w:spacing w:after="0"/>
              <w:rPr>
                <w:sz w:val="19"/>
                <w:szCs w:val="19"/>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(2,538 )</w:t>
            </w:r>
          </w:p>
        </w:tc>
      </w:tr>
      <w:tr>
        <w:trPr>
          <w:trHeight w:val="198"/>
        </w:trPr>
        <w:tc>
          <w:tcPr>
            <w:tcW w:w="3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Unrealized loss on investments, net of</w:t>
            </w:r>
          </w:p>
        </w:tc>
        <w:tc>
          <w:tcPr>
            <w:tcW w:w="9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38"/>
        </w:trPr>
        <w:tc>
          <w:tcPr>
            <w:tcW w:w="33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7"/>
                <w:szCs w:val="17"/>
                <w:color w:val="auto"/>
              </w:rPr>
              <w:t>income taxes of $0</w:t>
            </w:r>
          </w:p>
        </w:tc>
        <w:tc>
          <w:tcPr>
            <w:tcW w:w="11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FF0FC"/>
          </w:tcPr>
          <w:p>
            <w:pPr>
              <w:spacing w:after="0"/>
              <w:rPr>
                <w:sz w:val="20"/>
                <w:szCs w:val="20"/>
                <w:color w:val="auto"/>
              </w:rPr>
            </w:pPr>
          </w:p>
        </w:tc>
        <w:tc>
          <w:tcPr>
            <w:tcW w:w="5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FF0FC"/>
          </w:tcPr>
          <w:p>
            <w:pPr>
              <w:spacing w:after="0"/>
              <w:rPr>
                <w:sz w:val="20"/>
                <w:szCs w:val="20"/>
                <w:color w:val="auto"/>
              </w:rPr>
            </w:pPr>
          </w:p>
        </w:tc>
        <w:tc>
          <w:tcPr>
            <w:tcW w:w="12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7"/>
                <w:szCs w:val="17"/>
                <w:color w:val="auto"/>
              </w:rPr>
              <w:t>(9,013 )</w:t>
            </w:r>
          </w:p>
        </w:tc>
        <w:tc>
          <w:tcPr>
            <w:tcW w:w="180" w:type="dxa"/>
            <w:vAlign w:val="bottom"/>
            <w:shd w:val="clear" w:color="auto" w:fill="CFF0FC"/>
          </w:tcPr>
          <w:p>
            <w:pPr>
              <w:spacing w:after="0"/>
              <w:rPr>
                <w:sz w:val="20"/>
                <w:szCs w:val="20"/>
                <w:color w:val="auto"/>
              </w:rPr>
            </w:pPr>
          </w:p>
        </w:tc>
        <w:tc>
          <w:tcPr>
            <w:tcW w:w="9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7"/>
                <w:szCs w:val="17"/>
                <w:color w:val="auto"/>
              </w:rPr>
              <w:t>(9,013 )</w:t>
            </w:r>
          </w:p>
        </w:tc>
      </w:tr>
      <w:tr>
        <w:trPr>
          <w:trHeight w:val="228"/>
        </w:trPr>
        <w:tc>
          <w:tcPr>
            <w:tcW w:w="33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loss</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(112,749 )</w:t>
            </w:r>
          </w:p>
        </w:tc>
        <w:tc>
          <w:tcPr>
            <w:tcW w:w="20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(112,749 )</w:t>
            </w:r>
          </w:p>
        </w:tc>
      </w:tr>
      <w:tr>
        <w:trPr>
          <w:trHeight w:val="20"/>
        </w:trPr>
        <w:tc>
          <w:tcPr>
            <w:tcW w:w="33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4"/>
        </w:trPr>
        <w:tc>
          <w:tcPr>
            <w:tcW w:w="3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Balances at December 31, 2022</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49,217</w:t>
            </w:r>
          </w:p>
        </w:tc>
        <w:tc>
          <w:tcPr>
            <w:tcW w:w="240" w:type="dxa"/>
            <w:vAlign w:val="bottom"/>
            <w:shd w:val="clear" w:color="auto" w:fill="CFF0FC"/>
          </w:tcPr>
          <w:p>
            <w:pPr>
              <w:spacing w:after="0"/>
              <w:rPr>
                <w:sz w:val="22"/>
                <w:szCs w:val="22"/>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49</w:t>
            </w:r>
          </w:p>
        </w:tc>
        <w:tc>
          <w:tcPr>
            <w:tcW w:w="240" w:type="dxa"/>
            <w:vAlign w:val="bottom"/>
            <w:shd w:val="clear" w:color="auto" w:fill="CFF0FC"/>
          </w:tcPr>
          <w:p>
            <w:pPr>
              <w:spacing w:after="0"/>
              <w:rPr>
                <w:sz w:val="22"/>
                <w:szCs w:val="22"/>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910</w:t>
            </w:r>
          </w:p>
        </w:tc>
        <w:tc>
          <w:tcPr>
            <w:tcW w:w="220" w:type="dxa"/>
            <w:vAlign w:val="bottom"/>
            <w:shd w:val="clear" w:color="auto" w:fill="CFF0FC"/>
          </w:tcPr>
          <w:p>
            <w:pPr>
              <w:spacing w:after="0"/>
              <w:rPr>
                <w:sz w:val="22"/>
                <w:szCs w:val="22"/>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220" w:type="dxa"/>
            <w:vAlign w:val="bottom"/>
            <w:shd w:val="clear" w:color="auto" w:fill="CFF0FC"/>
          </w:tcPr>
          <w:p>
            <w:pPr>
              <w:spacing w:after="0"/>
              <w:rPr>
                <w:sz w:val="22"/>
                <w:szCs w:val="22"/>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1,647,446</w:t>
            </w:r>
          </w:p>
        </w:tc>
        <w:tc>
          <w:tcPr>
            <w:tcW w:w="220" w:type="dxa"/>
            <w:vAlign w:val="bottom"/>
            <w:shd w:val="clear" w:color="auto" w:fill="CFF0FC"/>
          </w:tcPr>
          <w:p>
            <w:pPr>
              <w:spacing w:after="0"/>
              <w:rPr>
                <w:sz w:val="22"/>
                <w:szCs w:val="22"/>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7"/>
                <w:szCs w:val="17"/>
                <w:color w:val="auto"/>
              </w:rPr>
              <w:t>(12,890 )</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7"/>
                <w:szCs w:val="17"/>
                <w:color w:val="auto"/>
              </w:rPr>
              <w:t>(642,381 )</w:t>
            </w:r>
          </w:p>
        </w:tc>
        <w:tc>
          <w:tcPr>
            <w:tcW w:w="20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992,224</w:t>
            </w:r>
          </w:p>
        </w:tc>
        <w:tc>
          <w:tcPr>
            <w:tcW w:w="100" w:type="dxa"/>
            <w:vAlign w:val="bottom"/>
            <w:shd w:val="clear" w:color="auto" w:fill="CFF0FC"/>
          </w:tcPr>
          <w:p>
            <w:pPr>
              <w:spacing w:after="0"/>
              <w:rPr>
                <w:sz w:val="22"/>
                <w:szCs w:val="22"/>
                <w:color w:val="auto"/>
              </w:rPr>
            </w:pPr>
          </w:p>
        </w:tc>
      </w:tr>
      <w:tr>
        <w:trPr>
          <w:trHeight w:val="175"/>
        </w:trPr>
        <w:tc>
          <w:tcPr>
            <w:tcW w:w="3320" w:type="dxa"/>
            <w:vAlign w:val="bottom"/>
            <w:tcBorders>
              <w:top w:val="single" w:sz="8" w:color="CFF0FC"/>
            </w:tcBorders>
          </w:tcPr>
          <w:p>
            <w:pPr>
              <w:ind w:left="20"/>
              <w:spacing w:after="0" w:line="175" w:lineRule="exact"/>
              <w:rPr>
                <w:sz w:val="20"/>
                <w:szCs w:val="20"/>
                <w:color w:val="auto"/>
              </w:rPr>
            </w:pPr>
            <w:r>
              <w:rPr>
                <w:rFonts w:ascii="Times New Roman" w:cs="Times New Roman" w:eastAsia="Times New Roman" w:hAnsi="Times New Roman"/>
                <w:sz w:val="17"/>
                <w:szCs w:val="17"/>
                <w:color w:val="auto"/>
              </w:rPr>
              <w:t>Issuance of common stock under</w:t>
            </w:r>
          </w:p>
        </w:tc>
        <w:tc>
          <w:tcPr>
            <w:tcW w:w="920" w:type="dxa"/>
            <w:vAlign w:val="bottom"/>
            <w:tcBorders>
              <w:top w:val="single" w:sz="8" w:color="auto"/>
            </w:tcBorders>
          </w:tcPr>
          <w:p>
            <w:pPr>
              <w:spacing w:after="0"/>
              <w:rPr>
                <w:sz w:val="15"/>
                <w:szCs w:val="15"/>
                <w:color w:val="auto"/>
              </w:rPr>
            </w:pPr>
          </w:p>
        </w:tc>
        <w:tc>
          <w:tcPr>
            <w:tcW w:w="240" w:type="dxa"/>
            <w:vAlign w:val="bottom"/>
            <w:tcBorders>
              <w:top w:val="single" w:sz="8" w:color="CFF0FC"/>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240" w:type="dxa"/>
            <w:vAlign w:val="bottom"/>
            <w:tcBorders>
              <w:top w:val="single" w:sz="8" w:color="CFF0FC"/>
            </w:tcBorders>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220" w:type="dxa"/>
            <w:vAlign w:val="bottom"/>
            <w:tcBorders>
              <w:top w:val="single" w:sz="8" w:color="CFF0FC"/>
            </w:tcBorders>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220" w:type="dxa"/>
            <w:vAlign w:val="bottom"/>
            <w:tcBorders>
              <w:top w:val="single" w:sz="8" w:color="CFF0FC"/>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220" w:type="dxa"/>
            <w:vAlign w:val="bottom"/>
            <w:tcBorders>
              <w:top w:val="single" w:sz="8" w:color="CFF0FC"/>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220" w:type="dxa"/>
            <w:vAlign w:val="bottom"/>
            <w:tcBorders>
              <w:top w:val="single" w:sz="8" w:color="CFF0FC"/>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200" w:type="dxa"/>
            <w:vAlign w:val="bottom"/>
            <w:tcBorders>
              <w:top w:val="single" w:sz="8" w:color="CFF0FC"/>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r>
      <w:tr>
        <w:trPr>
          <w:trHeight w:val="230"/>
        </w:trPr>
        <w:tc>
          <w:tcPr>
            <w:tcW w:w="332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stock plans</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1,255</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240" w:type="dxa"/>
            <w:vAlign w:val="bottom"/>
          </w:tcPr>
          <w:p>
            <w:pPr>
              <w:spacing w:after="0"/>
              <w:rPr>
                <w:sz w:val="20"/>
                <w:szCs w:val="20"/>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46,120</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46,121</w:t>
            </w:r>
          </w:p>
        </w:tc>
        <w:tc>
          <w:tcPr>
            <w:tcW w:w="100" w:type="dxa"/>
            <w:vAlign w:val="bottom"/>
          </w:tcPr>
          <w:p>
            <w:pPr>
              <w:spacing w:after="0"/>
              <w:rPr>
                <w:sz w:val="20"/>
                <w:szCs w:val="20"/>
                <w:color w:val="auto"/>
              </w:rPr>
            </w:pPr>
          </w:p>
        </w:tc>
      </w:tr>
      <w:tr>
        <w:trPr>
          <w:trHeight w:val="237"/>
        </w:trPr>
        <w:tc>
          <w:tcPr>
            <w:tcW w:w="3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Restricted stock units taxes paid in cash</w:t>
            </w:r>
          </w:p>
        </w:tc>
        <w:tc>
          <w:tcPr>
            <w:tcW w:w="11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7"/>
                <w:szCs w:val="17"/>
                <w:color w:val="auto"/>
              </w:rPr>
              <w:t>(24 )</w:t>
            </w:r>
          </w:p>
        </w:tc>
        <w:tc>
          <w:tcPr>
            <w:tcW w:w="120" w:type="dxa"/>
            <w:vAlign w:val="bottom"/>
            <w:shd w:val="clear" w:color="auto" w:fill="CFF0FC"/>
          </w:tcPr>
          <w:p>
            <w:pPr>
              <w:spacing w:after="0"/>
              <w:rPr>
                <w:sz w:val="20"/>
                <w:szCs w:val="20"/>
                <w:color w:val="auto"/>
              </w:rPr>
            </w:pPr>
          </w:p>
        </w:tc>
        <w:tc>
          <w:tcPr>
            <w:tcW w:w="5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7"/>
                <w:szCs w:val="17"/>
                <w:color w:val="auto"/>
              </w:rPr>
              <w:t>(10,756 )</w:t>
            </w:r>
          </w:p>
        </w:tc>
        <w:tc>
          <w:tcPr>
            <w:tcW w:w="100" w:type="dxa"/>
            <w:vAlign w:val="bottom"/>
            <w:shd w:val="clear" w:color="auto" w:fill="CFF0FC"/>
          </w:tcPr>
          <w:p>
            <w:pPr>
              <w:spacing w:after="0"/>
              <w:rPr>
                <w:sz w:val="20"/>
                <w:szCs w:val="20"/>
                <w:color w:val="auto"/>
              </w:rPr>
            </w:pPr>
          </w:p>
        </w:tc>
        <w:tc>
          <w:tcPr>
            <w:tcW w:w="12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FF0FC"/>
          </w:tcPr>
          <w:p>
            <w:pPr>
              <w:spacing w:after="0"/>
              <w:rPr>
                <w:sz w:val="20"/>
                <w:szCs w:val="20"/>
                <w:color w:val="auto"/>
              </w:rPr>
            </w:pPr>
          </w:p>
        </w:tc>
        <w:tc>
          <w:tcPr>
            <w:tcW w:w="9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7"/>
                <w:szCs w:val="17"/>
                <w:color w:val="auto"/>
              </w:rPr>
              <w:t>(10,756 )</w:t>
            </w:r>
          </w:p>
        </w:tc>
      </w:tr>
      <w:tr>
        <w:trPr>
          <w:trHeight w:val="226"/>
        </w:trPr>
        <w:tc>
          <w:tcPr>
            <w:tcW w:w="33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Stock-based compensation</w:t>
            </w: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50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454,098</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454,098</w:t>
            </w:r>
          </w:p>
        </w:tc>
        <w:tc>
          <w:tcPr>
            <w:tcW w:w="100" w:type="dxa"/>
            <w:vAlign w:val="bottom"/>
          </w:tcPr>
          <w:p>
            <w:pPr>
              <w:spacing w:after="0"/>
              <w:rPr>
                <w:sz w:val="19"/>
                <w:szCs w:val="19"/>
                <w:color w:val="auto"/>
              </w:rPr>
            </w:pPr>
          </w:p>
        </w:tc>
      </w:tr>
      <w:tr>
        <w:trPr>
          <w:trHeight w:val="233"/>
        </w:trPr>
        <w:tc>
          <w:tcPr>
            <w:tcW w:w="3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Cumulative translation adjustment</w:t>
            </w:r>
          </w:p>
        </w:tc>
        <w:tc>
          <w:tcPr>
            <w:tcW w:w="11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FF0FC"/>
          </w:tcPr>
          <w:p>
            <w:pPr>
              <w:spacing w:after="0"/>
              <w:rPr>
                <w:sz w:val="20"/>
                <w:szCs w:val="20"/>
                <w:color w:val="auto"/>
              </w:rPr>
            </w:pPr>
          </w:p>
        </w:tc>
        <w:tc>
          <w:tcPr>
            <w:tcW w:w="5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4,020</w:t>
            </w:r>
          </w:p>
        </w:tc>
        <w:tc>
          <w:tcPr>
            <w:tcW w:w="2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FF0FC"/>
          </w:tcPr>
          <w:p>
            <w:pPr>
              <w:spacing w:after="0"/>
              <w:rPr>
                <w:sz w:val="20"/>
                <w:szCs w:val="20"/>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4,020</w:t>
            </w:r>
          </w:p>
        </w:tc>
        <w:tc>
          <w:tcPr>
            <w:tcW w:w="100" w:type="dxa"/>
            <w:vAlign w:val="bottom"/>
            <w:shd w:val="clear" w:color="auto" w:fill="CFF0FC"/>
          </w:tcPr>
          <w:p>
            <w:pPr>
              <w:spacing w:after="0"/>
              <w:rPr>
                <w:sz w:val="20"/>
                <w:szCs w:val="20"/>
                <w:color w:val="auto"/>
              </w:rPr>
            </w:pPr>
          </w:p>
        </w:tc>
      </w:tr>
      <w:tr>
        <w:trPr>
          <w:trHeight w:val="194"/>
        </w:trPr>
        <w:tc>
          <w:tcPr>
            <w:tcW w:w="3320" w:type="dxa"/>
            <w:vAlign w:val="bottom"/>
          </w:tcPr>
          <w:p>
            <w:pPr>
              <w:ind w:left="20"/>
              <w:spacing w:after="0" w:line="194" w:lineRule="exact"/>
              <w:rPr>
                <w:sz w:val="20"/>
                <w:szCs w:val="20"/>
                <w:color w:val="auto"/>
              </w:rPr>
            </w:pPr>
            <w:r>
              <w:rPr>
                <w:rFonts w:ascii="Times New Roman" w:cs="Times New Roman" w:eastAsia="Times New Roman" w:hAnsi="Times New Roman"/>
                <w:sz w:val="17"/>
                <w:szCs w:val="17"/>
                <w:color w:val="auto"/>
              </w:rPr>
              <w:t>Unrealized gain on investments, net of</w:t>
            </w: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0"/>
        </w:trPr>
        <w:tc>
          <w:tcPr>
            <w:tcW w:w="332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income taxes of $0</w:t>
            </w: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20"/>
                <w:szCs w:val="20"/>
                <w:color w:val="auto"/>
              </w:rPr>
            </w:pPr>
          </w:p>
        </w:tc>
        <w:tc>
          <w:tcPr>
            <w:tcW w:w="50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10,697</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10,697</w:t>
            </w:r>
          </w:p>
        </w:tc>
        <w:tc>
          <w:tcPr>
            <w:tcW w:w="100" w:type="dxa"/>
            <w:vAlign w:val="bottom"/>
          </w:tcPr>
          <w:p>
            <w:pPr>
              <w:spacing w:after="0"/>
              <w:rPr>
                <w:sz w:val="20"/>
                <w:szCs w:val="20"/>
                <w:color w:val="auto"/>
              </w:rPr>
            </w:pPr>
          </w:p>
        </w:tc>
      </w:tr>
      <w:tr>
        <w:trPr>
          <w:trHeight w:val="236"/>
        </w:trPr>
        <w:tc>
          <w:tcPr>
            <w:tcW w:w="3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Net loss</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FF0FC"/>
          </w:tcPr>
          <w:p>
            <w:pPr>
              <w:spacing w:after="0"/>
              <w:rPr>
                <w:sz w:val="20"/>
                <w:szCs w:val="20"/>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FF0FC"/>
          </w:tcPr>
          <w:p>
            <w:pPr>
              <w:spacing w:after="0"/>
              <w:rPr>
                <w:sz w:val="20"/>
                <w:szCs w:val="20"/>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7"/>
                <w:szCs w:val="17"/>
                <w:color w:val="auto"/>
              </w:rPr>
              <w:t>(176,295 )</w:t>
            </w:r>
          </w:p>
        </w:tc>
        <w:tc>
          <w:tcPr>
            <w:tcW w:w="20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7"/>
                <w:szCs w:val="17"/>
                <w:color w:val="auto"/>
              </w:rPr>
              <w:t>(176,295 )</w:t>
            </w:r>
          </w:p>
        </w:tc>
      </w:tr>
      <w:tr>
        <w:trPr>
          <w:trHeight w:val="20"/>
        </w:trPr>
        <w:tc>
          <w:tcPr>
            <w:tcW w:w="3320" w:type="dxa"/>
            <w:vAlign w:val="bottom"/>
            <w:shd w:val="clear" w:color="auto" w:fill="CFF0FC"/>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24"/>
        </w:trPr>
        <w:tc>
          <w:tcPr>
            <w:tcW w:w="33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Balances at December 31, 2023</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50,448</w:t>
            </w:r>
          </w:p>
        </w:tc>
        <w:tc>
          <w:tcPr>
            <w:tcW w:w="2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w:t>
            </w:r>
          </w:p>
        </w:tc>
        <w:tc>
          <w:tcPr>
            <w:tcW w:w="2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910</w:t>
            </w:r>
          </w:p>
        </w:tc>
        <w:tc>
          <w:tcPr>
            <w:tcW w:w="22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2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2,136,908</w:t>
            </w:r>
          </w:p>
        </w:tc>
        <w:tc>
          <w:tcPr>
            <w:tcW w:w="2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1,827</w:t>
            </w:r>
          </w:p>
        </w:tc>
        <w:tc>
          <w:tcPr>
            <w:tcW w:w="2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(818,676 )</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1,320,109</w:t>
            </w:r>
          </w:p>
        </w:tc>
        <w:tc>
          <w:tcPr>
            <w:tcW w:w="100" w:type="dxa"/>
            <w:vAlign w:val="bottom"/>
          </w:tcPr>
          <w:p>
            <w:pPr>
              <w:spacing w:after="0"/>
              <w:rPr>
                <w:sz w:val="19"/>
                <w:szCs w:val="19"/>
                <w:color w:val="auto"/>
              </w:rPr>
            </w:pPr>
          </w:p>
        </w:tc>
      </w:tr>
      <w:tr>
        <w:trPr>
          <w:trHeight w:val="20"/>
        </w:trPr>
        <w:tc>
          <w:tcPr>
            <w:tcW w:w="33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2687955</wp:posOffset>
            </wp:positionH>
            <wp:positionV relativeFrom="paragraph">
              <wp:posOffset>-3505200</wp:posOffset>
            </wp:positionV>
            <wp:extent cx="76835"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2687955</wp:posOffset>
            </wp:positionH>
            <wp:positionV relativeFrom="paragraph">
              <wp:posOffset>-3488055</wp:posOffset>
            </wp:positionV>
            <wp:extent cx="76835"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3082290</wp:posOffset>
            </wp:positionH>
            <wp:positionV relativeFrom="paragraph">
              <wp:posOffset>-3505200</wp:posOffset>
            </wp:positionV>
            <wp:extent cx="76835"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3082290</wp:posOffset>
            </wp:positionH>
            <wp:positionV relativeFrom="paragraph">
              <wp:posOffset>-3488055</wp:posOffset>
            </wp:positionV>
            <wp:extent cx="76835"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3622675</wp:posOffset>
            </wp:positionH>
            <wp:positionV relativeFrom="paragraph">
              <wp:posOffset>-3505200</wp:posOffset>
            </wp:positionV>
            <wp:extent cx="6858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3622675</wp:posOffset>
            </wp:positionH>
            <wp:positionV relativeFrom="paragraph">
              <wp:posOffset>-3488055</wp:posOffset>
            </wp:positionV>
            <wp:extent cx="6858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-3505200</wp:posOffset>
            </wp:positionV>
            <wp:extent cx="6858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-3488055</wp:posOffset>
            </wp:positionV>
            <wp:extent cx="6858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-3505200</wp:posOffset>
            </wp:positionV>
            <wp:extent cx="6858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-3488055</wp:posOffset>
            </wp:positionV>
            <wp:extent cx="6858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-3505200</wp:posOffset>
            </wp:positionV>
            <wp:extent cx="6858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-3488055</wp:posOffset>
            </wp:positionV>
            <wp:extent cx="6858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6305550</wp:posOffset>
            </wp:positionH>
            <wp:positionV relativeFrom="paragraph">
              <wp:posOffset>-3505200</wp:posOffset>
            </wp:positionV>
            <wp:extent cx="6858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6305550</wp:posOffset>
            </wp:positionH>
            <wp:positionV relativeFrom="paragraph">
              <wp:posOffset>-3488055</wp:posOffset>
            </wp:positionV>
            <wp:extent cx="6858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-3505200</wp:posOffset>
            </wp:positionV>
            <wp:extent cx="6858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-3488055</wp:posOffset>
            </wp:positionV>
            <wp:extent cx="6858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2687955</wp:posOffset>
            </wp:positionH>
            <wp:positionV relativeFrom="paragraph">
              <wp:posOffset>-1336675</wp:posOffset>
            </wp:positionV>
            <wp:extent cx="76835"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2687955</wp:posOffset>
            </wp:positionH>
            <wp:positionV relativeFrom="paragraph">
              <wp:posOffset>-1319530</wp:posOffset>
            </wp:positionV>
            <wp:extent cx="76835"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3082290</wp:posOffset>
            </wp:positionH>
            <wp:positionV relativeFrom="paragraph">
              <wp:posOffset>-1336675</wp:posOffset>
            </wp:positionV>
            <wp:extent cx="76835"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3082290</wp:posOffset>
            </wp:positionH>
            <wp:positionV relativeFrom="paragraph">
              <wp:posOffset>-1319530</wp:posOffset>
            </wp:positionV>
            <wp:extent cx="76835"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3622675</wp:posOffset>
            </wp:positionH>
            <wp:positionV relativeFrom="paragraph">
              <wp:posOffset>-1336675</wp:posOffset>
            </wp:positionV>
            <wp:extent cx="6858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3622675</wp:posOffset>
            </wp:positionH>
            <wp:positionV relativeFrom="paragraph">
              <wp:posOffset>-1319530</wp:posOffset>
            </wp:positionV>
            <wp:extent cx="6858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-1336675</wp:posOffset>
            </wp:positionV>
            <wp:extent cx="6858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-1319530</wp:posOffset>
            </wp:positionV>
            <wp:extent cx="6858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-1336675</wp:posOffset>
            </wp:positionV>
            <wp:extent cx="6858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-1319530</wp:posOffset>
            </wp:positionV>
            <wp:extent cx="6858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-1336675</wp:posOffset>
            </wp:positionV>
            <wp:extent cx="6858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-1319530</wp:posOffset>
            </wp:positionV>
            <wp:extent cx="6858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6305550</wp:posOffset>
            </wp:positionH>
            <wp:positionV relativeFrom="paragraph">
              <wp:posOffset>-1336675</wp:posOffset>
            </wp:positionV>
            <wp:extent cx="6858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6305550</wp:posOffset>
            </wp:positionH>
            <wp:positionV relativeFrom="paragraph">
              <wp:posOffset>-1319530</wp:posOffset>
            </wp:positionV>
            <wp:extent cx="6858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-1336675</wp:posOffset>
            </wp:positionV>
            <wp:extent cx="6858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-1319530</wp:posOffset>
            </wp:positionV>
            <wp:extent cx="6858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2687955</wp:posOffset>
            </wp:positionH>
            <wp:positionV relativeFrom="paragraph">
              <wp:posOffset>-179070</wp:posOffset>
            </wp:positionV>
            <wp:extent cx="76835"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3082290</wp:posOffset>
            </wp:positionH>
            <wp:positionV relativeFrom="paragraph">
              <wp:posOffset>-179070</wp:posOffset>
            </wp:positionV>
            <wp:extent cx="76835"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3622675</wp:posOffset>
            </wp:positionH>
            <wp:positionV relativeFrom="paragraph">
              <wp:posOffset>-179070</wp:posOffset>
            </wp:positionV>
            <wp:extent cx="6858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-179070</wp:posOffset>
            </wp:positionV>
            <wp:extent cx="6858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-179070</wp:posOffset>
            </wp:positionV>
            <wp:extent cx="6858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-179070</wp:posOffset>
            </wp:positionV>
            <wp:extent cx="6858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6305550</wp:posOffset>
            </wp:positionH>
            <wp:positionV relativeFrom="paragraph">
              <wp:posOffset>-179070</wp:posOffset>
            </wp:positionV>
            <wp:extent cx="6858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-179070</wp:posOffset>
            </wp:positionV>
            <wp:extent cx="6858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72" w:name="page73"/>
    <w:bookmarkEnd w:id="72"/>
    <w:p>
      <w:pPr>
        <w:jc w:val="center"/>
        <w:spacing w:after="0"/>
        <w:rPr>
          <w:sz w:val="20"/>
          <w:szCs w:val="20"/>
          <w:color w:val="auto"/>
        </w:rPr>
      </w:pPr>
      <w:r>
        <w:rPr>
          <w:rFonts w:ascii="Times New Roman" w:cs="Times New Roman" w:eastAsia="Times New Roman" w:hAnsi="Times New Roman"/>
          <w:sz w:val="18"/>
          <w:szCs w:val="18"/>
          <w:b w:val="1"/>
          <w:bCs w:val="1"/>
          <w:color w:val="auto"/>
        </w:rPr>
        <w:t>HUBSPOT,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64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gridSpan w:val="4"/>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83"/>
        </w:trPr>
        <w:tc>
          <w:tcPr>
            <w:tcW w:w="664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64"/>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44"/>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4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5"/>
                <w:szCs w:val="15"/>
                <w:color w:val="auto"/>
              </w:rPr>
            </w:pPr>
          </w:p>
        </w:tc>
      </w:tr>
      <w:tr>
        <w:trPr>
          <w:trHeight w:val="183"/>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5"/>
                <w:szCs w:val="15"/>
                <w:b w:val="1"/>
                <w:bCs w:val="1"/>
                <w:color w:val="auto"/>
              </w:rPr>
              <w:t>Operating Activities:</w:t>
            </w:r>
          </w:p>
        </w:tc>
        <w:tc>
          <w:tcPr>
            <w:tcW w:w="32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89"/>
        </w:trPr>
        <w:tc>
          <w:tcPr>
            <w:tcW w:w="664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Net loss</w:t>
            </w:r>
          </w:p>
        </w:tc>
        <w:tc>
          <w:tcPr>
            <w:tcW w:w="320" w:type="dxa"/>
            <w:vAlign w:val="bottom"/>
          </w:tcPr>
          <w:p>
            <w:pPr>
              <w:jc w:val="right"/>
              <w:ind w:right="144"/>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(176,295 )</w:t>
            </w:r>
          </w:p>
        </w:tc>
        <w:tc>
          <w:tcPr>
            <w:tcW w:w="48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(112,749 )</w:t>
            </w:r>
          </w:p>
        </w:tc>
        <w:tc>
          <w:tcPr>
            <w:tcW w:w="320" w:type="dxa"/>
            <w:vAlign w:val="bottom"/>
          </w:tcPr>
          <w:p>
            <w:pPr>
              <w:jc w:val="right"/>
              <w:ind w:right="144"/>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(77,837 )</w:t>
            </w:r>
          </w:p>
        </w:tc>
      </w:tr>
      <w:tr>
        <w:trPr>
          <w:trHeight w:val="158"/>
        </w:trPr>
        <w:tc>
          <w:tcPr>
            <w:tcW w:w="6640" w:type="dxa"/>
            <w:vAlign w:val="bottom"/>
            <w:shd w:val="clear" w:color="auto" w:fill="CFF0FC"/>
          </w:tcPr>
          <w:p>
            <w:pPr>
              <w:ind w:left="200"/>
              <w:spacing w:after="0" w:line="159" w:lineRule="exact"/>
              <w:rPr>
                <w:sz w:val="20"/>
                <w:szCs w:val="20"/>
                <w:color w:val="auto"/>
              </w:rPr>
            </w:pPr>
            <w:r>
              <w:rPr>
                <w:rFonts w:ascii="Times New Roman" w:cs="Times New Roman" w:eastAsia="Times New Roman" w:hAnsi="Times New Roman"/>
                <w:sz w:val="15"/>
                <w:szCs w:val="15"/>
                <w:color w:val="auto"/>
              </w:rPr>
              <w:t>Adjustments to reconcile net loss to net cash and cash equivalents provided by</w:t>
            </w:r>
          </w:p>
        </w:tc>
        <w:tc>
          <w:tcPr>
            <w:tcW w:w="32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0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10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r>
      <w:tr>
        <w:trPr>
          <w:trHeight w:val="193"/>
        </w:trPr>
        <w:tc>
          <w:tcPr>
            <w:tcW w:w="664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5"/>
                <w:szCs w:val="15"/>
                <w:color w:val="auto"/>
              </w:rPr>
              <w:t>operating activities, net of acquisitions</w:t>
            </w:r>
          </w:p>
        </w:tc>
        <w:tc>
          <w:tcPr>
            <w:tcW w:w="32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189"/>
        </w:trPr>
        <w:tc>
          <w:tcPr>
            <w:tcW w:w="6640" w:type="dxa"/>
            <w:vAlign w:val="bottom"/>
          </w:tcPr>
          <w:p>
            <w:pPr>
              <w:ind w:left="380"/>
              <w:spacing w:after="0"/>
              <w:rPr>
                <w:sz w:val="20"/>
                <w:szCs w:val="20"/>
                <w:color w:val="auto"/>
              </w:rPr>
            </w:pPr>
            <w:r>
              <w:rPr>
                <w:rFonts w:ascii="Times New Roman" w:cs="Times New Roman" w:eastAsia="Times New Roman" w:hAnsi="Times New Roman"/>
                <w:sz w:val="15"/>
                <w:szCs w:val="15"/>
                <w:color w:val="auto"/>
              </w:rPr>
              <w:t>Depreciation and amortization</w:t>
            </w: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72,673</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58,150</w:t>
            </w: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45,159</w:t>
            </w:r>
          </w:p>
        </w:tc>
        <w:tc>
          <w:tcPr>
            <w:tcW w:w="100" w:type="dxa"/>
            <w:vAlign w:val="bottom"/>
          </w:tcPr>
          <w:p>
            <w:pPr>
              <w:spacing w:after="0"/>
              <w:rPr>
                <w:sz w:val="16"/>
                <w:szCs w:val="16"/>
                <w:color w:val="auto"/>
              </w:rPr>
            </w:pPr>
          </w:p>
        </w:tc>
      </w:tr>
      <w:tr>
        <w:trPr>
          <w:trHeight w:val="189"/>
        </w:trPr>
        <w:tc>
          <w:tcPr>
            <w:tcW w:w="66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5"/>
                <w:szCs w:val="15"/>
                <w:color w:val="auto"/>
              </w:rPr>
              <w:t>Stock-based compensation</w:t>
            </w:r>
          </w:p>
        </w:tc>
        <w:tc>
          <w:tcPr>
            <w:tcW w:w="320" w:type="dxa"/>
            <w:vAlign w:val="bottom"/>
            <w:shd w:val="clear" w:color="auto" w:fill="CFF0FC"/>
          </w:tcPr>
          <w:p>
            <w:pPr>
              <w:spacing w:after="0"/>
              <w:rPr>
                <w:sz w:val="16"/>
                <w:szCs w:val="16"/>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432,271</w:t>
            </w:r>
          </w:p>
        </w:tc>
        <w:tc>
          <w:tcPr>
            <w:tcW w:w="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275,849</w:t>
            </w:r>
          </w:p>
        </w:tc>
        <w:tc>
          <w:tcPr>
            <w:tcW w:w="22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166,761</w:t>
            </w:r>
          </w:p>
        </w:tc>
        <w:tc>
          <w:tcPr>
            <w:tcW w:w="100" w:type="dxa"/>
            <w:vAlign w:val="bottom"/>
            <w:shd w:val="clear" w:color="auto" w:fill="CFF0FC"/>
          </w:tcPr>
          <w:p>
            <w:pPr>
              <w:spacing w:after="0"/>
              <w:rPr>
                <w:sz w:val="16"/>
                <w:szCs w:val="16"/>
                <w:color w:val="auto"/>
              </w:rPr>
            </w:pPr>
          </w:p>
        </w:tc>
      </w:tr>
      <w:tr>
        <w:trPr>
          <w:trHeight w:val="189"/>
        </w:trPr>
        <w:tc>
          <w:tcPr>
            <w:tcW w:w="6640" w:type="dxa"/>
            <w:vAlign w:val="bottom"/>
          </w:tcPr>
          <w:p>
            <w:pPr>
              <w:ind w:left="380"/>
              <w:spacing w:after="0"/>
              <w:rPr>
                <w:sz w:val="20"/>
                <w:szCs w:val="20"/>
                <w:color w:val="auto"/>
              </w:rPr>
            </w:pPr>
            <w:r>
              <w:rPr>
                <w:rFonts w:ascii="Times New Roman" w:cs="Times New Roman" w:eastAsia="Times New Roman" w:hAnsi="Times New Roman"/>
                <w:sz w:val="15"/>
                <w:szCs w:val="15"/>
                <w:color w:val="auto"/>
              </w:rPr>
              <w:t>Restructuring charges</w:t>
            </w: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67,263</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320" w:type="dxa"/>
            <w:vAlign w:val="bottom"/>
          </w:tcPr>
          <w:p>
            <w:pPr>
              <w:spacing w:after="0"/>
              <w:rPr>
                <w:sz w:val="16"/>
                <w:szCs w:val="16"/>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r>
      <w:tr>
        <w:trPr>
          <w:trHeight w:val="189"/>
        </w:trPr>
        <w:tc>
          <w:tcPr>
            <w:tcW w:w="66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5"/>
                <w:szCs w:val="15"/>
                <w:color w:val="auto"/>
              </w:rPr>
              <w:t>Loss on early extinguishment of 2022 Convertible Notes</w:t>
            </w:r>
          </w:p>
        </w:tc>
        <w:tc>
          <w:tcPr>
            <w:tcW w:w="320" w:type="dxa"/>
            <w:vAlign w:val="bottom"/>
            <w:shd w:val="clear" w:color="auto" w:fill="CFF0FC"/>
          </w:tcPr>
          <w:p>
            <w:pPr>
              <w:spacing w:after="0"/>
              <w:rPr>
                <w:sz w:val="16"/>
                <w:szCs w:val="16"/>
                <w:color w:val="auto"/>
              </w:rPr>
            </w:pPr>
          </w:p>
        </w:tc>
        <w:tc>
          <w:tcPr>
            <w:tcW w:w="11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2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320" w:type="dxa"/>
            <w:vAlign w:val="bottom"/>
            <w:shd w:val="clear" w:color="auto" w:fill="CFF0FC"/>
          </w:tcPr>
          <w:p>
            <w:pPr>
              <w:spacing w:after="0"/>
              <w:rPr>
                <w:sz w:val="16"/>
                <w:szCs w:val="16"/>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4,892</w:t>
            </w:r>
          </w:p>
        </w:tc>
        <w:tc>
          <w:tcPr>
            <w:tcW w:w="100" w:type="dxa"/>
            <w:vAlign w:val="bottom"/>
            <w:shd w:val="clear" w:color="auto" w:fill="CFF0FC"/>
          </w:tcPr>
          <w:p>
            <w:pPr>
              <w:spacing w:after="0"/>
              <w:rPr>
                <w:sz w:val="16"/>
                <w:szCs w:val="16"/>
                <w:color w:val="auto"/>
              </w:rPr>
            </w:pPr>
          </w:p>
        </w:tc>
      </w:tr>
      <w:tr>
        <w:trPr>
          <w:trHeight w:val="189"/>
        </w:trPr>
        <w:tc>
          <w:tcPr>
            <w:tcW w:w="6640" w:type="dxa"/>
            <w:vAlign w:val="bottom"/>
          </w:tcPr>
          <w:p>
            <w:pPr>
              <w:ind w:left="380"/>
              <w:spacing w:after="0"/>
              <w:rPr>
                <w:sz w:val="20"/>
                <w:szCs w:val="20"/>
                <w:color w:val="auto"/>
              </w:rPr>
            </w:pPr>
            <w:r>
              <w:rPr>
                <w:rFonts w:ascii="Times New Roman" w:cs="Times New Roman" w:eastAsia="Times New Roman" w:hAnsi="Times New Roman"/>
                <w:sz w:val="15"/>
                <w:szCs w:val="15"/>
                <w:color w:val="auto"/>
              </w:rPr>
              <w:t>Repayment of 2022 Convertible Notes attributable to the debt discount</w:t>
            </w:r>
          </w:p>
        </w:tc>
        <w:tc>
          <w:tcPr>
            <w:tcW w:w="320" w:type="dxa"/>
            <w:vAlign w:val="bottom"/>
          </w:tcPr>
          <w:p>
            <w:pPr>
              <w:spacing w:after="0"/>
              <w:rPr>
                <w:sz w:val="16"/>
                <w:szCs w:val="16"/>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320" w:type="dxa"/>
            <w:vAlign w:val="bottom"/>
          </w:tcPr>
          <w:p>
            <w:pPr>
              <w:spacing w:after="0"/>
              <w:rPr>
                <w:sz w:val="16"/>
                <w:szCs w:val="16"/>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(26,428 )</w:t>
            </w:r>
          </w:p>
        </w:tc>
      </w:tr>
      <w:tr>
        <w:trPr>
          <w:trHeight w:val="189"/>
        </w:trPr>
        <w:tc>
          <w:tcPr>
            <w:tcW w:w="66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5"/>
                <w:szCs w:val="15"/>
                <w:color w:val="auto"/>
              </w:rPr>
              <w:t>Gain on termination of operating leases</w:t>
            </w:r>
          </w:p>
        </w:tc>
        <w:tc>
          <w:tcPr>
            <w:tcW w:w="320" w:type="dxa"/>
            <w:vAlign w:val="bottom"/>
            <w:shd w:val="clear" w:color="auto" w:fill="CFF0FC"/>
          </w:tcPr>
          <w:p>
            <w:pPr>
              <w:spacing w:after="0"/>
              <w:rPr>
                <w:sz w:val="16"/>
                <w:szCs w:val="16"/>
                <w:color w:val="auto"/>
              </w:rPr>
            </w:pPr>
          </w:p>
        </w:tc>
        <w:tc>
          <w:tcPr>
            <w:tcW w:w="11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2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320" w:type="dxa"/>
            <w:vAlign w:val="bottom"/>
            <w:shd w:val="clear" w:color="auto" w:fill="CFF0FC"/>
          </w:tcPr>
          <w:p>
            <w:pPr>
              <w:spacing w:after="0"/>
              <w:rPr>
                <w:sz w:val="16"/>
                <w:szCs w:val="16"/>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5"/>
                <w:szCs w:val="15"/>
                <w:color w:val="auto"/>
              </w:rPr>
              <w:t>(4,276 )</w:t>
            </w:r>
          </w:p>
        </w:tc>
      </w:tr>
      <w:tr>
        <w:trPr>
          <w:trHeight w:val="189"/>
        </w:trPr>
        <w:tc>
          <w:tcPr>
            <w:tcW w:w="6640" w:type="dxa"/>
            <w:vAlign w:val="bottom"/>
          </w:tcPr>
          <w:p>
            <w:pPr>
              <w:ind w:left="380"/>
              <w:spacing w:after="0"/>
              <w:rPr>
                <w:sz w:val="20"/>
                <w:szCs w:val="20"/>
                <w:color w:val="auto"/>
              </w:rPr>
            </w:pPr>
            <w:r>
              <w:rPr>
                <w:rFonts w:ascii="Times New Roman" w:cs="Times New Roman" w:eastAsia="Times New Roman" w:hAnsi="Times New Roman"/>
                <w:sz w:val="15"/>
                <w:szCs w:val="15"/>
                <w:color w:val="auto"/>
              </w:rPr>
              <w:t>Loss on disposal of fixed assets</w:t>
            </w:r>
          </w:p>
        </w:tc>
        <w:tc>
          <w:tcPr>
            <w:tcW w:w="320" w:type="dxa"/>
            <w:vAlign w:val="bottom"/>
          </w:tcPr>
          <w:p>
            <w:pPr>
              <w:spacing w:after="0"/>
              <w:rPr>
                <w:sz w:val="16"/>
                <w:szCs w:val="16"/>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3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6,468</w:t>
            </w:r>
          </w:p>
        </w:tc>
        <w:tc>
          <w:tcPr>
            <w:tcW w:w="100" w:type="dxa"/>
            <w:vAlign w:val="bottom"/>
          </w:tcPr>
          <w:p>
            <w:pPr>
              <w:spacing w:after="0"/>
              <w:rPr>
                <w:sz w:val="16"/>
                <w:szCs w:val="16"/>
                <w:color w:val="auto"/>
              </w:rPr>
            </w:pPr>
          </w:p>
        </w:tc>
      </w:tr>
      <w:tr>
        <w:trPr>
          <w:trHeight w:val="189"/>
        </w:trPr>
        <w:tc>
          <w:tcPr>
            <w:tcW w:w="66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5"/>
                <w:szCs w:val="15"/>
                <w:color w:val="auto"/>
              </w:rPr>
              <w:t>Gain on strategic investments</w:t>
            </w:r>
          </w:p>
        </w:tc>
        <w:tc>
          <w:tcPr>
            <w:tcW w:w="320" w:type="dxa"/>
            <w:vAlign w:val="bottom"/>
            <w:shd w:val="clear" w:color="auto" w:fill="CFF0FC"/>
          </w:tcPr>
          <w:p>
            <w:pPr>
              <w:spacing w:after="0"/>
              <w:rPr>
                <w:sz w:val="16"/>
                <w:szCs w:val="16"/>
                <w:color w:val="auto"/>
              </w:rPr>
            </w:pPr>
          </w:p>
        </w:tc>
        <w:tc>
          <w:tcPr>
            <w:tcW w:w="11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2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5"/>
                <w:szCs w:val="15"/>
                <w:color w:val="auto"/>
              </w:rPr>
              <w:t>(4,201 )</w:t>
            </w:r>
          </w:p>
        </w:tc>
        <w:tc>
          <w:tcPr>
            <w:tcW w:w="320" w:type="dxa"/>
            <w:vAlign w:val="bottom"/>
            <w:shd w:val="clear" w:color="auto" w:fill="CFF0FC"/>
          </w:tcPr>
          <w:p>
            <w:pPr>
              <w:spacing w:after="0"/>
              <w:rPr>
                <w:sz w:val="16"/>
                <w:szCs w:val="16"/>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5"/>
                <w:szCs w:val="15"/>
                <w:color w:val="auto"/>
              </w:rPr>
              <w:t>(11,741 )</w:t>
            </w:r>
          </w:p>
        </w:tc>
      </w:tr>
      <w:tr>
        <w:trPr>
          <w:trHeight w:val="189"/>
        </w:trPr>
        <w:tc>
          <w:tcPr>
            <w:tcW w:w="6640" w:type="dxa"/>
            <w:vAlign w:val="bottom"/>
          </w:tcPr>
          <w:p>
            <w:pPr>
              <w:ind w:left="380"/>
              <w:spacing w:after="0"/>
              <w:rPr>
                <w:sz w:val="20"/>
                <w:szCs w:val="20"/>
                <w:color w:val="auto"/>
              </w:rPr>
            </w:pPr>
            <w:r>
              <w:rPr>
                <w:rFonts w:ascii="Times New Roman" w:cs="Times New Roman" w:eastAsia="Times New Roman" w:hAnsi="Times New Roman"/>
                <w:sz w:val="15"/>
                <w:szCs w:val="15"/>
                <w:color w:val="auto"/>
              </w:rPr>
              <w:t>Impairment of strategic investments</w:t>
            </w: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1,704</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5,863</w:t>
            </w: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r>
      <w:tr>
        <w:trPr>
          <w:trHeight w:val="189"/>
        </w:trPr>
        <w:tc>
          <w:tcPr>
            <w:tcW w:w="66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5"/>
                <w:szCs w:val="15"/>
                <w:color w:val="auto"/>
              </w:rPr>
              <w:t>Provision for (benefit from) deferred income taxes</w:t>
            </w:r>
          </w:p>
        </w:tc>
        <w:tc>
          <w:tcPr>
            <w:tcW w:w="320" w:type="dxa"/>
            <w:vAlign w:val="bottom"/>
            <w:shd w:val="clear" w:color="auto" w:fill="CFF0FC"/>
          </w:tcPr>
          <w:p>
            <w:pPr>
              <w:spacing w:after="0"/>
              <w:rPr>
                <w:sz w:val="16"/>
                <w:szCs w:val="16"/>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5,208</w:t>
            </w:r>
          </w:p>
        </w:tc>
        <w:tc>
          <w:tcPr>
            <w:tcW w:w="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2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5"/>
                <w:szCs w:val="15"/>
                <w:color w:val="auto"/>
              </w:rPr>
              <w:t>(2,122 )</w:t>
            </w:r>
          </w:p>
        </w:tc>
        <w:tc>
          <w:tcPr>
            <w:tcW w:w="320" w:type="dxa"/>
            <w:vAlign w:val="bottom"/>
            <w:shd w:val="clear" w:color="auto" w:fill="CFF0FC"/>
          </w:tcPr>
          <w:p>
            <w:pPr>
              <w:spacing w:after="0"/>
              <w:rPr>
                <w:sz w:val="16"/>
                <w:szCs w:val="16"/>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5"/>
                <w:szCs w:val="15"/>
                <w:color w:val="auto"/>
              </w:rPr>
              <w:t>(2,869 )</w:t>
            </w:r>
          </w:p>
        </w:tc>
      </w:tr>
      <w:tr>
        <w:trPr>
          <w:trHeight w:val="189"/>
        </w:trPr>
        <w:tc>
          <w:tcPr>
            <w:tcW w:w="6640" w:type="dxa"/>
            <w:vAlign w:val="bottom"/>
          </w:tcPr>
          <w:p>
            <w:pPr>
              <w:ind w:left="380"/>
              <w:spacing w:after="0"/>
              <w:rPr>
                <w:sz w:val="20"/>
                <w:szCs w:val="20"/>
                <w:color w:val="auto"/>
              </w:rPr>
            </w:pPr>
            <w:r>
              <w:rPr>
                <w:rFonts w:ascii="Times New Roman" w:cs="Times New Roman" w:eastAsia="Times New Roman" w:hAnsi="Times New Roman"/>
                <w:sz w:val="15"/>
                <w:szCs w:val="15"/>
                <w:color w:val="auto"/>
              </w:rPr>
              <w:t>Amortization of debt discount and issuance costs</w:t>
            </w: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1,986</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2,013</w:t>
            </w: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23,507</w:t>
            </w:r>
          </w:p>
        </w:tc>
        <w:tc>
          <w:tcPr>
            <w:tcW w:w="100" w:type="dxa"/>
            <w:vAlign w:val="bottom"/>
          </w:tcPr>
          <w:p>
            <w:pPr>
              <w:spacing w:after="0"/>
              <w:rPr>
                <w:sz w:val="16"/>
                <w:szCs w:val="16"/>
                <w:color w:val="auto"/>
              </w:rPr>
            </w:pPr>
          </w:p>
        </w:tc>
      </w:tr>
      <w:tr>
        <w:trPr>
          <w:trHeight w:val="189"/>
        </w:trPr>
        <w:tc>
          <w:tcPr>
            <w:tcW w:w="66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5"/>
                <w:szCs w:val="15"/>
                <w:color w:val="auto"/>
              </w:rPr>
              <w:t>(Accretion) amortization of bond discount</w:t>
            </w:r>
          </w:p>
        </w:tc>
        <w:tc>
          <w:tcPr>
            <w:tcW w:w="320" w:type="dxa"/>
            <w:vAlign w:val="bottom"/>
            <w:shd w:val="clear" w:color="auto" w:fill="CFF0FC"/>
          </w:tcPr>
          <w:p>
            <w:pPr>
              <w:spacing w:after="0"/>
              <w:rPr>
                <w:sz w:val="16"/>
                <w:szCs w:val="16"/>
                <w:color w:val="auto"/>
              </w:rPr>
            </w:pPr>
          </w:p>
        </w:tc>
        <w:tc>
          <w:tcPr>
            <w:tcW w:w="11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5"/>
                <w:szCs w:val="15"/>
                <w:color w:val="auto"/>
              </w:rPr>
              <w:t>(42,907 )</w:t>
            </w:r>
          </w:p>
        </w:tc>
        <w:tc>
          <w:tcPr>
            <w:tcW w:w="18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2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5"/>
                <w:szCs w:val="15"/>
                <w:color w:val="auto"/>
              </w:rPr>
              <w:t>(9,118 )</w:t>
            </w:r>
          </w:p>
        </w:tc>
        <w:tc>
          <w:tcPr>
            <w:tcW w:w="320" w:type="dxa"/>
            <w:vAlign w:val="bottom"/>
            <w:shd w:val="clear" w:color="auto" w:fill="CFF0FC"/>
          </w:tcPr>
          <w:p>
            <w:pPr>
              <w:spacing w:after="0"/>
              <w:rPr>
                <w:sz w:val="16"/>
                <w:szCs w:val="16"/>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4,275</w:t>
            </w:r>
          </w:p>
        </w:tc>
        <w:tc>
          <w:tcPr>
            <w:tcW w:w="100" w:type="dxa"/>
            <w:vAlign w:val="bottom"/>
            <w:shd w:val="clear" w:color="auto" w:fill="CFF0FC"/>
          </w:tcPr>
          <w:p>
            <w:pPr>
              <w:spacing w:after="0"/>
              <w:rPr>
                <w:sz w:val="16"/>
                <w:szCs w:val="16"/>
                <w:color w:val="auto"/>
              </w:rPr>
            </w:pPr>
          </w:p>
        </w:tc>
      </w:tr>
      <w:tr>
        <w:trPr>
          <w:trHeight w:val="189"/>
        </w:trPr>
        <w:tc>
          <w:tcPr>
            <w:tcW w:w="6640" w:type="dxa"/>
            <w:vAlign w:val="bottom"/>
          </w:tcPr>
          <w:p>
            <w:pPr>
              <w:ind w:left="380"/>
              <w:spacing w:after="0"/>
              <w:rPr>
                <w:sz w:val="20"/>
                <w:szCs w:val="20"/>
                <w:color w:val="auto"/>
              </w:rPr>
            </w:pPr>
            <w:r>
              <w:rPr>
                <w:rFonts w:ascii="Times New Roman" w:cs="Times New Roman" w:eastAsia="Times New Roman" w:hAnsi="Times New Roman"/>
                <w:sz w:val="15"/>
                <w:szCs w:val="15"/>
                <w:color w:val="auto"/>
              </w:rPr>
              <w:t>Unrealized currency translation</w:t>
            </w:r>
          </w:p>
        </w:tc>
        <w:tc>
          <w:tcPr>
            <w:tcW w:w="320" w:type="dxa"/>
            <w:vAlign w:val="bottom"/>
          </w:tcPr>
          <w:p>
            <w:pPr>
              <w:spacing w:after="0"/>
              <w:rPr>
                <w:sz w:val="16"/>
                <w:szCs w:val="16"/>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(341 )</w:t>
            </w:r>
          </w:p>
        </w:tc>
        <w:tc>
          <w:tcPr>
            <w:tcW w:w="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1,010</w:t>
            </w: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1,304</w:t>
            </w:r>
          </w:p>
        </w:tc>
        <w:tc>
          <w:tcPr>
            <w:tcW w:w="100" w:type="dxa"/>
            <w:vAlign w:val="bottom"/>
          </w:tcPr>
          <w:p>
            <w:pPr>
              <w:spacing w:after="0"/>
              <w:rPr>
                <w:sz w:val="16"/>
                <w:szCs w:val="16"/>
                <w:color w:val="auto"/>
              </w:rPr>
            </w:pPr>
          </w:p>
        </w:tc>
      </w:tr>
      <w:tr>
        <w:trPr>
          <w:trHeight w:val="189"/>
        </w:trPr>
        <w:tc>
          <w:tcPr>
            <w:tcW w:w="66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5"/>
                <w:szCs w:val="15"/>
                <w:color w:val="auto"/>
              </w:rPr>
              <w:t>Changes in assets and liabilities, net of acquisition</w:t>
            </w:r>
          </w:p>
        </w:tc>
        <w:tc>
          <w:tcPr>
            <w:tcW w:w="32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189"/>
        </w:trPr>
        <w:tc>
          <w:tcPr>
            <w:tcW w:w="6640" w:type="dxa"/>
            <w:vAlign w:val="bottom"/>
          </w:tcPr>
          <w:p>
            <w:pPr>
              <w:ind w:left="560"/>
              <w:spacing w:after="0"/>
              <w:rPr>
                <w:sz w:val="20"/>
                <w:szCs w:val="20"/>
                <w:color w:val="auto"/>
              </w:rPr>
            </w:pPr>
            <w:r>
              <w:rPr>
                <w:rFonts w:ascii="Times New Roman" w:cs="Times New Roman" w:eastAsia="Times New Roman" w:hAnsi="Times New Roman"/>
                <w:sz w:val="15"/>
                <w:szCs w:val="15"/>
                <w:color w:val="auto"/>
              </w:rPr>
              <w:t>Accounts receivable</w:t>
            </w:r>
          </w:p>
        </w:tc>
        <w:tc>
          <w:tcPr>
            <w:tcW w:w="320" w:type="dxa"/>
            <w:vAlign w:val="bottom"/>
          </w:tcPr>
          <w:p>
            <w:pPr>
              <w:spacing w:after="0"/>
              <w:rPr>
                <w:sz w:val="16"/>
                <w:szCs w:val="16"/>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(57,618 )</w:t>
            </w:r>
          </w:p>
        </w:tc>
        <w:tc>
          <w:tcPr>
            <w:tcW w:w="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(73,985 )</w:t>
            </w:r>
          </w:p>
        </w:tc>
        <w:tc>
          <w:tcPr>
            <w:tcW w:w="320" w:type="dxa"/>
            <w:vAlign w:val="bottom"/>
          </w:tcPr>
          <w:p>
            <w:pPr>
              <w:spacing w:after="0"/>
              <w:rPr>
                <w:sz w:val="16"/>
                <w:szCs w:val="16"/>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(34,107 )</w:t>
            </w:r>
          </w:p>
        </w:tc>
      </w:tr>
      <w:tr>
        <w:trPr>
          <w:trHeight w:val="189"/>
        </w:trPr>
        <w:tc>
          <w:tcPr>
            <w:tcW w:w="664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5"/>
                <w:szCs w:val="15"/>
                <w:color w:val="auto"/>
              </w:rPr>
              <w:t>Prepaid expenses and other assets</w:t>
            </w:r>
          </w:p>
        </w:tc>
        <w:tc>
          <w:tcPr>
            <w:tcW w:w="320" w:type="dxa"/>
            <w:vAlign w:val="bottom"/>
            <w:shd w:val="clear" w:color="auto" w:fill="CFF0FC"/>
          </w:tcPr>
          <w:p>
            <w:pPr>
              <w:spacing w:after="0"/>
              <w:rPr>
                <w:sz w:val="16"/>
                <w:szCs w:val="16"/>
                <w:color w:val="auto"/>
              </w:rPr>
            </w:pPr>
          </w:p>
        </w:tc>
        <w:tc>
          <w:tcPr>
            <w:tcW w:w="11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5"/>
                <w:szCs w:val="15"/>
                <w:color w:val="auto"/>
              </w:rPr>
              <w:t>(47,048 )</w:t>
            </w:r>
          </w:p>
        </w:tc>
        <w:tc>
          <w:tcPr>
            <w:tcW w:w="18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2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5"/>
                <w:szCs w:val="15"/>
                <w:color w:val="auto"/>
              </w:rPr>
              <w:t>(5,987 )</w:t>
            </w:r>
          </w:p>
        </w:tc>
        <w:tc>
          <w:tcPr>
            <w:tcW w:w="320" w:type="dxa"/>
            <w:vAlign w:val="bottom"/>
            <w:shd w:val="clear" w:color="auto" w:fill="CFF0FC"/>
          </w:tcPr>
          <w:p>
            <w:pPr>
              <w:spacing w:after="0"/>
              <w:rPr>
                <w:sz w:val="16"/>
                <w:szCs w:val="16"/>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5"/>
                <w:szCs w:val="15"/>
                <w:color w:val="auto"/>
              </w:rPr>
              <w:t>(1,077 )</w:t>
            </w:r>
          </w:p>
        </w:tc>
      </w:tr>
      <w:tr>
        <w:trPr>
          <w:trHeight w:val="189"/>
        </w:trPr>
        <w:tc>
          <w:tcPr>
            <w:tcW w:w="6640" w:type="dxa"/>
            <w:vAlign w:val="bottom"/>
          </w:tcPr>
          <w:p>
            <w:pPr>
              <w:ind w:left="560"/>
              <w:spacing w:after="0"/>
              <w:rPr>
                <w:sz w:val="20"/>
                <w:szCs w:val="20"/>
                <w:color w:val="auto"/>
              </w:rPr>
            </w:pPr>
            <w:r>
              <w:rPr>
                <w:rFonts w:ascii="Times New Roman" w:cs="Times New Roman" w:eastAsia="Times New Roman" w:hAnsi="Times New Roman"/>
                <w:sz w:val="15"/>
                <w:szCs w:val="15"/>
                <w:color w:val="auto"/>
              </w:rPr>
              <w:t>Deferred commission expense</w:t>
            </w:r>
          </w:p>
        </w:tc>
        <w:tc>
          <w:tcPr>
            <w:tcW w:w="320" w:type="dxa"/>
            <w:vAlign w:val="bottom"/>
          </w:tcPr>
          <w:p>
            <w:pPr>
              <w:spacing w:after="0"/>
              <w:rPr>
                <w:sz w:val="16"/>
                <w:szCs w:val="16"/>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(81,178 )</w:t>
            </w:r>
          </w:p>
        </w:tc>
        <w:tc>
          <w:tcPr>
            <w:tcW w:w="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(37,583 )</w:t>
            </w:r>
          </w:p>
        </w:tc>
        <w:tc>
          <w:tcPr>
            <w:tcW w:w="320" w:type="dxa"/>
            <w:vAlign w:val="bottom"/>
          </w:tcPr>
          <w:p>
            <w:pPr>
              <w:spacing w:after="0"/>
              <w:rPr>
                <w:sz w:val="16"/>
                <w:szCs w:val="16"/>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(32,560 )</w:t>
            </w:r>
          </w:p>
        </w:tc>
      </w:tr>
      <w:tr>
        <w:trPr>
          <w:trHeight w:val="189"/>
        </w:trPr>
        <w:tc>
          <w:tcPr>
            <w:tcW w:w="664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5"/>
                <w:szCs w:val="15"/>
                <w:color w:val="auto"/>
              </w:rPr>
              <w:t>Right-of-use assets</w:t>
            </w:r>
          </w:p>
        </w:tc>
        <w:tc>
          <w:tcPr>
            <w:tcW w:w="320" w:type="dxa"/>
            <w:vAlign w:val="bottom"/>
            <w:shd w:val="clear" w:color="auto" w:fill="CFF0FC"/>
          </w:tcPr>
          <w:p>
            <w:pPr>
              <w:spacing w:after="0"/>
              <w:rPr>
                <w:sz w:val="16"/>
                <w:szCs w:val="16"/>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29,173</w:t>
            </w:r>
          </w:p>
        </w:tc>
        <w:tc>
          <w:tcPr>
            <w:tcW w:w="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29,531</w:t>
            </w:r>
          </w:p>
        </w:tc>
        <w:tc>
          <w:tcPr>
            <w:tcW w:w="22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31,418</w:t>
            </w:r>
          </w:p>
        </w:tc>
        <w:tc>
          <w:tcPr>
            <w:tcW w:w="100" w:type="dxa"/>
            <w:vAlign w:val="bottom"/>
            <w:shd w:val="clear" w:color="auto" w:fill="CFF0FC"/>
          </w:tcPr>
          <w:p>
            <w:pPr>
              <w:spacing w:after="0"/>
              <w:rPr>
                <w:sz w:val="16"/>
                <w:szCs w:val="16"/>
                <w:color w:val="auto"/>
              </w:rPr>
            </w:pPr>
          </w:p>
        </w:tc>
      </w:tr>
      <w:tr>
        <w:trPr>
          <w:trHeight w:val="189"/>
        </w:trPr>
        <w:tc>
          <w:tcPr>
            <w:tcW w:w="6640" w:type="dxa"/>
            <w:vAlign w:val="bottom"/>
          </w:tcPr>
          <w:p>
            <w:pPr>
              <w:ind w:left="560"/>
              <w:spacing w:after="0"/>
              <w:rPr>
                <w:sz w:val="20"/>
                <w:szCs w:val="20"/>
                <w:color w:val="auto"/>
              </w:rPr>
            </w:pPr>
            <w:r>
              <w:rPr>
                <w:rFonts w:ascii="Times New Roman" w:cs="Times New Roman" w:eastAsia="Times New Roman" w:hAnsi="Times New Roman"/>
                <w:sz w:val="15"/>
                <w:szCs w:val="15"/>
                <w:color w:val="auto"/>
              </w:rPr>
              <w:t>Accounts payable</w:t>
            </w:r>
          </w:p>
        </w:tc>
        <w:tc>
          <w:tcPr>
            <w:tcW w:w="320" w:type="dxa"/>
            <w:vAlign w:val="bottom"/>
          </w:tcPr>
          <w:p>
            <w:pPr>
              <w:spacing w:after="0"/>
              <w:rPr>
                <w:sz w:val="16"/>
                <w:szCs w:val="16"/>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(14,031 )</w:t>
            </w:r>
          </w:p>
        </w:tc>
        <w:tc>
          <w:tcPr>
            <w:tcW w:w="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18,277</w:t>
            </w: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(10,608 )</w:t>
            </w:r>
          </w:p>
        </w:tc>
      </w:tr>
      <w:tr>
        <w:trPr>
          <w:trHeight w:val="189"/>
        </w:trPr>
        <w:tc>
          <w:tcPr>
            <w:tcW w:w="664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5"/>
                <w:szCs w:val="15"/>
                <w:color w:val="auto"/>
              </w:rPr>
              <w:t>Accrued expenses and other current liabilities</w:t>
            </w:r>
          </w:p>
        </w:tc>
        <w:tc>
          <w:tcPr>
            <w:tcW w:w="320" w:type="dxa"/>
            <w:vAlign w:val="bottom"/>
            <w:shd w:val="clear" w:color="auto" w:fill="CFF0FC"/>
          </w:tcPr>
          <w:p>
            <w:pPr>
              <w:spacing w:after="0"/>
              <w:rPr>
                <w:sz w:val="16"/>
                <w:szCs w:val="16"/>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87,074</w:t>
            </w:r>
          </w:p>
        </w:tc>
        <w:tc>
          <w:tcPr>
            <w:tcW w:w="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32,375</w:t>
            </w:r>
          </w:p>
        </w:tc>
        <w:tc>
          <w:tcPr>
            <w:tcW w:w="22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58,209</w:t>
            </w:r>
          </w:p>
        </w:tc>
        <w:tc>
          <w:tcPr>
            <w:tcW w:w="100" w:type="dxa"/>
            <w:vAlign w:val="bottom"/>
            <w:shd w:val="clear" w:color="auto" w:fill="CFF0FC"/>
          </w:tcPr>
          <w:p>
            <w:pPr>
              <w:spacing w:after="0"/>
              <w:rPr>
                <w:sz w:val="16"/>
                <w:szCs w:val="16"/>
                <w:color w:val="auto"/>
              </w:rPr>
            </w:pPr>
          </w:p>
        </w:tc>
      </w:tr>
      <w:tr>
        <w:trPr>
          <w:trHeight w:val="189"/>
        </w:trPr>
        <w:tc>
          <w:tcPr>
            <w:tcW w:w="6640" w:type="dxa"/>
            <w:vAlign w:val="bottom"/>
          </w:tcPr>
          <w:p>
            <w:pPr>
              <w:ind w:left="560"/>
              <w:spacing w:after="0"/>
              <w:rPr>
                <w:sz w:val="20"/>
                <w:szCs w:val="20"/>
                <w:color w:val="auto"/>
              </w:rPr>
            </w:pPr>
            <w:r>
              <w:rPr>
                <w:rFonts w:ascii="Times New Roman" w:cs="Times New Roman" w:eastAsia="Times New Roman" w:hAnsi="Times New Roman"/>
                <w:sz w:val="15"/>
                <w:szCs w:val="15"/>
                <w:color w:val="auto"/>
              </w:rPr>
              <w:t>Operating lease liabilities</w:t>
            </w:r>
          </w:p>
        </w:tc>
        <w:tc>
          <w:tcPr>
            <w:tcW w:w="320" w:type="dxa"/>
            <w:vAlign w:val="bottom"/>
          </w:tcPr>
          <w:p>
            <w:pPr>
              <w:spacing w:after="0"/>
              <w:rPr>
                <w:sz w:val="16"/>
                <w:szCs w:val="16"/>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(36,889 )</w:t>
            </w:r>
          </w:p>
        </w:tc>
        <w:tc>
          <w:tcPr>
            <w:tcW w:w="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(21,118 )</w:t>
            </w:r>
          </w:p>
        </w:tc>
        <w:tc>
          <w:tcPr>
            <w:tcW w:w="320" w:type="dxa"/>
            <w:vAlign w:val="bottom"/>
          </w:tcPr>
          <w:p>
            <w:pPr>
              <w:spacing w:after="0"/>
              <w:rPr>
                <w:sz w:val="16"/>
                <w:szCs w:val="16"/>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(29,478 )</w:t>
            </w:r>
          </w:p>
        </w:tc>
      </w:tr>
      <w:tr>
        <w:trPr>
          <w:trHeight w:val="189"/>
        </w:trPr>
        <w:tc>
          <w:tcPr>
            <w:tcW w:w="6640" w:type="dxa"/>
            <w:vAlign w:val="bottom"/>
            <w:tcBorders>
              <w:bottom w:val="single" w:sz="8" w:color="CFF0FC"/>
            </w:tcBorders>
            <w:shd w:val="clear" w:color="auto" w:fill="CFF0FC"/>
          </w:tcPr>
          <w:p>
            <w:pPr>
              <w:ind w:left="560"/>
              <w:spacing w:after="0"/>
              <w:rPr>
                <w:sz w:val="20"/>
                <w:szCs w:val="20"/>
                <w:color w:val="auto"/>
              </w:rPr>
            </w:pPr>
            <w:r>
              <w:rPr>
                <w:rFonts w:ascii="Times New Roman" w:cs="Times New Roman" w:eastAsia="Times New Roman" w:hAnsi="Times New Roman"/>
                <w:sz w:val="15"/>
                <w:szCs w:val="15"/>
                <w:color w:val="auto"/>
              </w:rPr>
              <w:t>Deferred revenue</w:t>
            </w:r>
          </w:p>
        </w:tc>
        <w:tc>
          <w:tcPr>
            <w:tcW w:w="320" w:type="dxa"/>
            <w:vAlign w:val="bottom"/>
            <w:tcBorders>
              <w:bottom w:val="single" w:sz="8" w:color="auto"/>
            </w:tcBorders>
            <w:shd w:val="clear" w:color="auto" w:fill="CFF0FC"/>
          </w:tcPr>
          <w:p>
            <w:pPr>
              <w:spacing w:after="0"/>
              <w:rPr>
                <w:sz w:val="16"/>
                <w:szCs w:val="16"/>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109,926</w:t>
            </w:r>
          </w:p>
        </w:tc>
        <w:tc>
          <w:tcPr>
            <w:tcW w:w="80" w:type="dxa"/>
            <w:vAlign w:val="bottom"/>
            <w:tcBorders>
              <w:bottom w:val="single" w:sz="8" w:color="CFF0FC"/>
            </w:tcBorders>
            <w:shd w:val="clear" w:color="auto" w:fill="CFF0FC"/>
          </w:tcPr>
          <w:p>
            <w:pPr>
              <w:spacing w:after="0"/>
              <w:rPr>
                <w:sz w:val="16"/>
                <w:szCs w:val="16"/>
                <w:color w:val="auto"/>
              </w:rPr>
            </w:pPr>
          </w:p>
        </w:tc>
        <w:tc>
          <w:tcPr>
            <w:tcW w:w="180" w:type="dxa"/>
            <w:vAlign w:val="bottom"/>
            <w:tcBorders>
              <w:bottom w:val="single" w:sz="8" w:color="CFF0FC"/>
            </w:tcBorders>
            <w:shd w:val="clear" w:color="auto" w:fill="CFF0FC"/>
          </w:tcPr>
          <w:p>
            <w:pPr>
              <w:spacing w:after="0"/>
              <w:rPr>
                <w:sz w:val="16"/>
                <w:szCs w:val="16"/>
                <w:color w:val="auto"/>
              </w:rPr>
            </w:pPr>
          </w:p>
        </w:tc>
        <w:tc>
          <w:tcPr>
            <w:tcW w:w="300" w:type="dxa"/>
            <w:vAlign w:val="bottom"/>
            <w:tcBorders>
              <w:bottom w:val="single" w:sz="8" w:color="auto"/>
            </w:tcBorders>
            <w:shd w:val="clear" w:color="auto" w:fill="CFF0FC"/>
          </w:tcPr>
          <w:p>
            <w:pPr>
              <w:spacing w:after="0"/>
              <w:rPr>
                <w:sz w:val="16"/>
                <w:szCs w:val="16"/>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116,969</w:t>
            </w:r>
          </w:p>
        </w:tc>
        <w:tc>
          <w:tcPr>
            <w:tcW w:w="220" w:type="dxa"/>
            <w:vAlign w:val="bottom"/>
            <w:tcBorders>
              <w:bottom w:val="single" w:sz="8" w:color="CFF0FC"/>
            </w:tcBorders>
            <w:shd w:val="clear" w:color="auto" w:fill="CFF0FC"/>
          </w:tcPr>
          <w:p>
            <w:pPr>
              <w:spacing w:after="0"/>
              <w:rPr>
                <w:sz w:val="16"/>
                <w:szCs w:val="16"/>
                <w:color w:val="auto"/>
              </w:rPr>
            </w:pPr>
          </w:p>
        </w:tc>
        <w:tc>
          <w:tcPr>
            <w:tcW w:w="320" w:type="dxa"/>
            <w:vAlign w:val="bottom"/>
            <w:tcBorders>
              <w:bottom w:val="single" w:sz="8" w:color="auto"/>
            </w:tcBorders>
            <w:shd w:val="clear" w:color="auto" w:fill="CFF0FC"/>
          </w:tcPr>
          <w:p>
            <w:pPr>
              <w:spacing w:after="0"/>
              <w:rPr>
                <w:sz w:val="16"/>
                <w:szCs w:val="16"/>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127,716</w:t>
            </w:r>
          </w:p>
        </w:tc>
        <w:tc>
          <w:tcPr>
            <w:tcW w:w="100" w:type="dxa"/>
            <w:vAlign w:val="bottom"/>
            <w:tcBorders>
              <w:bottom w:val="single" w:sz="8" w:color="CFF0FC"/>
            </w:tcBorders>
            <w:shd w:val="clear" w:color="auto" w:fill="CFF0FC"/>
          </w:tcPr>
          <w:p>
            <w:pPr>
              <w:spacing w:after="0"/>
              <w:rPr>
                <w:sz w:val="16"/>
                <w:szCs w:val="16"/>
                <w:color w:val="auto"/>
              </w:rPr>
            </w:pPr>
          </w:p>
        </w:tc>
      </w:tr>
      <w:tr>
        <w:trPr>
          <w:trHeight w:val="183"/>
        </w:trPr>
        <w:tc>
          <w:tcPr>
            <w:tcW w:w="6640" w:type="dxa"/>
            <w:vAlign w:val="bottom"/>
          </w:tcPr>
          <w:p>
            <w:pPr>
              <w:ind w:left="740"/>
              <w:spacing w:after="0"/>
              <w:rPr>
                <w:sz w:val="20"/>
                <w:szCs w:val="20"/>
                <w:color w:val="auto"/>
              </w:rPr>
            </w:pPr>
            <w:r>
              <w:rPr>
                <w:rFonts w:ascii="Times New Roman" w:cs="Times New Roman" w:eastAsia="Times New Roman" w:hAnsi="Times New Roman"/>
                <w:sz w:val="15"/>
                <w:szCs w:val="15"/>
                <w:color w:val="auto"/>
              </w:rPr>
              <w:t>Net cash and cash equivalents provided by operating activities</w:t>
            </w:r>
          </w:p>
        </w:tc>
        <w:tc>
          <w:tcPr>
            <w:tcW w:w="3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350,971</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273,174</w:t>
            </w:r>
          </w:p>
        </w:tc>
        <w:tc>
          <w:tcPr>
            <w:tcW w:w="2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238,728</w:t>
            </w:r>
          </w:p>
        </w:tc>
        <w:tc>
          <w:tcPr>
            <w:tcW w:w="100" w:type="dxa"/>
            <w:vAlign w:val="bottom"/>
          </w:tcPr>
          <w:p>
            <w:pPr>
              <w:spacing w:after="0"/>
              <w:rPr>
                <w:sz w:val="15"/>
                <w:szCs w:val="15"/>
                <w:color w:val="auto"/>
              </w:rPr>
            </w:pPr>
          </w:p>
        </w:tc>
      </w:tr>
      <w:tr>
        <w:trPr>
          <w:trHeight w:val="183"/>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5"/>
                <w:szCs w:val="15"/>
                <w:b w:val="1"/>
                <w:bCs w:val="1"/>
                <w:color w:val="auto"/>
              </w:rPr>
              <w:t>Investing Activities:</w:t>
            </w:r>
          </w:p>
        </w:tc>
        <w:tc>
          <w:tcPr>
            <w:tcW w:w="32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89"/>
        </w:trPr>
        <w:tc>
          <w:tcPr>
            <w:tcW w:w="664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Purchases of investments</w:t>
            </w:r>
          </w:p>
        </w:tc>
        <w:tc>
          <w:tcPr>
            <w:tcW w:w="320" w:type="dxa"/>
            <w:vAlign w:val="bottom"/>
          </w:tcPr>
          <w:p>
            <w:pPr>
              <w:spacing w:after="0"/>
              <w:rPr>
                <w:sz w:val="16"/>
                <w:szCs w:val="16"/>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(1,580,504 )</w:t>
            </w:r>
          </w:p>
        </w:tc>
        <w:tc>
          <w:tcPr>
            <w:tcW w:w="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(1,507,870 )</w:t>
            </w:r>
          </w:p>
        </w:tc>
        <w:tc>
          <w:tcPr>
            <w:tcW w:w="320" w:type="dxa"/>
            <w:vAlign w:val="bottom"/>
          </w:tcPr>
          <w:p>
            <w:pPr>
              <w:spacing w:after="0"/>
              <w:rPr>
                <w:sz w:val="16"/>
                <w:szCs w:val="16"/>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(1,484,762 )</w:t>
            </w:r>
          </w:p>
        </w:tc>
      </w:tr>
      <w:tr>
        <w:trPr>
          <w:trHeight w:val="189"/>
        </w:trPr>
        <w:tc>
          <w:tcPr>
            <w:tcW w:w="6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5"/>
                <w:szCs w:val="15"/>
                <w:color w:val="auto"/>
              </w:rPr>
              <w:t>Maturities of investments</w:t>
            </w:r>
          </w:p>
        </w:tc>
        <w:tc>
          <w:tcPr>
            <w:tcW w:w="320" w:type="dxa"/>
            <w:vAlign w:val="bottom"/>
            <w:shd w:val="clear" w:color="auto" w:fill="CFF0FC"/>
          </w:tcPr>
          <w:p>
            <w:pPr>
              <w:spacing w:after="0"/>
              <w:rPr>
                <w:sz w:val="16"/>
                <w:szCs w:val="16"/>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1,502,534</w:t>
            </w:r>
          </w:p>
        </w:tc>
        <w:tc>
          <w:tcPr>
            <w:tcW w:w="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1,184,506</w:t>
            </w:r>
          </w:p>
        </w:tc>
        <w:tc>
          <w:tcPr>
            <w:tcW w:w="22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1,387,498</w:t>
            </w:r>
          </w:p>
        </w:tc>
        <w:tc>
          <w:tcPr>
            <w:tcW w:w="100" w:type="dxa"/>
            <w:vAlign w:val="bottom"/>
            <w:shd w:val="clear" w:color="auto" w:fill="CFF0FC"/>
          </w:tcPr>
          <w:p>
            <w:pPr>
              <w:spacing w:after="0"/>
              <w:rPr>
                <w:sz w:val="16"/>
                <w:szCs w:val="16"/>
                <w:color w:val="auto"/>
              </w:rPr>
            </w:pPr>
          </w:p>
        </w:tc>
      </w:tr>
      <w:tr>
        <w:trPr>
          <w:trHeight w:val="189"/>
        </w:trPr>
        <w:tc>
          <w:tcPr>
            <w:tcW w:w="664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Sale of investments</w:t>
            </w:r>
          </w:p>
        </w:tc>
        <w:tc>
          <w:tcPr>
            <w:tcW w:w="320" w:type="dxa"/>
            <w:vAlign w:val="bottom"/>
          </w:tcPr>
          <w:p>
            <w:pPr>
              <w:spacing w:after="0"/>
              <w:rPr>
                <w:sz w:val="16"/>
                <w:szCs w:val="16"/>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124,998</w:t>
            </w: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r>
      <w:tr>
        <w:trPr>
          <w:trHeight w:val="189"/>
        </w:trPr>
        <w:tc>
          <w:tcPr>
            <w:tcW w:w="6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5"/>
                <w:szCs w:val="15"/>
                <w:color w:val="auto"/>
              </w:rPr>
              <w:t>Purchases of property and equipment</w:t>
            </w:r>
          </w:p>
        </w:tc>
        <w:tc>
          <w:tcPr>
            <w:tcW w:w="320" w:type="dxa"/>
            <w:vAlign w:val="bottom"/>
            <w:shd w:val="clear" w:color="auto" w:fill="CFF0FC"/>
          </w:tcPr>
          <w:p>
            <w:pPr>
              <w:spacing w:after="0"/>
              <w:rPr>
                <w:sz w:val="16"/>
                <w:szCs w:val="16"/>
                <w:color w:val="auto"/>
              </w:rPr>
            </w:pPr>
          </w:p>
        </w:tc>
        <w:tc>
          <w:tcPr>
            <w:tcW w:w="11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5"/>
                <w:szCs w:val="15"/>
                <w:color w:val="auto"/>
              </w:rPr>
              <w:t>(33,718 )</w:t>
            </w:r>
          </w:p>
        </w:tc>
        <w:tc>
          <w:tcPr>
            <w:tcW w:w="18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2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5"/>
                <w:szCs w:val="15"/>
                <w:color w:val="auto"/>
              </w:rPr>
              <w:t>(37,426 )</w:t>
            </w:r>
          </w:p>
        </w:tc>
        <w:tc>
          <w:tcPr>
            <w:tcW w:w="320" w:type="dxa"/>
            <w:vAlign w:val="bottom"/>
            <w:shd w:val="clear" w:color="auto" w:fill="CFF0FC"/>
          </w:tcPr>
          <w:p>
            <w:pPr>
              <w:spacing w:after="0"/>
              <w:rPr>
                <w:sz w:val="16"/>
                <w:szCs w:val="16"/>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5"/>
                <w:szCs w:val="15"/>
                <w:color w:val="auto"/>
              </w:rPr>
              <w:t>(28,726 )</w:t>
            </w:r>
          </w:p>
        </w:tc>
      </w:tr>
      <w:tr>
        <w:trPr>
          <w:trHeight w:val="189"/>
        </w:trPr>
        <w:tc>
          <w:tcPr>
            <w:tcW w:w="664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Capitalization of software development costs</w:t>
            </w:r>
          </w:p>
        </w:tc>
        <w:tc>
          <w:tcPr>
            <w:tcW w:w="320" w:type="dxa"/>
            <w:vAlign w:val="bottom"/>
          </w:tcPr>
          <w:p>
            <w:pPr>
              <w:spacing w:after="0"/>
              <w:rPr>
                <w:sz w:val="16"/>
                <w:szCs w:val="16"/>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(66,372 )</w:t>
            </w:r>
          </w:p>
        </w:tc>
        <w:tc>
          <w:tcPr>
            <w:tcW w:w="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(44,345 )</w:t>
            </w:r>
          </w:p>
        </w:tc>
        <w:tc>
          <w:tcPr>
            <w:tcW w:w="320" w:type="dxa"/>
            <w:vAlign w:val="bottom"/>
          </w:tcPr>
          <w:p>
            <w:pPr>
              <w:spacing w:after="0"/>
              <w:rPr>
                <w:sz w:val="16"/>
                <w:szCs w:val="16"/>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(33,139 )</w:t>
            </w:r>
          </w:p>
        </w:tc>
      </w:tr>
      <w:tr>
        <w:trPr>
          <w:trHeight w:val="189"/>
        </w:trPr>
        <w:tc>
          <w:tcPr>
            <w:tcW w:w="6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5"/>
                <w:szCs w:val="15"/>
                <w:color w:val="auto"/>
              </w:rPr>
              <w:t>Purchases of intangible assets</w:t>
            </w:r>
          </w:p>
        </w:tc>
        <w:tc>
          <w:tcPr>
            <w:tcW w:w="320" w:type="dxa"/>
            <w:vAlign w:val="bottom"/>
            <w:shd w:val="clear" w:color="auto" w:fill="CFF0FC"/>
          </w:tcPr>
          <w:p>
            <w:pPr>
              <w:spacing w:after="0"/>
              <w:rPr>
                <w:sz w:val="16"/>
                <w:szCs w:val="16"/>
                <w:color w:val="auto"/>
              </w:rPr>
            </w:pPr>
          </w:p>
        </w:tc>
        <w:tc>
          <w:tcPr>
            <w:tcW w:w="11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5"/>
                <w:szCs w:val="15"/>
                <w:color w:val="auto"/>
              </w:rPr>
              <w:t>(164 )</w:t>
            </w:r>
          </w:p>
        </w:tc>
        <w:tc>
          <w:tcPr>
            <w:tcW w:w="18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2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5"/>
                <w:szCs w:val="15"/>
                <w:color w:val="auto"/>
              </w:rPr>
              <w:t>(10,000 )</w:t>
            </w:r>
          </w:p>
        </w:tc>
        <w:tc>
          <w:tcPr>
            <w:tcW w:w="320" w:type="dxa"/>
            <w:vAlign w:val="bottom"/>
            <w:shd w:val="clear" w:color="auto" w:fill="CFF0FC"/>
          </w:tcPr>
          <w:p>
            <w:pPr>
              <w:spacing w:after="0"/>
              <w:rPr>
                <w:sz w:val="16"/>
                <w:szCs w:val="16"/>
                <w:color w:val="auto"/>
              </w:rPr>
            </w:pPr>
          </w:p>
        </w:tc>
        <w:tc>
          <w:tcPr>
            <w:tcW w:w="11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r>
      <w:tr>
        <w:trPr>
          <w:trHeight w:val="189"/>
        </w:trPr>
        <w:tc>
          <w:tcPr>
            <w:tcW w:w="664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Acquisition of a business, net of cash acquired</w:t>
            </w:r>
          </w:p>
        </w:tc>
        <w:tc>
          <w:tcPr>
            <w:tcW w:w="320" w:type="dxa"/>
            <w:vAlign w:val="bottom"/>
          </w:tcPr>
          <w:p>
            <w:pPr>
              <w:spacing w:after="0"/>
              <w:rPr>
                <w:sz w:val="16"/>
                <w:szCs w:val="16"/>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(142,129 )</w:t>
            </w:r>
          </w:p>
        </w:tc>
        <w:tc>
          <w:tcPr>
            <w:tcW w:w="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320" w:type="dxa"/>
            <w:vAlign w:val="bottom"/>
          </w:tcPr>
          <w:p>
            <w:pPr>
              <w:spacing w:after="0"/>
              <w:rPr>
                <w:sz w:val="16"/>
                <w:szCs w:val="16"/>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(16,810 )</w:t>
            </w:r>
          </w:p>
        </w:tc>
      </w:tr>
      <w:tr>
        <w:trPr>
          <w:trHeight w:val="189"/>
        </w:trPr>
        <w:tc>
          <w:tcPr>
            <w:tcW w:w="6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5"/>
                <w:szCs w:val="15"/>
                <w:color w:val="auto"/>
              </w:rPr>
              <w:t>Proceeds from sale of strategic investments</w:t>
            </w:r>
          </w:p>
        </w:tc>
        <w:tc>
          <w:tcPr>
            <w:tcW w:w="320" w:type="dxa"/>
            <w:vAlign w:val="bottom"/>
            <w:shd w:val="clear" w:color="auto" w:fill="CFF0FC"/>
          </w:tcPr>
          <w:p>
            <w:pPr>
              <w:spacing w:after="0"/>
              <w:rPr>
                <w:sz w:val="16"/>
                <w:szCs w:val="16"/>
                <w:color w:val="auto"/>
              </w:rPr>
            </w:pPr>
          </w:p>
        </w:tc>
        <w:tc>
          <w:tcPr>
            <w:tcW w:w="11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2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320" w:type="dxa"/>
            <w:vAlign w:val="bottom"/>
            <w:shd w:val="clear" w:color="auto" w:fill="CFF0FC"/>
          </w:tcPr>
          <w:p>
            <w:pPr>
              <w:spacing w:after="0"/>
              <w:rPr>
                <w:sz w:val="16"/>
                <w:szCs w:val="16"/>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12,620</w:t>
            </w:r>
          </w:p>
        </w:tc>
        <w:tc>
          <w:tcPr>
            <w:tcW w:w="100" w:type="dxa"/>
            <w:vAlign w:val="bottom"/>
            <w:shd w:val="clear" w:color="auto" w:fill="CFF0FC"/>
          </w:tcPr>
          <w:p>
            <w:pPr>
              <w:spacing w:after="0"/>
              <w:rPr>
                <w:sz w:val="16"/>
                <w:szCs w:val="16"/>
                <w:color w:val="auto"/>
              </w:rPr>
            </w:pPr>
          </w:p>
        </w:tc>
      </w:tr>
      <w:tr>
        <w:trPr>
          <w:trHeight w:val="189"/>
        </w:trPr>
        <w:tc>
          <w:tcPr>
            <w:tcW w:w="664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Payments for equity method investments</w:t>
            </w:r>
          </w:p>
        </w:tc>
        <w:tc>
          <w:tcPr>
            <w:tcW w:w="320" w:type="dxa"/>
            <w:vAlign w:val="bottom"/>
          </w:tcPr>
          <w:p>
            <w:pPr>
              <w:spacing w:after="0"/>
              <w:rPr>
                <w:sz w:val="16"/>
                <w:szCs w:val="16"/>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(2,025 )</w:t>
            </w:r>
          </w:p>
        </w:tc>
        <w:tc>
          <w:tcPr>
            <w:tcW w:w="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(3,150 )</w:t>
            </w:r>
          </w:p>
        </w:tc>
        <w:tc>
          <w:tcPr>
            <w:tcW w:w="320" w:type="dxa"/>
            <w:vAlign w:val="bottom"/>
          </w:tcPr>
          <w:p>
            <w:pPr>
              <w:spacing w:after="0"/>
              <w:rPr>
                <w:sz w:val="16"/>
                <w:szCs w:val="16"/>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(3,100 )</w:t>
            </w:r>
          </w:p>
        </w:tc>
      </w:tr>
      <w:tr>
        <w:trPr>
          <w:trHeight w:val="189"/>
        </w:trPr>
        <w:tc>
          <w:tcPr>
            <w:tcW w:w="6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5"/>
                <w:szCs w:val="15"/>
                <w:color w:val="auto"/>
              </w:rPr>
              <w:t>Purchase of strategic investments</w:t>
            </w:r>
          </w:p>
        </w:tc>
        <w:tc>
          <w:tcPr>
            <w:tcW w:w="320" w:type="dxa"/>
            <w:vAlign w:val="bottom"/>
            <w:shd w:val="clear" w:color="auto" w:fill="CFF0FC"/>
          </w:tcPr>
          <w:p>
            <w:pPr>
              <w:spacing w:after="0"/>
              <w:rPr>
                <w:sz w:val="16"/>
                <w:szCs w:val="16"/>
                <w:color w:val="auto"/>
              </w:rPr>
            </w:pPr>
          </w:p>
        </w:tc>
        <w:tc>
          <w:tcPr>
            <w:tcW w:w="11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5"/>
                <w:szCs w:val="15"/>
                <w:color w:val="auto"/>
              </w:rPr>
              <w:t>(12,388 )</w:t>
            </w:r>
          </w:p>
        </w:tc>
        <w:tc>
          <w:tcPr>
            <w:tcW w:w="18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2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5"/>
                <w:szCs w:val="15"/>
                <w:color w:val="auto"/>
              </w:rPr>
              <w:t>(26,371 )</w:t>
            </w:r>
          </w:p>
        </w:tc>
        <w:tc>
          <w:tcPr>
            <w:tcW w:w="320" w:type="dxa"/>
            <w:vAlign w:val="bottom"/>
            <w:shd w:val="clear" w:color="auto" w:fill="CFF0FC"/>
          </w:tcPr>
          <w:p>
            <w:pPr>
              <w:spacing w:after="0"/>
              <w:rPr>
                <w:sz w:val="16"/>
                <w:szCs w:val="16"/>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5"/>
                <w:szCs w:val="15"/>
                <w:color w:val="auto"/>
              </w:rPr>
              <w:t>(13,089 )</w:t>
            </w:r>
          </w:p>
        </w:tc>
      </w:tr>
      <w:tr>
        <w:trPr>
          <w:trHeight w:val="20"/>
        </w:trPr>
        <w:tc>
          <w:tcPr>
            <w:tcW w:w="664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83"/>
        </w:trPr>
        <w:tc>
          <w:tcPr>
            <w:tcW w:w="6640" w:type="dxa"/>
            <w:vAlign w:val="bottom"/>
          </w:tcPr>
          <w:p>
            <w:pPr>
              <w:ind w:left="740"/>
              <w:spacing w:after="0"/>
              <w:rPr>
                <w:sz w:val="20"/>
                <w:szCs w:val="20"/>
                <w:color w:val="auto"/>
              </w:rPr>
            </w:pPr>
            <w:r>
              <w:rPr>
                <w:rFonts w:ascii="Times New Roman" w:cs="Times New Roman" w:eastAsia="Times New Roman" w:hAnsi="Times New Roman"/>
                <w:sz w:val="15"/>
                <w:szCs w:val="15"/>
                <w:color w:val="auto"/>
              </w:rPr>
              <w:t>Net cash and cash equivalents used in investing activities</w:t>
            </w:r>
          </w:p>
        </w:tc>
        <w:tc>
          <w:tcPr>
            <w:tcW w:w="320" w:type="dxa"/>
            <w:vAlign w:val="bottom"/>
          </w:tcPr>
          <w:p>
            <w:pPr>
              <w:spacing w:after="0"/>
              <w:rPr>
                <w:sz w:val="15"/>
                <w:szCs w:val="15"/>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(334,766 )</w:t>
            </w: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(319,658 )</w:t>
            </w:r>
          </w:p>
        </w:tc>
        <w:tc>
          <w:tcPr>
            <w:tcW w:w="320" w:type="dxa"/>
            <w:vAlign w:val="bottom"/>
          </w:tcPr>
          <w:p>
            <w:pPr>
              <w:spacing w:after="0"/>
              <w:rPr>
                <w:sz w:val="15"/>
                <w:szCs w:val="15"/>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(179,508 )</w:t>
            </w:r>
          </w:p>
        </w:tc>
      </w:tr>
      <w:tr>
        <w:trPr>
          <w:trHeight w:val="183"/>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5"/>
                <w:szCs w:val="15"/>
                <w:b w:val="1"/>
                <w:bCs w:val="1"/>
                <w:color w:val="auto"/>
              </w:rPr>
              <w:t>Financing Activities:</w:t>
            </w:r>
          </w:p>
        </w:tc>
        <w:tc>
          <w:tcPr>
            <w:tcW w:w="320" w:type="dxa"/>
            <w:vAlign w:val="bottom"/>
            <w:tcBorders>
              <w:top w:val="single" w:sz="8" w:color="auto"/>
            </w:tcBorders>
            <w:shd w:val="clear" w:color="auto" w:fill="CFF0FC"/>
          </w:tcPr>
          <w:p>
            <w:pPr>
              <w:spacing w:after="0"/>
              <w:rPr>
                <w:sz w:val="15"/>
                <w:szCs w:val="15"/>
                <w:color w:val="auto"/>
              </w:rPr>
            </w:pPr>
          </w:p>
        </w:tc>
        <w:tc>
          <w:tcPr>
            <w:tcW w:w="1040" w:type="dxa"/>
            <w:vAlign w:val="bottom"/>
            <w:tcBorders>
              <w:top w:val="single" w:sz="8" w:color="auto"/>
            </w:tcBorders>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300" w:type="dxa"/>
            <w:vAlign w:val="bottom"/>
            <w:tcBorders>
              <w:top w:val="single" w:sz="8" w:color="auto"/>
            </w:tcBorders>
            <w:shd w:val="clear" w:color="auto" w:fill="CFF0FC"/>
          </w:tcPr>
          <w:p>
            <w:pPr>
              <w:spacing w:after="0"/>
              <w:rPr>
                <w:sz w:val="15"/>
                <w:szCs w:val="15"/>
                <w:color w:val="auto"/>
              </w:rPr>
            </w:pPr>
          </w:p>
        </w:tc>
        <w:tc>
          <w:tcPr>
            <w:tcW w:w="1020" w:type="dxa"/>
            <w:vAlign w:val="bottom"/>
            <w:tcBorders>
              <w:top w:val="single" w:sz="8" w:color="auto"/>
            </w:tcBorders>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320" w:type="dxa"/>
            <w:vAlign w:val="bottom"/>
            <w:tcBorders>
              <w:top w:val="single" w:sz="8" w:color="auto"/>
            </w:tcBorders>
            <w:shd w:val="clear" w:color="auto" w:fill="CFF0FC"/>
          </w:tcPr>
          <w:p>
            <w:pPr>
              <w:spacing w:after="0"/>
              <w:rPr>
                <w:sz w:val="15"/>
                <w:szCs w:val="15"/>
                <w:color w:val="auto"/>
              </w:rPr>
            </w:pPr>
          </w:p>
        </w:tc>
        <w:tc>
          <w:tcPr>
            <w:tcW w:w="1020" w:type="dxa"/>
            <w:vAlign w:val="bottom"/>
            <w:tcBorders>
              <w:top w:val="single" w:sz="8" w:color="auto"/>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89"/>
        </w:trPr>
        <w:tc>
          <w:tcPr>
            <w:tcW w:w="664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Proceeds from settlement of Convertible Note Hedges related to the 2022 Convertible Notes</w:t>
            </w:r>
          </w:p>
        </w:tc>
        <w:tc>
          <w:tcPr>
            <w:tcW w:w="320" w:type="dxa"/>
            <w:vAlign w:val="bottom"/>
          </w:tcPr>
          <w:p>
            <w:pPr>
              <w:spacing w:after="0"/>
              <w:rPr>
                <w:sz w:val="16"/>
                <w:szCs w:val="16"/>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60,483</w:t>
            </w: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8,985</w:t>
            </w:r>
          </w:p>
        </w:tc>
        <w:tc>
          <w:tcPr>
            <w:tcW w:w="100" w:type="dxa"/>
            <w:vAlign w:val="bottom"/>
          </w:tcPr>
          <w:p>
            <w:pPr>
              <w:spacing w:after="0"/>
              <w:rPr>
                <w:sz w:val="16"/>
                <w:szCs w:val="16"/>
                <w:color w:val="auto"/>
              </w:rPr>
            </w:pPr>
          </w:p>
        </w:tc>
      </w:tr>
      <w:tr>
        <w:trPr>
          <w:trHeight w:val="189"/>
        </w:trPr>
        <w:tc>
          <w:tcPr>
            <w:tcW w:w="6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5"/>
                <w:szCs w:val="15"/>
                <w:color w:val="auto"/>
              </w:rPr>
              <w:t>Payments for settlement of Warrants related to the 2022 Convertible Notes</w:t>
            </w:r>
          </w:p>
        </w:tc>
        <w:tc>
          <w:tcPr>
            <w:tcW w:w="320" w:type="dxa"/>
            <w:vAlign w:val="bottom"/>
            <w:shd w:val="clear" w:color="auto" w:fill="CFF0FC"/>
          </w:tcPr>
          <w:p>
            <w:pPr>
              <w:spacing w:after="0"/>
              <w:rPr>
                <w:sz w:val="16"/>
                <w:szCs w:val="16"/>
                <w:color w:val="auto"/>
              </w:rPr>
            </w:pPr>
          </w:p>
        </w:tc>
        <w:tc>
          <w:tcPr>
            <w:tcW w:w="11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2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5"/>
                <w:szCs w:val="15"/>
                <w:color w:val="auto"/>
              </w:rPr>
              <w:t>(34 )</w:t>
            </w:r>
          </w:p>
        </w:tc>
        <w:tc>
          <w:tcPr>
            <w:tcW w:w="320" w:type="dxa"/>
            <w:vAlign w:val="bottom"/>
            <w:shd w:val="clear" w:color="auto" w:fill="CFF0FC"/>
          </w:tcPr>
          <w:p>
            <w:pPr>
              <w:spacing w:after="0"/>
              <w:rPr>
                <w:sz w:val="16"/>
                <w:szCs w:val="16"/>
                <w:color w:val="auto"/>
              </w:rPr>
            </w:pPr>
          </w:p>
        </w:tc>
        <w:tc>
          <w:tcPr>
            <w:tcW w:w="11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r>
      <w:tr>
        <w:trPr>
          <w:trHeight w:val="189"/>
        </w:trPr>
        <w:tc>
          <w:tcPr>
            <w:tcW w:w="664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Payment for settlement of 2022 Convertible Notes</w:t>
            </w:r>
          </w:p>
        </w:tc>
        <w:tc>
          <w:tcPr>
            <w:tcW w:w="320" w:type="dxa"/>
            <w:vAlign w:val="bottom"/>
          </w:tcPr>
          <w:p>
            <w:pPr>
              <w:spacing w:after="0"/>
              <w:rPr>
                <w:sz w:val="16"/>
                <w:szCs w:val="16"/>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(79,807 )</w:t>
            </w:r>
          </w:p>
        </w:tc>
        <w:tc>
          <w:tcPr>
            <w:tcW w:w="320" w:type="dxa"/>
            <w:vAlign w:val="bottom"/>
          </w:tcPr>
          <w:p>
            <w:pPr>
              <w:spacing w:after="0"/>
              <w:rPr>
                <w:sz w:val="16"/>
                <w:szCs w:val="16"/>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(89,525 )</w:t>
            </w:r>
          </w:p>
        </w:tc>
      </w:tr>
      <w:tr>
        <w:trPr>
          <w:trHeight w:val="189"/>
        </w:trPr>
        <w:tc>
          <w:tcPr>
            <w:tcW w:w="6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5"/>
                <w:szCs w:val="15"/>
                <w:color w:val="auto"/>
              </w:rPr>
              <w:t>Repayment of 2025 Convertible Notes attributable to the principal</w:t>
            </w:r>
          </w:p>
        </w:tc>
        <w:tc>
          <w:tcPr>
            <w:tcW w:w="320" w:type="dxa"/>
            <w:vAlign w:val="bottom"/>
            <w:shd w:val="clear" w:color="auto" w:fill="CFF0FC"/>
          </w:tcPr>
          <w:p>
            <w:pPr>
              <w:spacing w:after="0"/>
              <w:rPr>
                <w:sz w:val="16"/>
                <w:szCs w:val="16"/>
                <w:color w:val="auto"/>
              </w:rPr>
            </w:pPr>
          </w:p>
        </w:tc>
        <w:tc>
          <w:tcPr>
            <w:tcW w:w="11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5"/>
                <w:szCs w:val="15"/>
                <w:color w:val="auto"/>
              </w:rPr>
              <w:t>(13 )</w:t>
            </w:r>
          </w:p>
        </w:tc>
        <w:tc>
          <w:tcPr>
            <w:tcW w:w="18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2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5"/>
                <w:szCs w:val="15"/>
                <w:color w:val="auto"/>
              </w:rPr>
              <w:t>(1,619 )</w:t>
            </w:r>
          </w:p>
        </w:tc>
        <w:tc>
          <w:tcPr>
            <w:tcW w:w="320" w:type="dxa"/>
            <w:vAlign w:val="bottom"/>
            <w:shd w:val="clear" w:color="auto" w:fill="CFF0FC"/>
          </w:tcPr>
          <w:p>
            <w:pPr>
              <w:spacing w:after="0"/>
              <w:rPr>
                <w:sz w:val="16"/>
                <w:szCs w:val="16"/>
                <w:color w:val="auto"/>
              </w:rPr>
            </w:pPr>
          </w:p>
        </w:tc>
        <w:tc>
          <w:tcPr>
            <w:tcW w:w="11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r>
      <w:tr>
        <w:trPr>
          <w:trHeight w:val="189"/>
        </w:trPr>
        <w:tc>
          <w:tcPr>
            <w:tcW w:w="664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Employee taxes paid related to the net share settlement of stock-based awards</w:t>
            </w:r>
          </w:p>
        </w:tc>
        <w:tc>
          <w:tcPr>
            <w:tcW w:w="320" w:type="dxa"/>
            <w:vAlign w:val="bottom"/>
          </w:tcPr>
          <w:p>
            <w:pPr>
              <w:spacing w:after="0"/>
              <w:rPr>
                <w:sz w:val="16"/>
                <w:szCs w:val="16"/>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(10,714 )</w:t>
            </w:r>
          </w:p>
        </w:tc>
        <w:tc>
          <w:tcPr>
            <w:tcW w:w="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(11,526 )</w:t>
            </w:r>
          </w:p>
        </w:tc>
        <w:tc>
          <w:tcPr>
            <w:tcW w:w="320" w:type="dxa"/>
            <w:vAlign w:val="bottom"/>
          </w:tcPr>
          <w:p>
            <w:pPr>
              <w:spacing w:after="0"/>
              <w:rPr>
                <w:sz w:val="16"/>
                <w:szCs w:val="16"/>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(17,439 )</w:t>
            </w:r>
          </w:p>
        </w:tc>
      </w:tr>
      <w:tr>
        <w:trPr>
          <w:trHeight w:val="189"/>
        </w:trPr>
        <w:tc>
          <w:tcPr>
            <w:tcW w:w="66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5"/>
                <w:szCs w:val="15"/>
                <w:color w:val="auto"/>
              </w:rPr>
              <w:t>Proceeds related to the issuance of common stock under stock plans</w:t>
            </w:r>
          </w:p>
        </w:tc>
        <w:tc>
          <w:tcPr>
            <w:tcW w:w="320" w:type="dxa"/>
            <w:vAlign w:val="bottom"/>
            <w:tcBorders>
              <w:bottom w:val="single" w:sz="8" w:color="auto"/>
            </w:tcBorders>
            <w:shd w:val="clear" w:color="auto" w:fill="CFF0FC"/>
          </w:tcPr>
          <w:p>
            <w:pPr>
              <w:spacing w:after="0"/>
              <w:rPr>
                <w:sz w:val="16"/>
                <w:szCs w:val="16"/>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47,738</w:t>
            </w:r>
          </w:p>
        </w:tc>
        <w:tc>
          <w:tcPr>
            <w:tcW w:w="80" w:type="dxa"/>
            <w:vAlign w:val="bottom"/>
            <w:tcBorders>
              <w:bottom w:val="single" w:sz="8" w:color="CFF0FC"/>
            </w:tcBorders>
            <w:shd w:val="clear" w:color="auto" w:fill="CFF0FC"/>
          </w:tcPr>
          <w:p>
            <w:pPr>
              <w:spacing w:after="0"/>
              <w:rPr>
                <w:sz w:val="16"/>
                <w:szCs w:val="16"/>
                <w:color w:val="auto"/>
              </w:rPr>
            </w:pPr>
          </w:p>
        </w:tc>
        <w:tc>
          <w:tcPr>
            <w:tcW w:w="180" w:type="dxa"/>
            <w:vAlign w:val="bottom"/>
            <w:tcBorders>
              <w:bottom w:val="single" w:sz="8" w:color="CFF0FC"/>
            </w:tcBorders>
            <w:shd w:val="clear" w:color="auto" w:fill="CFF0FC"/>
          </w:tcPr>
          <w:p>
            <w:pPr>
              <w:spacing w:after="0"/>
              <w:rPr>
                <w:sz w:val="16"/>
                <w:szCs w:val="16"/>
                <w:color w:val="auto"/>
              </w:rPr>
            </w:pPr>
          </w:p>
        </w:tc>
        <w:tc>
          <w:tcPr>
            <w:tcW w:w="300" w:type="dxa"/>
            <w:vAlign w:val="bottom"/>
            <w:tcBorders>
              <w:bottom w:val="single" w:sz="8" w:color="auto"/>
            </w:tcBorders>
            <w:shd w:val="clear" w:color="auto" w:fill="CFF0FC"/>
          </w:tcPr>
          <w:p>
            <w:pPr>
              <w:spacing w:after="0"/>
              <w:rPr>
                <w:sz w:val="16"/>
                <w:szCs w:val="16"/>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39,931</w:t>
            </w:r>
          </w:p>
        </w:tc>
        <w:tc>
          <w:tcPr>
            <w:tcW w:w="220" w:type="dxa"/>
            <w:vAlign w:val="bottom"/>
            <w:tcBorders>
              <w:bottom w:val="single" w:sz="8" w:color="CFF0FC"/>
            </w:tcBorders>
            <w:shd w:val="clear" w:color="auto" w:fill="CFF0FC"/>
          </w:tcPr>
          <w:p>
            <w:pPr>
              <w:spacing w:after="0"/>
              <w:rPr>
                <w:sz w:val="16"/>
                <w:szCs w:val="16"/>
                <w:color w:val="auto"/>
              </w:rPr>
            </w:pPr>
          </w:p>
        </w:tc>
        <w:tc>
          <w:tcPr>
            <w:tcW w:w="320" w:type="dxa"/>
            <w:vAlign w:val="bottom"/>
            <w:tcBorders>
              <w:bottom w:val="single" w:sz="8" w:color="auto"/>
            </w:tcBorders>
            <w:shd w:val="clear" w:color="auto" w:fill="CFF0FC"/>
          </w:tcPr>
          <w:p>
            <w:pPr>
              <w:spacing w:after="0"/>
              <w:rPr>
                <w:sz w:val="16"/>
                <w:szCs w:val="16"/>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46,510</w:t>
            </w:r>
          </w:p>
        </w:tc>
        <w:tc>
          <w:tcPr>
            <w:tcW w:w="100" w:type="dxa"/>
            <w:vAlign w:val="bottom"/>
            <w:tcBorders>
              <w:bottom w:val="single" w:sz="8" w:color="CFF0FC"/>
            </w:tcBorders>
            <w:shd w:val="clear" w:color="auto" w:fill="CFF0FC"/>
          </w:tcPr>
          <w:p>
            <w:pPr>
              <w:spacing w:after="0"/>
              <w:rPr>
                <w:sz w:val="16"/>
                <w:szCs w:val="16"/>
                <w:color w:val="auto"/>
              </w:rPr>
            </w:pPr>
          </w:p>
        </w:tc>
      </w:tr>
      <w:tr>
        <w:trPr>
          <w:trHeight w:val="183"/>
        </w:trPr>
        <w:tc>
          <w:tcPr>
            <w:tcW w:w="6640" w:type="dxa"/>
            <w:vAlign w:val="bottom"/>
          </w:tcPr>
          <w:p>
            <w:pPr>
              <w:ind w:left="740"/>
              <w:spacing w:after="0"/>
              <w:rPr>
                <w:sz w:val="20"/>
                <w:szCs w:val="20"/>
                <w:color w:val="auto"/>
              </w:rPr>
            </w:pPr>
            <w:r>
              <w:rPr>
                <w:rFonts w:ascii="Times New Roman" w:cs="Times New Roman" w:eastAsia="Times New Roman" w:hAnsi="Times New Roman"/>
                <w:sz w:val="15"/>
                <w:szCs w:val="15"/>
                <w:color w:val="auto"/>
              </w:rPr>
              <w:t>Net cash and cash equivalents provided by (used in) financing activities</w:t>
            </w: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37,011</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7,428</w:t>
            </w:r>
          </w:p>
        </w:tc>
        <w:tc>
          <w:tcPr>
            <w:tcW w:w="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(51,469 )</w:t>
            </w:r>
          </w:p>
        </w:tc>
      </w:tr>
      <w:tr>
        <w:trPr>
          <w:trHeight w:val="20"/>
        </w:trPr>
        <w:tc>
          <w:tcPr>
            <w:tcW w:w="66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Effect on exchange rate changes on cash and cash equivalents</w:t>
            </w:r>
          </w:p>
        </w:tc>
        <w:tc>
          <w:tcPr>
            <w:tcW w:w="32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4,649</w:t>
            </w:r>
          </w:p>
        </w:tc>
        <w:tc>
          <w:tcPr>
            <w:tcW w:w="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2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5"/>
                <w:szCs w:val="15"/>
                <w:color w:val="auto"/>
              </w:rPr>
              <w:t>(6,811 )</w:t>
            </w:r>
          </w:p>
        </w:tc>
        <w:tc>
          <w:tcPr>
            <w:tcW w:w="320" w:type="dxa"/>
            <w:vAlign w:val="bottom"/>
            <w:shd w:val="clear" w:color="auto" w:fill="CFF0FC"/>
          </w:tcPr>
          <w:p>
            <w:pPr>
              <w:spacing w:after="0"/>
              <w:rPr>
                <w:sz w:val="15"/>
                <w:szCs w:val="15"/>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5"/>
                <w:szCs w:val="15"/>
                <w:color w:val="auto"/>
              </w:rPr>
              <w:t>(8,861 )</w:t>
            </w:r>
          </w:p>
        </w:tc>
      </w:tr>
      <w:tr>
        <w:trPr>
          <w:trHeight w:val="20"/>
        </w:trPr>
        <w:tc>
          <w:tcPr>
            <w:tcW w:w="664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83"/>
        </w:trPr>
        <w:tc>
          <w:tcPr>
            <w:tcW w:w="66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Net (decrease) increase in cash, cash equivalents and restricted cash</w:t>
            </w: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57,865</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(45,867 )</w:t>
            </w:r>
          </w:p>
        </w:tc>
        <w:tc>
          <w:tcPr>
            <w:tcW w:w="320" w:type="dxa"/>
            <w:vAlign w:val="bottom"/>
          </w:tcPr>
          <w:p>
            <w:pPr>
              <w:spacing w:after="0"/>
              <w:rPr>
                <w:sz w:val="15"/>
                <w:szCs w:val="15"/>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(1,110 )</w:t>
            </w:r>
          </w:p>
        </w:tc>
      </w:tr>
      <w:tr>
        <w:trPr>
          <w:trHeight w:val="189"/>
        </w:trPr>
        <w:tc>
          <w:tcPr>
            <w:tcW w:w="66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Cash, cash equivalents and restricted cash, beginning of year</w:t>
            </w:r>
          </w:p>
        </w:tc>
        <w:tc>
          <w:tcPr>
            <w:tcW w:w="320" w:type="dxa"/>
            <w:vAlign w:val="bottom"/>
            <w:tcBorders>
              <w:bottom w:val="single" w:sz="8" w:color="auto"/>
            </w:tcBorders>
            <w:shd w:val="clear" w:color="auto" w:fill="CFF0FC"/>
          </w:tcPr>
          <w:p>
            <w:pPr>
              <w:spacing w:after="0"/>
              <w:rPr>
                <w:sz w:val="16"/>
                <w:szCs w:val="16"/>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334,175</w:t>
            </w:r>
          </w:p>
        </w:tc>
        <w:tc>
          <w:tcPr>
            <w:tcW w:w="80" w:type="dxa"/>
            <w:vAlign w:val="bottom"/>
            <w:tcBorders>
              <w:bottom w:val="single" w:sz="8" w:color="CFF0FC"/>
            </w:tcBorders>
            <w:shd w:val="clear" w:color="auto" w:fill="CFF0FC"/>
          </w:tcPr>
          <w:p>
            <w:pPr>
              <w:spacing w:after="0"/>
              <w:rPr>
                <w:sz w:val="16"/>
                <w:szCs w:val="16"/>
                <w:color w:val="auto"/>
              </w:rPr>
            </w:pPr>
          </w:p>
        </w:tc>
        <w:tc>
          <w:tcPr>
            <w:tcW w:w="180" w:type="dxa"/>
            <w:vAlign w:val="bottom"/>
            <w:tcBorders>
              <w:bottom w:val="single" w:sz="8" w:color="CFF0FC"/>
            </w:tcBorders>
            <w:shd w:val="clear" w:color="auto" w:fill="CFF0FC"/>
          </w:tcPr>
          <w:p>
            <w:pPr>
              <w:spacing w:after="0"/>
              <w:rPr>
                <w:sz w:val="16"/>
                <w:szCs w:val="16"/>
                <w:color w:val="auto"/>
              </w:rPr>
            </w:pPr>
          </w:p>
        </w:tc>
        <w:tc>
          <w:tcPr>
            <w:tcW w:w="300" w:type="dxa"/>
            <w:vAlign w:val="bottom"/>
            <w:tcBorders>
              <w:bottom w:val="single" w:sz="8" w:color="auto"/>
            </w:tcBorders>
            <w:shd w:val="clear" w:color="auto" w:fill="CFF0FC"/>
          </w:tcPr>
          <w:p>
            <w:pPr>
              <w:spacing w:after="0"/>
              <w:rPr>
                <w:sz w:val="16"/>
                <w:szCs w:val="16"/>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380,042</w:t>
            </w:r>
          </w:p>
        </w:tc>
        <w:tc>
          <w:tcPr>
            <w:tcW w:w="220" w:type="dxa"/>
            <w:vAlign w:val="bottom"/>
            <w:tcBorders>
              <w:bottom w:val="single" w:sz="8" w:color="CFF0FC"/>
            </w:tcBorders>
            <w:shd w:val="clear" w:color="auto" w:fill="CFF0FC"/>
          </w:tcPr>
          <w:p>
            <w:pPr>
              <w:spacing w:after="0"/>
              <w:rPr>
                <w:sz w:val="16"/>
                <w:szCs w:val="16"/>
                <w:color w:val="auto"/>
              </w:rPr>
            </w:pPr>
          </w:p>
        </w:tc>
        <w:tc>
          <w:tcPr>
            <w:tcW w:w="320" w:type="dxa"/>
            <w:vAlign w:val="bottom"/>
            <w:tcBorders>
              <w:bottom w:val="single" w:sz="8" w:color="auto"/>
            </w:tcBorders>
            <w:shd w:val="clear" w:color="auto" w:fill="CFF0FC"/>
          </w:tcPr>
          <w:p>
            <w:pPr>
              <w:spacing w:after="0"/>
              <w:rPr>
                <w:sz w:val="16"/>
                <w:szCs w:val="16"/>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381,152</w:t>
            </w:r>
          </w:p>
        </w:tc>
        <w:tc>
          <w:tcPr>
            <w:tcW w:w="100" w:type="dxa"/>
            <w:vAlign w:val="bottom"/>
            <w:tcBorders>
              <w:bottom w:val="single" w:sz="8" w:color="CFF0FC"/>
            </w:tcBorders>
            <w:shd w:val="clear" w:color="auto" w:fill="CFF0FC"/>
          </w:tcPr>
          <w:p>
            <w:pPr>
              <w:spacing w:after="0"/>
              <w:rPr>
                <w:sz w:val="16"/>
                <w:szCs w:val="16"/>
                <w:color w:val="auto"/>
              </w:rPr>
            </w:pPr>
          </w:p>
        </w:tc>
      </w:tr>
      <w:tr>
        <w:trPr>
          <w:trHeight w:val="183"/>
        </w:trPr>
        <w:tc>
          <w:tcPr>
            <w:tcW w:w="6640" w:type="dxa"/>
            <w:vAlign w:val="bottom"/>
          </w:tcPr>
          <w:p>
            <w:pPr>
              <w:ind w:left="20"/>
              <w:spacing w:after="0" w:line="169" w:lineRule="exact"/>
              <w:rPr>
                <w:sz w:val="20"/>
                <w:szCs w:val="20"/>
                <w:color w:val="auto"/>
              </w:rPr>
            </w:pPr>
            <w:r>
              <w:rPr>
                <w:rFonts w:ascii="Times New Roman" w:cs="Times New Roman" w:eastAsia="Times New Roman" w:hAnsi="Times New Roman"/>
                <w:sz w:val="15"/>
                <w:szCs w:val="15"/>
                <w:color w:val="auto"/>
              </w:rPr>
              <w:t>Cash, cash equivalents and restricted cash, end of year</w:t>
            </w:r>
          </w:p>
        </w:tc>
        <w:tc>
          <w:tcPr>
            <w:tcW w:w="320" w:type="dxa"/>
            <w:vAlign w:val="bottom"/>
          </w:tcPr>
          <w:p>
            <w:pPr>
              <w:spacing w:after="0"/>
              <w:rPr>
                <w:sz w:val="15"/>
                <w:szCs w:val="15"/>
                <w:color w:val="auto"/>
              </w:rPr>
            </w:pPr>
          </w:p>
        </w:tc>
        <w:tc>
          <w:tcPr>
            <w:tcW w:w="1040" w:type="dxa"/>
            <w:vAlign w:val="bottom"/>
          </w:tcPr>
          <w:p>
            <w:pPr>
              <w:jc w:val="right"/>
              <w:spacing w:after="0" w:line="169" w:lineRule="exact"/>
              <w:rPr>
                <w:sz w:val="20"/>
                <w:szCs w:val="20"/>
                <w:color w:val="auto"/>
              </w:rPr>
            </w:pPr>
            <w:r>
              <w:rPr>
                <w:rFonts w:ascii="Times New Roman" w:cs="Times New Roman" w:eastAsia="Times New Roman" w:hAnsi="Times New Roman"/>
                <w:sz w:val="15"/>
                <w:szCs w:val="15"/>
                <w:color w:val="auto"/>
              </w:rPr>
              <w:t>392,040</w:t>
            </w:r>
          </w:p>
        </w:tc>
        <w:tc>
          <w:tcPr>
            <w:tcW w:w="80" w:type="dxa"/>
            <w:vAlign w:val="bottom"/>
          </w:tcPr>
          <w:p>
            <w:pPr>
              <w:spacing w:after="0"/>
              <w:rPr>
                <w:sz w:val="15"/>
                <w:szCs w:val="15"/>
                <w:color w:val="auto"/>
              </w:rPr>
            </w:pPr>
          </w:p>
        </w:tc>
        <w:tc>
          <w:tcPr>
            <w:tcW w:w="480" w:type="dxa"/>
            <w:vAlign w:val="bottom"/>
            <w:gridSpan w:val="2"/>
          </w:tcPr>
          <w:p>
            <w:pPr>
              <w:jc w:val="right"/>
              <w:ind w:right="220"/>
              <w:spacing w:after="0" w:line="169" w:lineRule="exact"/>
              <w:rPr>
                <w:sz w:val="20"/>
                <w:szCs w:val="20"/>
                <w:color w:val="auto"/>
              </w:rPr>
            </w:pPr>
            <w:r>
              <w:rPr>
                <w:rFonts w:ascii="Times New Roman" w:cs="Times New Roman" w:eastAsia="Times New Roman" w:hAnsi="Times New Roman"/>
                <w:sz w:val="15"/>
                <w:szCs w:val="15"/>
                <w:color w:val="auto"/>
              </w:rPr>
              <w:t>$</w:t>
            </w:r>
          </w:p>
        </w:tc>
        <w:tc>
          <w:tcPr>
            <w:tcW w:w="1020" w:type="dxa"/>
            <w:vAlign w:val="bottom"/>
          </w:tcPr>
          <w:p>
            <w:pPr>
              <w:jc w:val="right"/>
              <w:spacing w:after="0" w:line="169" w:lineRule="exact"/>
              <w:rPr>
                <w:sz w:val="20"/>
                <w:szCs w:val="20"/>
                <w:color w:val="auto"/>
              </w:rPr>
            </w:pPr>
            <w:r>
              <w:rPr>
                <w:rFonts w:ascii="Times New Roman" w:cs="Times New Roman" w:eastAsia="Times New Roman" w:hAnsi="Times New Roman"/>
                <w:sz w:val="15"/>
                <w:szCs w:val="15"/>
                <w:color w:val="auto"/>
              </w:rPr>
              <w:t>334,175</w:t>
            </w:r>
          </w:p>
        </w:tc>
        <w:tc>
          <w:tcPr>
            <w:tcW w:w="220" w:type="dxa"/>
            <w:vAlign w:val="bottom"/>
          </w:tcPr>
          <w:p>
            <w:pPr>
              <w:spacing w:after="0"/>
              <w:rPr>
                <w:sz w:val="15"/>
                <w:szCs w:val="15"/>
                <w:color w:val="auto"/>
              </w:rPr>
            </w:pPr>
          </w:p>
        </w:tc>
        <w:tc>
          <w:tcPr>
            <w:tcW w:w="320" w:type="dxa"/>
            <w:vAlign w:val="bottom"/>
          </w:tcPr>
          <w:p>
            <w:pPr>
              <w:jc w:val="right"/>
              <w:ind w:right="144"/>
              <w:spacing w:after="0" w:line="169" w:lineRule="exact"/>
              <w:rPr>
                <w:sz w:val="20"/>
                <w:szCs w:val="20"/>
                <w:color w:val="auto"/>
              </w:rPr>
            </w:pPr>
            <w:r>
              <w:rPr>
                <w:rFonts w:ascii="Times New Roman" w:cs="Times New Roman" w:eastAsia="Times New Roman" w:hAnsi="Times New Roman"/>
                <w:sz w:val="15"/>
                <w:szCs w:val="15"/>
                <w:color w:val="auto"/>
              </w:rPr>
              <w:t>$</w:t>
            </w:r>
          </w:p>
        </w:tc>
        <w:tc>
          <w:tcPr>
            <w:tcW w:w="1020" w:type="dxa"/>
            <w:vAlign w:val="bottom"/>
          </w:tcPr>
          <w:p>
            <w:pPr>
              <w:jc w:val="right"/>
              <w:spacing w:after="0" w:line="169" w:lineRule="exact"/>
              <w:rPr>
                <w:sz w:val="20"/>
                <w:szCs w:val="20"/>
                <w:color w:val="auto"/>
              </w:rPr>
            </w:pPr>
            <w:r>
              <w:rPr>
                <w:rFonts w:ascii="Times New Roman" w:cs="Times New Roman" w:eastAsia="Times New Roman" w:hAnsi="Times New Roman"/>
                <w:sz w:val="15"/>
                <w:szCs w:val="15"/>
                <w:color w:val="auto"/>
              </w:rPr>
              <w:t>380,042</w:t>
            </w:r>
          </w:p>
        </w:tc>
        <w:tc>
          <w:tcPr>
            <w:tcW w:w="100" w:type="dxa"/>
            <w:vAlign w:val="bottom"/>
          </w:tcPr>
          <w:p>
            <w:pPr>
              <w:spacing w:after="0"/>
              <w:rPr>
                <w:sz w:val="15"/>
                <w:szCs w:val="15"/>
                <w:color w:val="auto"/>
              </w:rPr>
            </w:pPr>
          </w:p>
        </w:tc>
      </w:tr>
      <w:tr>
        <w:trPr>
          <w:trHeight w:val="20"/>
        </w:trPr>
        <w:tc>
          <w:tcPr>
            <w:tcW w:w="66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69"/>
        </w:trPr>
        <w:tc>
          <w:tcPr>
            <w:tcW w:w="6640" w:type="dxa"/>
            <w:vAlign w:val="bottom"/>
            <w:shd w:val="clear" w:color="auto" w:fill="CFF0FC"/>
          </w:tcPr>
          <w:p>
            <w:pPr>
              <w:ind w:left="20"/>
              <w:spacing w:after="0" w:line="169" w:lineRule="exact"/>
              <w:rPr>
                <w:sz w:val="20"/>
                <w:szCs w:val="20"/>
                <w:color w:val="auto"/>
              </w:rPr>
            </w:pPr>
            <w:r>
              <w:rPr>
                <w:rFonts w:ascii="Times New Roman" w:cs="Times New Roman" w:eastAsia="Times New Roman" w:hAnsi="Times New Roman"/>
                <w:sz w:val="15"/>
                <w:szCs w:val="15"/>
                <w:b w:val="1"/>
                <w:bCs w:val="1"/>
                <w:color w:val="auto"/>
              </w:rPr>
              <w:t>Supplemental cash flow disclosure:</w:t>
            </w:r>
          </w:p>
        </w:tc>
        <w:tc>
          <w:tcPr>
            <w:tcW w:w="32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89"/>
        </w:trPr>
        <w:tc>
          <w:tcPr>
            <w:tcW w:w="664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Cash paid for interest</w:t>
            </w:r>
          </w:p>
        </w:tc>
        <w:tc>
          <w:tcPr>
            <w:tcW w:w="320" w:type="dxa"/>
            <w:vAlign w:val="bottom"/>
          </w:tcPr>
          <w:p>
            <w:pPr>
              <w:jc w:val="right"/>
              <w:ind w:right="144"/>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1,722</w:t>
            </w:r>
          </w:p>
        </w:tc>
        <w:tc>
          <w:tcPr>
            <w:tcW w:w="80" w:type="dxa"/>
            <w:vAlign w:val="bottom"/>
          </w:tcPr>
          <w:p>
            <w:pPr>
              <w:spacing w:after="0"/>
              <w:rPr>
                <w:sz w:val="16"/>
                <w:szCs w:val="16"/>
                <w:color w:val="auto"/>
              </w:rPr>
            </w:pPr>
          </w:p>
        </w:tc>
        <w:tc>
          <w:tcPr>
            <w:tcW w:w="48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1,746</w:t>
            </w:r>
          </w:p>
        </w:tc>
        <w:tc>
          <w:tcPr>
            <w:tcW w:w="220" w:type="dxa"/>
            <w:vAlign w:val="bottom"/>
          </w:tcPr>
          <w:p>
            <w:pPr>
              <w:spacing w:after="0"/>
              <w:rPr>
                <w:sz w:val="16"/>
                <w:szCs w:val="16"/>
                <w:color w:val="auto"/>
              </w:rPr>
            </w:pPr>
          </w:p>
        </w:tc>
        <w:tc>
          <w:tcPr>
            <w:tcW w:w="320" w:type="dxa"/>
            <w:vAlign w:val="bottom"/>
          </w:tcPr>
          <w:p>
            <w:pPr>
              <w:jc w:val="right"/>
              <w:ind w:right="144"/>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1,843</w:t>
            </w:r>
          </w:p>
        </w:tc>
        <w:tc>
          <w:tcPr>
            <w:tcW w:w="100" w:type="dxa"/>
            <w:vAlign w:val="bottom"/>
          </w:tcPr>
          <w:p>
            <w:pPr>
              <w:spacing w:after="0"/>
              <w:rPr>
                <w:sz w:val="16"/>
                <w:szCs w:val="16"/>
                <w:color w:val="auto"/>
              </w:rPr>
            </w:pPr>
          </w:p>
        </w:tc>
      </w:tr>
      <w:tr>
        <w:trPr>
          <w:trHeight w:val="189"/>
        </w:trPr>
        <w:tc>
          <w:tcPr>
            <w:tcW w:w="6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5"/>
                <w:szCs w:val="15"/>
                <w:color w:val="auto"/>
              </w:rPr>
              <w:t>Cash paid for income taxes</w:t>
            </w:r>
          </w:p>
        </w:tc>
        <w:tc>
          <w:tcPr>
            <w:tcW w:w="320" w:type="dxa"/>
            <w:vAlign w:val="bottom"/>
            <w:shd w:val="clear" w:color="auto" w:fill="CFF0FC"/>
          </w:tcPr>
          <w:p>
            <w:pPr>
              <w:jc w:val="right"/>
              <w:ind w:right="144"/>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12,911</w:t>
            </w:r>
          </w:p>
        </w:tc>
        <w:tc>
          <w:tcPr>
            <w:tcW w:w="80" w:type="dxa"/>
            <w:vAlign w:val="bottom"/>
            <w:shd w:val="clear" w:color="auto" w:fill="CFF0FC"/>
          </w:tcPr>
          <w:p>
            <w:pPr>
              <w:spacing w:after="0"/>
              <w:rPr>
                <w:sz w:val="16"/>
                <w:szCs w:val="16"/>
                <w:color w:val="auto"/>
              </w:rPr>
            </w:pPr>
          </w:p>
        </w:tc>
        <w:tc>
          <w:tcPr>
            <w:tcW w:w="4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4,685</w:t>
            </w:r>
          </w:p>
        </w:tc>
        <w:tc>
          <w:tcPr>
            <w:tcW w:w="220" w:type="dxa"/>
            <w:vAlign w:val="bottom"/>
            <w:shd w:val="clear" w:color="auto" w:fill="CFF0FC"/>
          </w:tcPr>
          <w:p>
            <w:pPr>
              <w:spacing w:after="0"/>
              <w:rPr>
                <w:sz w:val="16"/>
                <w:szCs w:val="16"/>
                <w:color w:val="auto"/>
              </w:rPr>
            </w:pPr>
          </w:p>
        </w:tc>
        <w:tc>
          <w:tcPr>
            <w:tcW w:w="320" w:type="dxa"/>
            <w:vAlign w:val="bottom"/>
            <w:shd w:val="clear" w:color="auto" w:fill="CFF0FC"/>
          </w:tcPr>
          <w:p>
            <w:pPr>
              <w:jc w:val="right"/>
              <w:ind w:right="144"/>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6,970</w:t>
            </w:r>
          </w:p>
        </w:tc>
        <w:tc>
          <w:tcPr>
            <w:tcW w:w="100" w:type="dxa"/>
            <w:vAlign w:val="bottom"/>
            <w:shd w:val="clear" w:color="auto" w:fill="CFF0FC"/>
          </w:tcPr>
          <w:p>
            <w:pPr>
              <w:spacing w:after="0"/>
              <w:rPr>
                <w:sz w:val="16"/>
                <w:szCs w:val="16"/>
                <w:color w:val="auto"/>
              </w:rPr>
            </w:pPr>
          </w:p>
        </w:tc>
      </w:tr>
      <w:tr>
        <w:trPr>
          <w:trHeight w:val="189"/>
        </w:trPr>
        <w:tc>
          <w:tcPr>
            <w:tcW w:w="664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Right-of-use assets obtained in exchange for operating lease facilities</w:t>
            </w:r>
          </w:p>
        </w:tc>
        <w:tc>
          <w:tcPr>
            <w:tcW w:w="320" w:type="dxa"/>
            <w:vAlign w:val="bottom"/>
          </w:tcPr>
          <w:p>
            <w:pPr>
              <w:jc w:val="right"/>
              <w:ind w:right="144"/>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7,059</w:t>
            </w:r>
          </w:p>
        </w:tc>
        <w:tc>
          <w:tcPr>
            <w:tcW w:w="80" w:type="dxa"/>
            <w:vAlign w:val="bottom"/>
          </w:tcPr>
          <w:p>
            <w:pPr>
              <w:spacing w:after="0"/>
              <w:rPr>
                <w:sz w:val="16"/>
                <w:szCs w:val="16"/>
                <w:color w:val="auto"/>
              </w:rPr>
            </w:pPr>
          </w:p>
        </w:tc>
        <w:tc>
          <w:tcPr>
            <w:tcW w:w="48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74,985</w:t>
            </w:r>
          </w:p>
        </w:tc>
        <w:tc>
          <w:tcPr>
            <w:tcW w:w="220" w:type="dxa"/>
            <w:vAlign w:val="bottom"/>
          </w:tcPr>
          <w:p>
            <w:pPr>
              <w:spacing w:after="0"/>
              <w:rPr>
                <w:sz w:val="16"/>
                <w:szCs w:val="16"/>
                <w:color w:val="auto"/>
              </w:rPr>
            </w:pPr>
          </w:p>
        </w:tc>
        <w:tc>
          <w:tcPr>
            <w:tcW w:w="320" w:type="dxa"/>
            <w:vAlign w:val="bottom"/>
          </w:tcPr>
          <w:p>
            <w:pPr>
              <w:jc w:val="right"/>
              <w:ind w:right="144"/>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92,131</w:t>
            </w:r>
          </w:p>
        </w:tc>
        <w:tc>
          <w:tcPr>
            <w:tcW w:w="100" w:type="dxa"/>
            <w:vAlign w:val="bottom"/>
          </w:tcPr>
          <w:p>
            <w:pPr>
              <w:spacing w:after="0"/>
              <w:rPr>
                <w:sz w:val="16"/>
                <w:szCs w:val="16"/>
                <w:color w:val="auto"/>
              </w:rPr>
            </w:pPr>
          </w:p>
        </w:tc>
      </w:tr>
      <w:tr>
        <w:trPr>
          <w:trHeight w:val="189"/>
        </w:trPr>
        <w:tc>
          <w:tcPr>
            <w:tcW w:w="6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5"/>
                <w:szCs w:val="15"/>
                <w:color w:val="auto"/>
              </w:rPr>
              <w:t>Right-of-use asset reductions related to operating lease terminations</w:t>
            </w:r>
          </w:p>
        </w:tc>
        <w:tc>
          <w:tcPr>
            <w:tcW w:w="320" w:type="dxa"/>
            <w:vAlign w:val="bottom"/>
            <w:shd w:val="clear" w:color="auto" w:fill="CFF0FC"/>
          </w:tcPr>
          <w:p>
            <w:pPr>
              <w:jc w:val="right"/>
              <w:ind w:right="144"/>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5"/>
                <w:szCs w:val="15"/>
                <w:color w:val="auto"/>
              </w:rPr>
              <w:t>(7,382 )</w:t>
            </w:r>
          </w:p>
        </w:tc>
        <w:tc>
          <w:tcPr>
            <w:tcW w:w="4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FF0FC"/>
          </w:tcPr>
          <w:p>
            <w:pPr>
              <w:spacing w:after="0"/>
              <w:rPr>
                <w:sz w:val="16"/>
                <w:szCs w:val="16"/>
                <w:color w:val="auto"/>
              </w:rPr>
            </w:pPr>
          </w:p>
        </w:tc>
        <w:tc>
          <w:tcPr>
            <w:tcW w:w="320" w:type="dxa"/>
            <w:vAlign w:val="bottom"/>
            <w:shd w:val="clear" w:color="auto" w:fill="CFF0FC"/>
          </w:tcPr>
          <w:p>
            <w:pPr>
              <w:jc w:val="right"/>
              <w:ind w:right="144"/>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5"/>
                <w:szCs w:val="15"/>
                <w:color w:val="auto"/>
              </w:rPr>
              <w:t>(46,587 )</w:t>
            </w:r>
          </w:p>
        </w:tc>
      </w:tr>
      <w:tr>
        <w:trPr>
          <w:trHeight w:val="189"/>
        </w:trPr>
        <w:tc>
          <w:tcPr>
            <w:tcW w:w="664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Non-cash investing and financing activities:</w:t>
            </w: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9"/>
        </w:trPr>
        <w:tc>
          <w:tcPr>
            <w:tcW w:w="6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5"/>
                <w:szCs w:val="15"/>
                <w:color w:val="auto"/>
              </w:rPr>
              <w:t>Capital expenditures incurred but not yet paid</w:t>
            </w:r>
          </w:p>
        </w:tc>
        <w:tc>
          <w:tcPr>
            <w:tcW w:w="320" w:type="dxa"/>
            <w:vAlign w:val="bottom"/>
            <w:shd w:val="clear" w:color="auto" w:fill="CFF0FC"/>
          </w:tcPr>
          <w:p>
            <w:pPr>
              <w:jc w:val="right"/>
              <w:ind w:right="144"/>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1,068</w:t>
            </w:r>
          </w:p>
        </w:tc>
        <w:tc>
          <w:tcPr>
            <w:tcW w:w="80" w:type="dxa"/>
            <w:vAlign w:val="bottom"/>
            <w:shd w:val="clear" w:color="auto" w:fill="CFF0FC"/>
          </w:tcPr>
          <w:p>
            <w:pPr>
              <w:spacing w:after="0"/>
              <w:rPr>
                <w:sz w:val="16"/>
                <w:szCs w:val="16"/>
                <w:color w:val="auto"/>
              </w:rPr>
            </w:pPr>
          </w:p>
        </w:tc>
        <w:tc>
          <w:tcPr>
            <w:tcW w:w="4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247</w:t>
            </w:r>
          </w:p>
        </w:tc>
        <w:tc>
          <w:tcPr>
            <w:tcW w:w="220" w:type="dxa"/>
            <w:vAlign w:val="bottom"/>
            <w:shd w:val="clear" w:color="auto" w:fill="CFF0FC"/>
          </w:tcPr>
          <w:p>
            <w:pPr>
              <w:spacing w:after="0"/>
              <w:rPr>
                <w:sz w:val="16"/>
                <w:szCs w:val="16"/>
                <w:color w:val="auto"/>
              </w:rPr>
            </w:pPr>
          </w:p>
        </w:tc>
        <w:tc>
          <w:tcPr>
            <w:tcW w:w="320" w:type="dxa"/>
            <w:vAlign w:val="bottom"/>
            <w:shd w:val="clear" w:color="auto" w:fill="CFF0FC"/>
          </w:tcPr>
          <w:p>
            <w:pPr>
              <w:jc w:val="right"/>
              <w:ind w:right="144"/>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470</w:t>
            </w:r>
          </w:p>
        </w:tc>
        <w:tc>
          <w:tcPr>
            <w:tcW w:w="100" w:type="dxa"/>
            <w:vAlign w:val="bottom"/>
            <w:shd w:val="clear" w:color="auto" w:fill="CFF0FC"/>
          </w:tcPr>
          <w:p>
            <w:pPr>
              <w:spacing w:after="0"/>
              <w:rPr>
                <w:sz w:val="16"/>
                <w:szCs w:val="16"/>
                <w:color w:val="auto"/>
              </w:rPr>
            </w:pPr>
          </w:p>
        </w:tc>
      </w:tr>
      <w:tr>
        <w:trPr>
          <w:trHeight w:val="189"/>
        </w:trPr>
        <w:tc>
          <w:tcPr>
            <w:tcW w:w="664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Asset retirement obligations</w:t>
            </w:r>
          </w:p>
        </w:tc>
        <w:tc>
          <w:tcPr>
            <w:tcW w:w="320" w:type="dxa"/>
            <w:vAlign w:val="bottom"/>
          </w:tcPr>
          <w:p>
            <w:pPr>
              <w:jc w:val="right"/>
              <w:ind w:right="144"/>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(199 )</w:t>
            </w:r>
          </w:p>
        </w:tc>
        <w:tc>
          <w:tcPr>
            <w:tcW w:w="48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1,113</w:t>
            </w:r>
          </w:p>
        </w:tc>
        <w:tc>
          <w:tcPr>
            <w:tcW w:w="220" w:type="dxa"/>
            <w:vAlign w:val="bottom"/>
          </w:tcPr>
          <w:p>
            <w:pPr>
              <w:spacing w:after="0"/>
              <w:rPr>
                <w:sz w:val="16"/>
                <w:szCs w:val="16"/>
                <w:color w:val="auto"/>
              </w:rPr>
            </w:pPr>
          </w:p>
        </w:tc>
        <w:tc>
          <w:tcPr>
            <w:tcW w:w="320" w:type="dxa"/>
            <w:vAlign w:val="bottom"/>
          </w:tcPr>
          <w:p>
            <w:pPr>
              <w:jc w:val="right"/>
              <w:ind w:right="144"/>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71</w:t>
            </w:r>
          </w:p>
        </w:tc>
        <w:tc>
          <w:tcPr>
            <w:tcW w:w="100" w:type="dxa"/>
            <w:vAlign w:val="bottom"/>
          </w:tcPr>
          <w:p>
            <w:pPr>
              <w:spacing w:after="0"/>
              <w:rPr>
                <w:sz w:val="16"/>
                <w:szCs w:val="16"/>
                <w:color w:val="auto"/>
              </w:rPr>
            </w:pPr>
          </w:p>
        </w:tc>
      </w:tr>
      <w:tr>
        <w:trPr>
          <w:trHeight w:val="189"/>
        </w:trPr>
        <w:tc>
          <w:tcPr>
            <w:tcW w:w="6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5"/>
                <w:szCs w:val="15"/>
                <w:color w:val="auto"/>
              </w:rPr>
              <w:t>Issuance of common stock for repayment of 2022 Convertible Notes</w:t>
            </w:r>
          </w:p>
        </w:tc>
        <w:tc>
          <w:tcPr>
            <w:tcW w:w="320" w:type="dxa"/>
            <w:vAlign w:val="bottom"/>
            <w:shd w:val="clear" w:color="auto" w:fill="CFF0FC"/>
          </w:tcPr>
          <w:p>
            <w:pPr>
              <w:jc w:val="right"/>
              <w:ind w:right="144"/>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4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2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320" w:type="dxa"/>
            <w:vAlign w:val="bottom"/>
            <w:shd w:val="clear" w:color="auto" w:fill="CFF0FC"/>
          </w:tcPr>
          <w:p>
            <w:pPr>
              <w:jc w:val="right"/>
              <w:ind w:right="144"/>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493,172</w:t>
            </w:r>
          </w:p>
        </w:tc>
        <w:tc>
          <w:tcPr>
            <w:tcW w:w="100" w:type="dxa"/>
            <w:vAlign w:val="bottom"/>
            <w:shd w:val="clear" w:color="auto" w:fill="CFF0FC"/>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5080000</wp:posOffset>
            </wp:positionH>
            <wp:positionV relativeFrom="paragraph">
              <wp:posOffset>-4173855</wp:posOffset>
            </wp:positionV>
            <wp:extent cx="77470"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-4173855</wp:posOffset>
            </wp:positionV>
            <wp:extent cx="68580"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-4173855</wp:posOffset>
            </wp:positionV>
            <wp:extent cx="68580"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-2716530</wp:posOffset>
            </wp:positionV>
            <wp:extent cx="7747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-2716530</wp:posOffset>
            </wp:positionV>
            <wp:extent cx="6858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-2716530</wp:posOffset>
            </wp:positionV>
            <wp:extent cx="6858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-1739265</wp:posOffset>
            </wp:positionV>
            <wp:extent cx="77470"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-1739265</wp:posOffset>
            </wp:positionV>
            <wp:extent cx="68580"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-1739265</wp:posOffset>
            </wp:positionV>
            <wp:extent cx="68580"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-1482090</wp:posOffset>
            </wp:positionV>
            <wp:extent cx="77470"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-1482090</wp:posOffset>
            </wp:positionV>
            <wp:extent cx="68580"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-1482090</wp:posOffset>
            </wp:positionV>
            <wp:extent cx="68580"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-1233805</wp:posOffset>
            </wp:positionV>
            <wp:extent cx="77470"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-1233805</wp:posOffset>
            </wp:positionV>
            <wp:extent cx="68580"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-1233805</wp:posOffset>
            </wp:positionV>
            <wp:extent cx="68580"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The accompanying notes are an integral part of the consolidated financial statements</w:t>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73" w:name="page74"/>
    <w:bookmarkEnd w:id="73"/>
    <w:p>
      <w:pPr>
        <w:jc w:val="center"/>
        <w:spacing w:after="0"/>
        <w:rPr>
          <w:sz w:val="20"/>
          <w:szCs w:val="20"/>
          <w:color w:val="auto"/>
        </w:rPr>
      </w:pPr>
      <w:r>
        <w:rPr>
          <w:rFonts w:ascii="Times New Roman" w:cs="Times New Roman" w:eastAsia="Times New Roman" w:hAnsi="Times New Roman"/>
          <w:sz w:val="18"/>
          <w:szCs w:val="18"/>
          <w:b w:val="1"/>
          <w:bCs w:val="1"/>
          <w:color w:val="auto"/>
        </w:rPr>
        <w:t>HUBSPOT,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Organization and Operations</w:t>
      </w:r>
    </w:p>
    <w:p>
      <w:pPr>
        <w:spacing w:after="0" w:line="121" w:lineRule="exact"/>
        <w:rPr>
          <w:sz w:val="20"/>
          <w:szCs w:val="20"/>
          <w:color w:val="auto"/>
        </w:rPr>
      </w:pPr>
    </w:p>
    <w:p>
      <w:pPr>
        <w:ind w:right="360" w:firstLine="509"/>
        <w:spacing w:after="0" w:line="266" w:lineRule="auto"/>
        <w:rPr>
          <w:sz w:val="20"/>
          <w:szCs w:val="20"/>
          <w:color w:val="auto"/>
        </w:rPr>
      </w:pPr>
      <w:r>
        <w:rPr>
          <w:rFonts w:ascii="Times New Roman" w:cs="Times New Roman" w:eastAsia="Times New Roman" w:hAnsi="Times New Roman"/>
          <w:sz w:val="18"/>
          <w:szCs w:val="18"/>
          <w:color w:val="auto"/>
        </w:rPr>
        <w:t xml:space="preserve">HubSpot, Inc. (the “Company”) </w:t>
      </w:r>
      <w:r>
        <w:rPr>
          <w:rFonts w:ascii="Times New Roman" w:cs="Times New Roman" w:eastAsia="Times New Roman" w:hAnsi="Times New Roman"/>
          <w:sz w:val="18"/>
          <w:szCs w:val="18"/>
          <w:color w:val="212529"/>
        </w:rPr>
        <w:t>provides a customer platform that helps businesses connect and grow better. The Company delivers seamless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connection for customer-facing teams with a unified platform that includes three layers: AI-powered engagement hubs, a Smart CRM, and a connected ecosystem that extends the customer platform with app marketplace integrations, a community network, and educational content.</w:t>
      </w:r>
    </w:p>
    <w:p>
      <w:pPr>
        <w:spacing w:after="0" w:line="68" w:lineRule="exact"/>
        <w:rPr>
          <w:sz w:val="20"/>
          <w:szCs w:val="20"/>
          <w:color w:val="auto"/>
        </w:rPr>
      </w:pPr>
    </w:p>
    <w:p>
      <w:pPr>
        <w:jc w:val="both"/>
        <w:ind w:right="80" w:firstLine="509"/>
        <w:spacing w:after="0" w:line="266" w:lineRule="auto"/>
        <w:rPr>
          <w:sz w:val="20"/>
          <w:szCs w:val="20"/>
          <w:color w:val="auto"/>
        </w:rPr>
      </w:pPr>
      <w:r>
        <w:rPr>
          <w:rFonts w:ascii="Times New Roman" w:cs="Times New Roman" w:eastAsia="Times New Roman" w:hAnsi="Times New Roman"/>
          <w:sz w:val="18"/>
          <w:szCs w:val="18"/>
          <w:color w:val="212529"/>
        </w:rPr>
        <w:t>The engagement hubs include Marketing Hub, Sales Hub, Service Hub, Operations Hub, CMS Hub and Commerce Hub, as well as other tools and integrations that enable companies to attract, engage, and delight customers throughout the customer experience. The Smart CRM is the foundational layer that combines customer data with AI to power the entire customer platform.</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117" w:lineRule="exact"/>
        <w:rPr>
          <w:sz w:val="20"/>
          <w:szCs w:val="20"/>
          <w:color w:val="auto"/>
        </w:rPr>
      </w:pPr>
    </w:p>
    <w:p>
      <w:pPr>
        <w:ind w:right="140" w:firstLine="509"/>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Basis of Presentation </w:t>
      </w:r>
      <w:r>
        <w:rPr>
          <w:rFonts w:ascii="Times New Roman" w:cs="Times New Roman" w:eastAsia="Times New Roman" w:hAnsi="Times New Roman"/>
          <w:sz w:val="18"/>
          <w:szCs w:val="18"/>
          <w:color w:val="auto"/>
        </w:rPr>
        <w:t>—The consolidated financial statements have been prepared in U.S. dollars, in accordance with accounting principles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generally accepted in the United States of America (“GAAP”). The accompanying consolidated financial statements include the accounts of the Company and its wholly owned subsidiaries. All intercompany transactions have been eliminated in consolidation.</w:t>
      </w:r>
    </w:p>
    <w:p>
      <w:pPr>
        <w:spacing w:after="0" w:line="171" w:lineRule="exact"/>
        <w:rPr>
          <w:sz w:val="20"/>
          <w:szCs w:val="20"/>
          <w:color w:val="auto"/>
        </w:rPr>
      </w:pPr>
    </w:p>
    <w:p>
      <w:pPr>
        <w:jc w:val="both"/>
        <w:ind w:right="260" w:firstLine="509"/>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Use of Estimates </w:t>
      </w:r>
      <w:r>
        <w:rPr>
          <w:rFonts w:ascii="Times New Roman" w:cs="Times New Roman" w:eastAsia="Times New Roman" w:hAnsi="Times New Roman"/>
          <w:sz w:val="18"/>
          <w:szCs w:val="18"/>
          <w:color w:val="auto"/>
        </w:rPr>
        <w:t>—The preparation of consolidated financial statements in conformity with GAAP requires management to make estimates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assumptions that affect the reported amounts of assets and liabilities, disclosure of contingent assets and liabilities at the date of the financial statements, and the reported amounts of revenue and expenses during the reporting period. Actual results could differ from those estimates.</w:t>
      </w:r>
    </w:p>
    <w:p>
      <w:pPr>
        <w:spacing w:after="0" w:line="171" w:lineRule="exact"/>
        <w:rPr>
          <w:sz w:val="20"/>
          <w:szCs w:val="20"/>
          <w:color w:val="auto"/>
        </w:rPr>
      </w:pPr>
    </w:p>
    <w:p>
      <w:pPr>
        <w:ind w:right="20" w:firstLine="509"/>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Operating Segments </w:t>
      </w:r>
      <w:r>
        <w:rPr>
          <w:rFonts w:ascii="Times New Roman" w:cs="Times New Roman" w:eastAsia="Times New Roman" w:hAnsi="Times New Roman"/>
          <w:sz w:val="18"/>
          <w:szCs w:val="18"/>
          <w:color w:val="auto"/>
        </w:rPr>
        <w:t>—The Company operates as one operating segment. Operating segments are defined as components of an enterprise for which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separate financial information is regularly evaluated by the chief operating decision maker (“CODM”), which is the Company’s chief executive officer, in deciding how to allocate resources and assess performance. The Company’s CODM evaluates the Company’s financial information and resources and assesses the performance of these resources on a consolidated basis. Since the Company operates in one operating segment, all required financial segment information can be found in the consolidated financial statements.</w:t>
      </w:r>
    </w:p>
    <w:p>
      <w:pPr>
        <w:spacing w:after="0" w:line="139" w:lineRule="exact"/>
        <w:rPr>
          <w:sz w:val="20"/>
          <w:szCs w:val="20"/>
          <w:color w:val="auto"/>
        </w:rPr>
      </w:pPr>
    </w:p>
    <w:p>
      <w:pPr>
        <w:ind w:right="60" w:firstLine="509"/>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Loss Per Share </w:t>
      </w:r>
      <w:r>
        <w:rPr>
          <w:rFonts w:ascii="Times New Roman" w:cs="Times New Roman" w:eastAsia="Times New Roman" w:hAnsi="Times New Roman"/>
          <w:sz w:val="18"/>
          <w:szCs w:val="18"/>
          <w:color w:val="auto"/>
        </w:rPr>
        <w:t>— Basic net loss per share is computed by dividing net loss by the weighted average number of common shares outstanding for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period. Diluted net loss per share is computed by giving effect to all potential dilutive common stock equivalents outstanding for the period. For purposes of this calculation, options to purchase common stock, restricted stock units (“RSUs”), shares issued pursuant to the Employee Stock Purchase Plan (“ESPP”), performance restricted stock units (“PSUs”), the Warrants (defined in Note 9), the Conversion Option of the 2022 Notes, and the Conversion Option of the 2025 Notes (the “Conversion Options”) (Note 9) are considered to be potential common stock equivalents.</w:t>
      </w:r>
    </w:p>
    <w:p>
      <w:pPr>
        <w:spacing w:after="0" w:line="15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 reconciliation of the denominator used in the calculation of basic and diluted loss per share is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860" w:type="dxa"/>
            <w:vAlign w:val="bottom"/>
          </w:tcPr>
          <w:p>
            <w:pPr>
              <w:spacing w:after="0"/>
              <w:rPr>
                <w:sz w:val="16"/>
                <w:szCs w:val="16"/>
                <w:color w:val="auto"/>
              </w:rPr>
            </w:pPr>
          </w:p>
        </w:tc>
        <w:tc>
          <w:tcPr>
            <w:tcW w:w="45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6"/>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8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860" w:type="dxa"/>
            <w:vAlign w:val="bottom"/>
          </w:tcPr>
          <w:p>
            <w:pPr>
              <w:spacing w:after="0"/>
              <w:rPr>
                <w:sz w:val="15"/>
                <w:szCs w:val="15"/>
                <w:color w:val="auto"/>
              </w:rPr>
            </w:pPr>
          </w:p>
        </w:tc>
        <w:tc>
          <w:tcPr>
            <w:tcW w:w="45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37"/>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86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540" w:type="dxa"/>
            <w:vAlign w:val="bottom"/>
            <w:gridSpan w:val="8"/>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(in thousands, except per share amounts)</w:t>
            </w: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3"/>
        </w:trPr>
        <w:tc>
          <w:tcPr>
            <w:tcW w:w="860" w:type="dxa"/>
            <w:vAlign w:val="bottom"/>
          </w:tcPr>
          <w:p>
            <w:pPr>
              <w:spacing w:after="0"/>
              <w:rPr>
                <w:sz w:val="24"/>
                <w:szCs w:val="24"/>
                <w:color w:val="auto"/>
              </w:rPr>
            </w:pPr>
          </w:p>
        </w:tc>
        <w:tc>
          <w:tcPr>
            <w:tcW w:w="4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15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(176,295 )</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(112,749 )</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(77,837 )</w:t>
            </w: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860" w:type="dxa"/>
            <w:vAlign w:val="bottom"/>
          </w:tcPr>
          <w:p>
            <w:pPr>
              <w:spacing w:after="0"/>
              <w:rPr>
                <w:sz w:val="19"/>
                <w:szCs w:val="19"/>
                <w:color w:val="auto"/>
              </w:rPr>
            </w:pPr>
          </w:p>
        </w:tc>
        <w:tc>
          <w:tcPr>
            <w:tcW w:w="450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Weighted-average common shares outstanding—basic</w:t>
            </w:r>
          </w:p>
        </w:tc>
        <w:tc>
          <w:tcPr>
            <w:tcW w:w="1240" w:type="dxa"/>
            <w:vAlign w:val="bottom"/>
            <w:tcBorders>
              <w:top w:val="single" w:sz="8" w:color="CFF0FC"/>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49,877</w:t>
            </w:r>
          </w:p>
        </w:tc>
        <w:tc>
          <w:tcPr>
            <w:tcW w:w="220" w:type="dxa"/>
            <w:vAlign w:val="bottom"/>
            <w:tcBorders>
              <w:top w:val="single" w:sz="8" w:color="CFF0FC"/>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48,065</w:t>
            </w:r>
          </w:p>
        </w:tc>
        <w:tc>
          <w:tcPr>
            <w:tcW w:w="200" w:type="dxa"/>
            <w:vAlign w:val="bottom"/>
            <w:tcBorders>
              <w:top w:val="single" w:sz="8" w:color="CFF0FC"/>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46,891</w:t>
            </w:r>
          </w:p>
        </w:tc>
        <w:tc>
          <w:tcPr>
            <w:tcW w:w="100" w:type="dxa"/>
            <w:vAlign w:val="bottom"/>
            <w:tcBorders>
              <w:top w:val="single" w:sz="8" w:color="CFF0FC"/>
            </w:tcBorders>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860" w:type="dxa"/>
            <w:vAlign w:val="bottom"/>
          </w:tcPr>
          <w:p>
            <w:pPr>
              <w:spacing w:after="0"/>
              <w:rPr>
                <w:sz w:val="18"/>
                <w:szCs w:val="18"/>
                <w:color w:val="auto"/>
              </w:rPr>
            </w:pPr>
          </w:p>
        </w:tc>
        <w:tc>
          <w:tcPr>
            <w:tcW w:w="4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Dilutive effect of share equivalents resulting from stock</w:t>
            </w:r>
          </w:p>
        </w:tc>
        <w:tc>
          <w:tcPr>
            <w:tcW w:w="1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45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options, RSUs, ESPP, PSUs, Warrants and the Conversion</w:t>
            </w:r>
          </w:p>
        </w:tc>
        <w:tc>
          <w:tcPr>
            <w:tcW w:w="1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80" w:type="dxa"/>
            <w:vAlign w:val="bottom"/>
            <w:gridSpan w:val="2"/>
            <w:vMerge w:val="restart"/>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104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92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60" w:type="dxa"/>
            <w:vAlign w:val="bottom"/>
          </w:tcPr>
          <w:p>
            <w:pPr>
              <w:spacing w:after="0"/>
              <w:rPr>
                <w:sz w:val="20"/>
                <w:szCs w:val="20"/>
                <w:color w:val="auto"/>
              </w:rPr>
            </w:pPr>
          </w:p>
        </w:tc>
        <w:tc>
          <w:tcPr>
            <w:tcW w:w="45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Options</w:t>
            </w:r>
          </w:p>
        </w:tc>
        <w:tc>
          <w:tcPr>
            <w:tcW w:w="12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080" w:type="dxa"/>
            <w:vAlign w:val="bottom"/>
            <w:gridSpan w:val="2"/>
            <w:vMerge w:val="continue"/>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040" w:type="dxa"/>
            <w:vAlign w:val="bottom"/>
            <w:gridSpan w:val="2"/>
            <w:vMerge w:val="continue"/>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20" w:type="dxa"/>
            <w:vAlign w:val="bottom"/>
            <w:gridSpan w:val="2"/>
            <w:vMerge w:val="continue"/>
            <w:shd w:val="clear" w:color="auto" w:fill="CFF0FC"/>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860" w:type="dxa"/>
            <w:vAlign w:val="bottom"/>
          </w:tcPr>
          <w:p>
            <w:pPr>
              <w:spacing w:after="0"/>
              <w:rPr>
                <w:sz w:val="20"/>
                <w:szCs w:val="20"/>
                <w:color w:val="auto"/>
              </w:rPr>
            </w:pPr>
          </w:p>
        </w:tc>
        <w:tc>
          <w:tcPr>
            <w:tcW w:w="450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Weighted-average common shares outstanding-diluted</w:t>
            </w:r>
          </w:p>
        </w:tc>
        <w:tc>
          <w:tcPr>
            <w:tcW w:w="1240" w:type="dxa"/>
            <w:vAlign w:val="bottom"/>
            <w:tcBorders>
              <w:top w:val="single" w:sz="8" w:color="CFF0FC"/>
            </w:tcBorders>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49,877</w:t>
            </w:r>
          </w:p>
        </w:tc>
        <w:tc>
          <w:tcPr>
            <w:tcW w:w="220" w:type="dxa"/>
            <w:vAlign w:val="bottom"/>
            <w:tcBorders>
              <w:top w:val="single" w:sz="8" w:color="CFF0FC"/>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48,065</w:t>
            </w:r>
          </w:p>
        </w:tc>
        <w:tc>
          <w:tcPr>
            <w:tcW w:w="200" w:type="dxa"/>
            <w:vAlign w:val="bottom"/>
            <w:tcBorders>
              <w:top w:val="single" w:sz="8" w:color="CFF0FC"/>
            </w:tcBorders>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46,891</w:t>
            </w:r>
          </w:p>
        </w:tc>
        <w:tc>
          <w:tcPr>
            <w:tcW w:w="100" w:type="dxa"/>
            <w:vAlign w:val="bottom"/>
            <w:tcBorders>
              <w:top w:val="single" w:sz="8" w:color="CFF0FC"/>
            </w:tcBorders>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860" w:type="dxa"/>
            <w:vAlign w:val="bottom"/>
          </w:tcPr>
          <w:p>
            <w:pPr>
              <w:spacing w:after="0"/>
              <w:rPr>
                <w:sz w:val="22"/>
                <w:szCs w:val="22"/>
                <w:color w:val="auto"/>
              </w:rPr>
            </w:pPr>
          </w:p>
        </w:tc>
        <w:tc>
          <w:tcPr>
            <w:tcW w:w="4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 per common share, basic and diluted</w:t>
            </w:r>
          </w:p>
        </w:tc>
        <w:tc>
          <w:tcPr>
            <w:tcW w:w="15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(3.53 )</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(2.35 )</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(1.66 )</w:t>
            </w:r>
          </w:p>
        </w:tc>
        <w:tc>
          <w:tcPr>
            <w:tcW w:w="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28"/>
        </w:trPr>
        <w:tc>
          <w:tcPr>
            <w:tcW w:w="860" w:type="dxa"/>
            <w:vAlign w:val="bottom"/>
          </w:tcPr>
          <w:p>
            <w:pPr>
              <w:spacing w:after="0"/>
              <w:rPr>
                <w:sz w:val="24"/>
                <w:szCs w:val="24"/>
                <w:color w:val="auto"/>
              </w:rPr>
            </w:pPr>
          </w:p>
        </w:tc>
        <w:tc>
          <w:tcPr>
            <w:tcW w:w="4500" w:type="dxa"/>
            <w:vAlign w:val="bottom"/>
            <w:tcBorders>
              <w:top w:val="single" w:sz="8" w:color="CFF0FC"/>
            </w:tcBorders>
          </w:tcPr>
          <w:p>
            <w:pPr>
              <w:spacing w:after="0"/>
              <w:rPr>
                <w:sz w:val="24"/>
                <w:szCs w:val="24"/>
                <w:color w:val="auto"/>
              </w:rPr>
            </w:pPr>
          </w:p>
        </w:tc>
        <w:tc>
          <w:tcPr>
            <w:tcW w:w="1240" w:type="dxa"/>
            <w:vAlign w:val="bottom"/>
            <w:tcBorders>
              <w:top w:val="single" w:sz="8" w:color="CFF0FC"/>
            </w:tcBorders>
          </w:tcPr>
          <w:p>
            <w:pPr>
              <w:jc w:val="right"/>
              <w:ind w:right="790"/>
              <w:spacing w:after="0"/>
              <w:rPr>
                <w:sz w:val="20"/>
                <w:szCs w:val="20"/>
                <w:color w:val="auto"/>
              </w:rPr>
            </w:pPr>
            <w:r>
              <w:rPr>
                <w:rFonts w:ascii="Times New Roman" w:cs="Times New Roman" w:eastAsia="Times New Roman" w:hAnsi="Times New Roman"/>
                <w:sz w:val="18"/>
                <w:szCs w:val="18"/>
                <w:color w:val="auto"/>
              </w:rPr>
              <w:t>74</w:t>
            </w:r>
          </w:p>
        </w:tc>
        <w:tc>
          <w:tcPr>
            <w:tcW w:w="26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200" w:type="dxa"/>
            <w:vAlign w:val="bottom"/>
            <w:tcBorders>
              <w:top w:val="single" w:sz="8" w:color="CFF0FC"/>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36"/>
        </w:trPr>
        <w:tc>
          <w:tcPr>
            <w:tcW w:w="860" w:type="dxa"/>
            <w:vAlign w:val="bottom"/>
            <w:tcBorders>
              <w:bottom w:val="single" w:sz="8" w:color="9A9A9A"/>
            </w:tcBorders>
          </w:tcPr>
          <w:p>
            <w:pPr>
              <w:spacing w:after="0"/>
              <w:rPr>
                <w:sz w:val="24"/>
                <w:szCs w:val="24"/>
                <w:color w:val="auto"/>
              </w:rPr>
            </w:pPr>
          </w:p>
        </w:tc>
        <w:tc>
          <w:tcPr>
            <w:tcW w:w="450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4899660</wp:posOffset>
            </wp:positionH>
            <wp:positionV relativeFrom="paragraph">
              <wp:posOffset>-1859280</wp:posOffset>
            </wp:positionV>
            <wp:extent cx="68580"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-1842135</wp:posOffset>
            </wp:positionV>
            <wp:extent cx="68580"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-1859280</wp:posOffset>
            </wp:positionV>
            <wp:extent cx="59690"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-1842135</wp:posOffset>
            </wp:positionV>
            <wp:extent cx="59690"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6545580</wp:posOffset>
            </wp:positionH>
            <wp:positionV relativeFrom="paragraph">
              <wp:posOffset>-1859280</wp:posOffset>
            </wp:positionV>
            <wp:extent cx="60325"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6545580</wp:posOffset>
            </wp:positionH>
            <wp:positionV relativeFrom="paragraph">
              <wp:posOffset>-1842135</wp:posOffset>
            </wp:positionV>
            <wp:extent cx="60325"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-1259205</wp:posOffset>
            </wp:positionV>
            <wp:extent cx="68580"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-1259205</wp:posOffset>
            </wp:positionV>
            <wp:extent cx="59690"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6545580</wp:posOffset>
            </wp:positionH>
            <wp:positionV relativeFrom="paragraph">
              <wp:posOffset>-1259205</wp:posOffset>
            </wp:positionV>
            <wp:extent cx="60325"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-916305</wp:posOffset>
            </wp:positionV>
            <wp:extent cx="68580"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-899795</wp:posOffset>
            </wp:positionV>
            <wp:extent cx="68580" cy="88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-916305</wp:posOffset>
            </wp:positionV>
            <wp:extent cx="59690"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-899795</wp:posOffset>
            </wp:positionV>
            <wp:extent cx="59690" cy="88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6545580</wp:posOffset>
            </wp:positionH>
            <wp:positionV relativeFrom="paragraph">
              <wp:posOffset>-916305</wp:posOffset>
            </wp:positionV>
            <wp:extent cx="60325"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6545580</wp:posOffset>
            </wp:positionH>
            <wp:positionV relativeFrom="paragraph">
              <wp:posOffset>-899795</wp:posOffset>
            </wp:positionV>
            <wp:extent cx="60325" cy="88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74" w:name="page75"/>
    <w:bookmarkEnd w:id="74"/>
    <w:p>
      <w:pPr>
        <w:jc w:val="both"/>
        <w:ind w:right="140" w:firstLine="509"/>
        <w:spacing w:after="0" w:line="266" w:lineRule="auto"/>
        <w:rPr>
          <w:sz w:val="20"/>
          <w:szCs w:val="20"/>
          <w:color w:val="auto"/>
        </w:rPr>
      </w:pPr>
      <w:r>
        <w:rPr>
          <w:rFonts w:ascii="Times New Roman" w:cs="Times New Roman" w:eastAsia="Times New Roman" w:hAnsi="Times New Roman"/>
          <w:sz w:val="18"/>
          <w:szCs w:val="18"/>
          <w:color w:val="auto"/>
        </w:rPr>
        <w:t>Since the Company incurred net losses for each of the periods presented, diluted net loss per share is the same as basic net loss per share. All of the Company’s outstanding stock options, RSUs, and shares issuable under the ESPP, PSUs as well as the Warrants and Conversion Options were excluded in the calculation of diluted net loss per share as the effect would be anti-dilutive.</w:t>
      </w:r>
    </w:p>
    <w:p>
      <w:pPr>
        <w:spacing w:after="0" w:line="149"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The Company uses the treasury stock method and the average market price per share during the period for calculating any potential dilutive effect of the Warrants. The average stock price was $459.62 for 2023, $362.01 for 2022, and $592.48 for 2021. The Company uses the if-converted method when calculating any potential dilutive effect of the Conversion Options, which assumes conversion of outstanding convertible securities at the beginning of the reporting period or date of issuance, if the convertible security was issued during the period.</w:t>
      </w:r>
    </w:p>
    <w:p>
      <w:pPr>
        <w:spacing w:after="0" w:line="13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contains all potentially dilutive common stock equivalents.</w:t>
      </w:r>
    </w:p>
    <w:p>
      <w:pPr>
        <w:spacing w:after="0" w:line="232" w:lineRule="exact"/>
        <w:rPr>
          <w:sz w:val="20"/>
          <w:szCs w:val="20"/>
          <w:color w:val="auto"/>
        </w:rPr>
      </w:pPr>
    </w:p>
    <w:tbl>
      <w:tblPr>
        <w:tblLayout w:type="fixed"/>
        <w:tblInd w:w="1140" w:type="dxa"/>
        <w:tblCellMar>
          <w:top w:w="0" w:type="dxa"/>
          <w:left w:w="0" w:type="dxa"/>
          <w:bottom w:w="0" w:type="dxa"/>
          <w:right w:w="0" w:type="dxa"/>
        </w:tblCellMar>
      </w:tblPr>
      <w:tr>
        <w:trPr>
          <w:trHeight w:val="187"/>
        </w:trPr>
        <w:tc>
          <w:tcPr>
            <w:tcW w:w="5280" w:type="dxa"/>
            <w:vAlign w:val="bottom"/>
          </w:tcPr>
          <w:p>
            <w:pPr>
              <w:spacing w:after="0"/>
              <w:rPr>
                <w:sz w:val="16"/>
                <w:szCs w:val="16"/>
                <w:color w:val="auto"/>
              </w:rPr>
            </w:pPr>
          </w:p>
        </w:tc>
        <w:tc>
          <w:tcPr>
            <w:tcW w:w="2760" w:type="dxa"/>
            <w:vAlign w:val="bottom"/>
            <w:tcBorders>
              <w:bottom w:val="single" w:sz="8" w:color="auto"/>
            </w:tcBorders>
            <w:gridSpan w:val="5"/>
          </w:tcPr>
          <w:p>
            <w:pPr>
              <w:jc w:val="center"/>
              <w:ind w:left="755"/>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86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183"/>
        </w:trPr>
        <w:tc>
          <w:tcPr>
            <w:tcW w:w="5280" w:type="dxa"/>
            <w:vAlign w:val="bottom"/>
          </w:tcPr>
          <w:p>
            <w:pPr>
              <w:spacing w:after="0"/>
              <w:rPr>
                <w:sz w:val="15"/>
                <w:szCs w:val="15"/>
                <w:color w:val="auto"/>
              </w:rPr>
            </w:pPr>
          </w:p>
        </w:tc>
        <w:tc>
          <w:tcPr>
            <w:tcW w:w="1100" w:type="dxa"/>
            <w:vAlign w:val="bottom"/>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80" w:type="dxa"/>
            <w:vAlign w:val="bottom"/>
            <w:gridSpan w:val="2"/>
          </w:tcPr>
          <w:p>
            <w:pPr>
              <w:jc w:val="center"/>
              <w:ind w:left="73"/>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5"/>
                <w:szCs w:val="15"/>
                <w:color w:val="auto"/>
              </w:rPr>
            </w:pPr>
          </w:p>
        </w:tc>
      </w:tr>
      <w:tr>
        <w:trPr>
          <w:trHeight w:val="169"/>
        </w:trPr>
        <w:tc>
          <w:tcPr>
            <w:tcW w:w="5280" w:type="dxa"/>
            <w:vAlign w:val="bottom"/>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6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243"/>
        </w:trPr>
        <w:tc>
          <w:tcPr>
            <w:tcW w:w="5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Options to purchase common shares</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470</w:t>
            </w:r>
          </w:p>
        </w:tc>
        <w:tc>
          <w:tcPr>
            <w:tcW w:w="1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462</w:t>
            </w:r>
          </w:p>
        </w:tc>
        <w:tc>
          <w:tcPr>
            <w:tcW w:w="1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584</w:t>
            </w:r>
          </w:p>
        </w:tc>
        <w:tc>
          <w:tcPr>
            <w:tcW w:w="80" w:type="dxa"/>
            <w:vAlign w:val="bottom"/>
            <w:shd w:val="clear" w:color="auto" w:fill="CFF0FC"/>
          </w:tcPr>
          <w:p>
            <w:pPr>
              <w:spacing w:after="0"/>
              <w:rPr>
                <w:sz w:val="21"/>
                <w:szCs w:val="21"/>
                <w:color w:val="auto"/>
              </w:rPr>
            </w:pPr>
          </w:p>
        </w:tc>
      </w:tr>
      <w:tr>
        <w:trPr>
          <w:trHeight w:val="239"/>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RSUs</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1,902</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1,580</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1,239</w:t>
            </w:r>
          </w:p>
        </w:tc>
        <w:tc>
          <w:tcPr>
            <w:tcW w:w="80" w:type="dxa"/>
            <w:vAlign w:val="bottom"/>
          </w:tcPr>
          <w:p>
            <w:pPr>
              <w:spacing w:after="0"/>
              <w:rPr>
                <w:sz w:val="20"/>
                <w:szCs w:val="20"/>
                <w:color w:val="auto"/>
              </w:rPr>
            </w:pPr>
          </w:p>
        </w:tc>
      </w:tr>
      <w:tr>
        <w:trPr>
          <w:trHeight w:val="247"/>
        </w:trPr>
        <w:tc>
          <w:tcPr>
            <w:tcW w:w="5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Conversion Option of the 2022 Notes and Warrants</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859</w:t>
            </w:r>
          </w:p>
        </w:tc>
        <w:tc>
          <w:tcPr>
            <w:tcW w:w="1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1,326</w:t>
            </w:r>
          </w:p>
        </w:tc>
        <w:tc>
          <w:tcPr>
            <w:tcW w:w="80" w:type="dxa"/>
            <w:vAlign w:val="bottom"/>
            <w:shd w:val="clear" w:color="auto" w:fill="CFF0FC"/>
          </w:tcPr>
          <w:p>
            <w:pPr>
              <w:spacing w:after="0"/>
              <w:rPr>
                <w:sz w:val="21"/>
                <w:szCs w:val="21"/>
                <w:color w:val="auto"/>
              </w:rPr>
            </w:pPr>
          </w:p>
        </w:tc>
      </w:tr>
      <w:tr>
        <w:trPr>
          <w:trHeight w:val="239"/>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Conversion Option of the 2025 Notes</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1,625</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1,625</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1,020</w:t>
            </w:r>
          </w:p>
        </w:tc>
        <w:tc>
          <w:tcPr>
            <w:tcW w:w="80" w:type="dxa"/>
            <w:vAlign w:val="bottom"/>
          </w:tcPr>
          <w:p>
            <w:pPr>
              <w:spacing w:after="0"/>
              <w:rPr>
                <w:sz w:val="20"/>
                <w:szCs w:val="20"/>
                <w:color w:val="auto"/>
              </w:rPr>
            </w:pPr>
          </w:p>
        </w:tc>
      </w:tr>
      <w:tr>
        <w:trPr>
          <w:trHeight w:val="247"/>
        </w:trPr>
        <w:tc>
          <w:tcPr>
            <w:tcW w:w="5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PSUs</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1"/>
                <w:szCs w:val="21"/>
                <w:color w:val="auto"/>
              </w:rPr>
            </w:pPr>
          </w:p>
        </w:tc>
        <w:tc>
          <w:tcPr>
            <w:tcW w:w="1480" w:type="dxa"/>
            <w:vAlign w:val="bottom"/>
            <w:gridSpan w:val="3"/>
            <w:shd w:val="clear" w:color="auto" w:fill="CFF0FC"/>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ESPP</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tcPr>
          <w:p>
            <w:pPr>
              <w:spacing w:after="0"/>
              <w:rPr>
                <w:sz w:val="20"/>
                <w:szCs w:val="20"/>
                <w:color w:val="auto"/>
              </w:rPr>
            </w:pPr>
          </w:p>
        </w:tc>
      </w:tr>
    </w:tbl>
    <w:p>
      <w:pPr>
        <w:spacing w:after="0" w:line="243" w:lineRule="exact"/>
        <w:rPr>
          <w:sz w:val="20"/>
          <w:szCs w:val="20"/>
          <w:color w:val="auto"/>
        </w:rPr>
      </w:pPr>
    </w:p>
    <w:p>
      <w:pPr>
        <w:ind w:firstLine="509"/>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Cash and Cash Equivalents </w:t>
      </w:r>
      <w:r>
        <w:rPr>
          <w:rFonts w:ascii="Times New Roman" w:cs="Times New Roman" w:eastAsia="Times New Roman" w:hAnsi="Times New Roman"/>
          <w:sz w:val="18"/>
          <w:szCs w:val="18"/>
          <w:color w:val="auto"/>
        </w:rPr>
        <w:t>— The Company considers all highly liquid investments purchased with original maturity of three months or less to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cash equivalents. Cash and cash equivalents consist of cash held in bank deposit accounts and short-term, highly-liquid investments with remaining maturities of three months or less at the date of purchase, consisting primarily of money-market funds.</w:t>
      </w:r>
    </w:p>
    <w:p>
      <w:pPr>
        <w:spacing w:after="0" w:line="17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Investments </w:t>
      </w:r>
      <w:r>
        <w:rPr>
          <w:rFonts w:ascii="Times New Roman" w:cs="Times New Roman" w:eastAsia="Times New Roman" w:hAnsi="Times New Roman"/>
          <w:sz w:val="18"/>
          <w:szCs w:val="18"/>
          <w:color w:val="auto"/>
        </w:rPr>
        <w:t>— Investments consist of commercial paper, corporate debt securities, U.S. Treasury securities, and U.S. Government agency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securities. Securities having remaining maturities of more than three months at the date of purchase and less than one year from the date of the balance sheets are classified as short-term, and those with maturities of more than one year from the date of the balance sheet are classified as long-term in the consolidated balance sheets. The Company classifies its debt investments with readily determinable market values as available-for-sale. These investments are classified as investments on the consolidated balance sheets and are carried at fair market value, with unrealized gains and losses considered to be temporary in nature reported as accumulated other comprehensive loss, a separate component of stockholders’ equity. The Company reviews all investments for reductions in fair value that are other-than-temporary. When such reductions occur, the cost of the investment is adjusted to fair value through recording a loss on investments in the consolidated statements of operations. Gains and losses on investments are calculated on the basis of specific identification.</w:t>
      </w:r>
    </w:p>
    <w:p>
      <w:pPr>
        <w:spacing w:after="0" w:line="192"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Investments are considered to be impaired when a decline in fair value below cost basis is determined to be other-than-temporary. The Company periodically evaluates whether a decline in fair value below cost basis is other-than-temporary by considering available evidence regarding these investments including, among other factors: the duration of the period that, and extent to which, the fair value is less than cost basis; the financial health of, and business outlook for the issuer, including industry and sector performance and operational and financing cash flow factors; overall market conditions and trends and the Company’s intent and ability to retain its investment in the security for a period of time sufficient to allow for an anticipated recovery in market value. Once a decline in fair value is determined to be other-than-temporary, a write-down is recorded and a new cost basis in the security is established.</w:t>
      </w:r>
    </w:p>
    <w:p>
      <w:pPr>
        <w:spacing w:after="0" w:line="185"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Strategic Investments </w:t>
      </w:r>
      <w:r>
        <w:rPr>
          <w:rFonts w:ascii="Times New Roman" w:cs="Times New Roman" w:eastAsia="Times New Roman" w:hAnsi="Times New Roman"/>
          <w:sz w:val="18"/>
          <w:szCs w:val="18"/>
          <w:color w:val="auto"/>
        </w:rPr>
        <w:t>— Strategic investments consist of non-marketable equity investments of privately held companies. Investments without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readily determinable fair values for which the Company does not have the ability to exercise significant influence are accounted for using the measurement alternative. Under the measurement alternative, the non-marketable securities are carried at cost less any impairments, plus or minus adjustments resulting from observable price changes in orderly transactions for identical or similar investments of the same issuer. On a quarterly basis, the Company performs a qualitative assessment to evaluate whether the investment is impaired. If there are sufficient indicators that the fair value of the investment is less than the carrying value, the carrying value of the investment is reduced and an impairment is recorded in the consolidated statements of operations as other expense, net of tax. Certain other non-marketable investments are measured at fair value based on valuation methods which may include a combination of observable and unobservable inputs and are reviewed quarterly for reductions in fair value that are other-than-temporary.</w:t>
      </w:r>
    </w:p>
    <w:p>
      <w:pPr>
        <w:spacing w:after="0" w:line="185" w:lineRule="exact"/>
        <w:rPr>
          <w:sz w:val="20"/>
          <w:szCs w:val="20"/>
          <w:color w:val="auto"/>
        </w:rPr>
      </w:pPr>
    </w:p>
    <w:p>
      <w:pPr>
        <w:jc w:val="both"/>
        <w:ind w:right="300" w:firstLine="509"/>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Equity Method Investments </w:t>
      </w:r>
      <w:r>
        <w:rPr>
          <w:rFonts w:ascii="Times New Roman" w:cs="Times New Roman" w:eastAsia="Times New Roman" w:hAnsi="Times New Roman"/>
          <w:sz w:val="18"/>
          <w:szCs w:val="18"/>
          <w:color w:val="auto"/>
        </w:rPr>
        <w:t>— Equity method investments generally consist of investments for which the Company has the ability to exercise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significant influence, but does not have control and is not the primary beneficiary. Under the equity method of accounting, the Company's proportionate share of the net earnings or impairment charges on investments are reported in the</w:t>
      </w:r>
    </w:p>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467360</wp:posOffset>
            </wp:positionV>
            <wp:extent cx="7157720" cy="425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75" w:name="page76"/>
    <w:bookmarkEnd w:id="75"/>
    <w:p>
      <w:pPr>
        <w:ind w:right="40"/>
        <w:spacing w:after="0" w:line="261" w:lineRule="auto"/>
        <w:rPr>
          <w:sz w:val="20"/>
          <w:szCs w:val="20"/>
          <w:color w:val="auto"/>
        </w:rPr>
      </w:pPr>
      <w:r>
        <w:rPr>
          <w:rFonts w:ascii="Times New Roman" w:cs="Times New Roman" w:eastAsia="Times New Roman" w:hAnsi="Times New Roman"/>
          <w:sz w:val="18"/>
          <w:szCs w:val="18"/>
          <w:color w:val="auto"/>
        </w:rPr>
        <w:t>consolidated statements of operations as other income (expense), net of tax, and increase or decrease the investment balance recorded on the balance sheet. Equity method investments are reviewed for indicators of other-than-temporary impairment on a quarterly basis. An equity method investment is written down to fair value if there is evidence of a loss in value which is other-than-temporary. The Company may estimate the fair value of its equity method investments by considering recent investee equity transactions and recent operating results.</w:t>
      </w:r>
    </w:p>
    <w:p>
      <w:pPr>
        <w:spacing w:after="0" w:line="176" w:lineRule="exact"/>
        <w:rPr>
          <w:sz w:val="20"/>
          <w:szCs w:val="20"/>
          <w:color w:val="auto"/>
        </w:rPr>
      </w:pPr>
    </w:p>
    <w:p>
      <w:pPr>
        <w:ind w:right="100" w:firstLine="509"/>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Accounts Receivable and Allowance for Credit Losses </w:t>
      </w:r>
      <w:r>
        <w:rPr>
          <w:rFonts w:ascii="Times New Roman" w:cs="Times New Roman" w:eastAsia="Times New Roman" w:hAnsi="Times New Roman"/>
          <w:sz w:val="18"/>
          <w:szCs w:val="18"/>
          <w:color w:val="auto"/>
        </w:rPr>
        <w:t>— Accounts receivable are carried at the original invoiced amount less an allowance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credit losses based on the probability of future collection. The probability of future collection is based on specific considerations of historical loss patterns and an assessment of the continuation of such patterns based on past collection trends and known or anticipated future economic events that may impact collectability. The probability of future collection is also assessed by geography. To date, losses resulting from uncollected receivables have not exceeded estimates.</w:t>
      </w:r>
    </w:p>
    <w:p>
      <w:pPr>
        <w:spacing w:after="0" w:line="1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is a roll-forward of the Company’s allowance for credit losses (in thousands):</w:t>
      </w:r>
    </w:p>
    <w:p>
      <w:pPr>
        <w:spacing w:after="0" w:line="220"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Charged to</w:t>
            </w: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Balance at</w:t>
            </w:r>
          </w:p>
        </w:tc>
        <w:tc>
          <w:tcPr>
            <w:tcW w:w="0" w:type="dxa"/>
            <w:vAlign w:val="bottom"/>
          </w:tcPr>
          <w:p>
            <w:pPr>
              <w:spacing w:after="0"/>
              <w:rPr>
                <w:sz w:val="1"/>
                <w:szCs w:val="1"/>
                <w:color w:val="auto"/>
              </w:rPr>
            </w:pPr>
          </w:p>
        </w:tc>
      </w:tr>
      <w:tr>
        <w:trPr>
          <w:trHeight w:val="148"/>
        </w:trPr>
        <w:tc>
          <w:tcPr>
            <w:tcW w:w="5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jc w:val="center"/>
              <w:ind w:right="59"/>
              <w:spacing w:after="0" w:line="149" w:lineRule="exact"/>
              <w:rPr>
                <w:sz w:val="20"/>
                <w:szCs w:val="20"/>
                <w:color w:val="auto"/>
              </w:rPr>
            </w:pPr>
            <w:r>
              <w:rPr>
                <w:rFonts w:ascii="Times New Roman" w:cs="Times New Roman" w:eastAsia="Times New Roman" w:hAnsi="Times New Roman"/>
                <w:sz w:val="14"/>
                <w:szCs w:val="14"/>
                <w:b w:val="1"/>
                <w:bCs w:val="1"/>
                <w:color w:val="auto"/>
              </w:rPr>
              <w:t>Beginning</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jc w:val="center"/>
              <w:ind w:right="59"/>
              <w:spacing w:after="0" w:line="149" w:lineRule="exact"/>
              <w:rPr>
                <w:sz w:val="20"/>
                <w:szCs w:val="20"/>
                <w:color w:val="auto"/>
              </w:rPr>
            </w:pPr>
            <w:r>
              <w:rPr>
                <w:rFonts w:ascii="Times New Roman" w:cs="Times New Roman" w:eastAsia="Times New Roman" w:hAnsi="Times New Roman"/>
                <w:sz w:val="14"/>
                <w:szCs w:val="14"/>
                <w:b w:val="1"/>
                <w:bCs w:val="1"/>
                <w:color w:val="auto"/>
              </w:rPr>
              <w:t>Statement of</w:t>
            </w:r>
          </w:p>
        </w:tc>
        <w:tc>
          <w:tcPr>
            <w:tcW w:w="220" w:type="dxa"/>
            <w:vAlign w:val="bottom"/>
          </w:tcPr>
          <w:p>
            <w:pPr>
              <w:spacing w:after="0"/>
              <w:rPr>
                <w:sz w:val="12"/>
                <w:szCs w:val="12"/>
                <w:color w:val="auto"/>
              </w:rPr>
            </w:pPr>
          </w:p>
        </w:tc>
        <w:tc>
          <w:tcPr>
            <w:tcW w:w="1200" w:type="dxa"/>
            <w:vAlign w:val="bottom"/>
            <w:gridSpan w:val="3"/>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 xml:space="preserve">Deductions </w:t>
            </w:r>
            <w:r>
              <w:rPr>
                <w:rFonts w:ascii="Times New Roman" w:cs="Times New Roman" w:eastAsia="Times New Roman" w:hAnsi="Times New Roman"/>
                <w:sz w:val="19"/>
                <w:szCs w:val="19"/>
                <w:b w:val="1"/>
                <w:bCs w:val="1"/>
                <w:color w:val="auto"/>
                <w:vertAlign w:val="superscript"/>
              </w:rPr>
              <w:t>(1)</w:t>
            </w:r>
          </w:p>
        </w:tc>
        <w:tc>
          <w:tcPr>
            <w:tcW w:w="160" w:type="dxa"/>
            <w:vAlign w:val="bottom"/>
          </w:tcPr>
          <w:p>
            <w:pPr>
              <w:spacing w:after="0"/>
              <w:rPr>
                <w:sz w:val="12"/>
                <w:szCs w:val="12"/>
                <w:color w:val="auto"/>
              </w:rPr>
            </w:pPr>
          </w:p>
        </w:tc>
        <w:tc>
          <w:tcPr>
            <w:tcW w:w="9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End of</w:t>
            </w:r>
          </w:p>
        </w:tc>
        <w:tc>
          <w:tcPr>
            <w:tcW w:w="0" w:type="dxa"/>
            <w:vAlign w:val="bottom"/>
          </w:tcPr>
          <w:p>
            <w:pPr>
              <w:spacing w:after="0"/>
              <w:rPr>
                <w:sz w:val="1"/>
                <w:szCs w:val="1"/>
                <w:color w:val="auto"/>
              </w:rPr>
            </w:pPr>
          </w:p>
        </w:tc>
      </w:tr>
      <w:tr>
        <w:trPr>
          <w:trHeight w:val="187"/>
        </w:trPr>
        <w:tc>
          <w:tcPr>
            <w:tcW w:w="5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of Period</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Operations</w:t>
            </w:r>
          </w:p>
        </w:tc>
        <w:tc>
          <w:tcPr>
            <w:tcW w:w="220" w:type="dxa"/>
            <w:vAlign w:val="bottom"/>
          </w:tcPr>
          <w:p>
            <w:pPr>
              <w:spacing w:after="0"/>
              <w:rPr>
                <w:sz w:val="16"/>
                <w:szCs w:val="16"/>
                <w:color w:val="auto"/>
              </w:rPr>
            </w:pPr>
          </w:p>
        </w:tc>
        <w:tc>
          <w:tcPr>
            <w:tcW w:w="1200" w:type="dxa"/>
            <w:vAlign w:val="bottom"/>
            <w:gridSpan w:val="3"/>
            <w:vMerge w:val="continue"/>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0" w:type="dxa"/>
            <w:vAlign w:val="bottom"/>
          </w:tcPr>
          <w:p>
            <w:pPr>
              <w:spacing w:after="0"/>
              <w:rPr>
                <w:sz w:val="1"/>
                <w:szCs w:val="1"/>
                <w:color w:val="auto"/>
              </w:rPr>
            </w:pPr>
          </w:p>
        </w:tc>
      </w:tr>
      <w:tr>
        <w:trPr>
          <w:trHeight w:val="236"/>
        </w:trPr>
        <w:tc>
          <w:tcPr>
            <w:tcW w:w="5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Allowance for credit losses</w:t>
            </w:r>
          </w:p>
        </w:tc>
        <w:tc>
          <w:tcPr>
            <w:tcW w:w="160" w:type="dxa"/>
            <w:vAlign w:val="bottom"/>
            <w:tcBorders>
              <w:top w:val="single" w:sz="8" w:color="auto"/>
            </w:tcBorders>
            <w:shd w:val="clear" w:color="auto" w:fill="CFF0FC"/>
          </w:tcPr>
          <w:p>
            <w:pPr>
              <w:spacing w:after="0"/>
              <w:rPr>
                <w:sz w:val="20"/>
                <w:szCs w:val="20"/>
                <w:color w:val="auto"/>
              </w:rPr>
            </w:pPr>
          </w:p>
        </w:tc>
        <w:tc>
          <w:tcPr>
            <w:tcW w:w="880" w:type="dxa"/>
            <w:vAlign w:val="bottom"/>
            <w:tcBorders>
              <w:top w:val="single" w:sz="8" w:color="auto"/>
            </w:tcBorders>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spacing w:after="0"/>
              <w:rPr>
                <w:sz w:val="20"/>
                <w:szCs w:val="20"/>
                <w:color w:val="auto"/>
              </w:rPr>
            </w:pPr>
          </w:p>
        </w:tc>
        <w:tc>
          <w:tcPr>
            <w:tcW w:w="920" w:type="dxa"/>
            <w:vAlign w:val="bottom"/>
            <w:tcBorders>
              <w:top w:val="single" w:sz="8" w:color="auto"/>
            </w:tcBorders>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60" w:type="dxa"/>
            <w:vAlign w:val="bottom"/>
            <w:tcBorders>
              <w:top w:val="single" w:sz="8" w:color="auto"/>
            </w:tcBorders>
            <w:shd w:val="clear" w:color="auto" w:fill="CFF0FC"/>
          </w:tcPr>
          <w:p>
            <w:pPr>
              <w:spacing w:after="0"/>
              <w:rPr>
                <w:sz w:val="20"/>
                <w:szCs w:val="20"/>
                <w:color w:val="auto"/>
              </w:rPr>
            </w:pPr>
          </w:p>
        </w:tc>
        <w:tc>
          <w:tcPr>
            <w:tcW w:w="740" w:type="dxa"/>
            <w:vAlign w:val="bottom"/>
            <w:tcBorders>
              <w:top w:val="single" w:sz="8" w:color="auto"/>
            </w:tcBorders>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spacing w:after="0"/>
              <w:rPr>
                <w:sz w:val="20"/>
                <w:szCs w:val="20"/>
                <w:color w:val="auto"/>
              </w:rPr>
            </w:pPr>
          </w:p>
        </w:tc>
        <w:tc>
          <w:tcPr>
            <w:tcW w:w="86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Year ended December 31, 2023</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3,266</w:t>
            </w:r>
          </w:p>
        </w:tc>
        <w:tc>
          <w:tcPr>
            <w:tcW w:w="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18,887</w:t>
            </w:r>
          </w:p>
        </w:tc>
        <w:tc>
          <w:tcPr>
            <w:tcW w:w="480" w:type="dxa"/>
            <w:vAlign w:val="bottom"/>
            <w:gridSpan w:val="2"/>
          </w:tcPr>
          <w:p>
            <w:pPr>
              <w:jc w:val="right"/>
              <w:ind w:right="88"/>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(16,637 )</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Year ended December 31, 2022</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1,768</w:t>
            </w:r>
          </w:p>
        </w:tc>
        <w:tc>
          <w:tcPr>
            <w:tcW w:w="3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11,549</w:t>
            </w:r>
          </w:p>
        </w:tc>
        <w:tc>
          <w:tcPr>
            <w:tcW w:w="480" w:type="dxa"/>
            <w:vAlign w:val="bottom"/>
            <w:gridSpan w:val="2"/>
            <w:shd w:val="clear" w:color="auto" w:fill="CFF0FC"/>
          </w:tcPr>
          <w:p>
            <w:pPr>
              <w:jc w:val="right"/>
              <w:ind w:right="88"/>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(10,051 )</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3,266</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Year ended December 31, 2021</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1,993</w:t>
            </w:r>
          </w:p>
        </w:tc>
        <w:tc>
          <w:tcPr>
            <w:tcW w:w="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6,144</w:t>
            </w:r>
          </w:p>
        </w:tc>
        <w:tc>
          <w:tcPr>
            <w:tcW w:w="480" w:type="dxa"/>
            <w:vAlign w:val="bottom"/>
            <w:gridSpan w:val="2"/>
          </w:tcPr>
          <w:p>
            <w:pPr>
              <w:jc w:val="right"/>
              <w:ind w:right="88"/>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(6,369 )</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91440</wp:posOffset>
            </wp:positionV>
            <wp:extent cx="951230"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159"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color w:val="auto"/>
        </w:rPr>
        <w:t>(1)</w:t>
      </w:r>
      <w:r>
        <w:rPr>
          <w:sz w:val="20"/>
          <w:szCs w:val="20"/>
          <w:color w:val="auto"/>
        </w:rPr>
        <w:tab/>
      </w:r>
      <w:r>
        <w:rPr>
          <w:rFonts w:ascii="Times New Roman" w:cs="Times New Roman" w:eastAsia="Times New Roman" w:hAnsi="Times New Roman"/>
          <w:sz w:val="17"/>
          <w:szCs w:val="17"/>
          <w:color w:val="auto"/>
        </w:rPr>
        <w:t>Deductions include actual accounts written-off, net of recoveries.</w:t>
      </w:r>
    </w:p>
    <w:p>
      <w:pPr>
        <w:spacing w:after="0" w:line="221" w:lineRule="exact"/>
        <w:rPr>
          <w:sz w:val="20"/>
          <w:szCs w:val="20"/>
          <w:color w:val="auto"/>
        </w:rPr>
      </w:pPr>
    </w:p>
    <w:p>
      <w:pPr>
        <w:ind w:firstLine="509"/>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Restricted Cash </w:t>
      </w:r>
      <w:r>
        <w:rPr>
          <w:rFonts w:ascii="Times New Roman" w:cs="Times New Roman" w:eastAsia="Times New Roman" w:hAnsi="Times New Roman"/>
          <w:sz w:val="18"/>
          <w:szCs w:val="18"/>
          <w:color w:val="auto"/>
        </w:rPr>
        <w:t>—The Company had restricted cash of $4.1 million at December 31, 2023 and $3.2 million at December 31, 2022 related to letters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credit for its leased facilities. The following table provides a reconciliation of the cash, cash equivalents and restricted cash within the consolidated balance sheets that sum to the total of the same such amounts shown in the statement of cash flows for the year ended December 31, 2023 and 2022.</w:t>
      </w:r>
    </w:p>
    <w:p>
      <w:pPr>
        <w:spacing w:after="0" w:line="182" w:lineRule="exact"/>
        <w:rPr>
          <w:sz w:val="20"/>
          <w:szCs w:val="20"/>
          <w:color w:val="auto"/>
        </w:rPr>
      </w:pPr>
    </w:p>
    <w:tbl>
      <w:tblPr>
        <w:tblLayout w:type="fixed"/>
        <w:tblInd w:w="580" w:type="dxa"/>
        <w:tblCellMar>
          <w:top w:w="0" w:type="dxa"/>
          <w:left w:w="0" w:type="dxa"/>
          <w:bottom w:w="0" w:type="dxa"/>
          <w:right w:w="0" w:type="dxa"/>
        </w:tblCellMar>
      </w:tblPr>
      <w:tr>
        <w:trPr>
          <w:trHeight w:val="187"/>
        </w:trPr>
        <w:tc>
          <w:tcPr>
            <w:tcW w:w="6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ind w:right="237"/>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2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200" w:type="dxa"/>
            <w:vAlign w:val="bottom"/>
          </w:tcPr>
          <w:p>
            <w:pPr>
              <w:spacing w:after="0"/>
              <w:rPr>
                <w:sz w:val="16"/>
                <w:szCs w:val="16"/>
                <w:color w:val="auto"/>
              </w:rPr>
            </w:pPr>
          </w:p>
        </w:tc>
      </w:tr>
      <w:tr>
        <w:trPr>
          <w:trHeight w:val="169"/>
        </w:trPr>
        <w:tc>
          <w:tcPr>
            <w:tcW w:w="6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(in</w:t>
            </w:r>
          </w:p>
        </w:tc>
        <w:tc>
          <w:tcPr>
            <w:tcW w:w="2000" w:type="dxa"/>
            <w:vAlign w:val="bottom"/>
            <w:gridSpan w:val="3"/>
          </w:tcPr>
          <w:p>
            <w:pPr>
              <w:jc w:val="right"/>
              <w:ind w:right="1275"/>
              <w:spacing w:after="0"/>
              <w:rPr>
                <w:sz w:val="20"/>
                <w:szCs w:val="20"/>
                <w:color w:val="auto"/>
              </w:rPr>
            </w:pPr>
            <w:r>
              <w:rPr>
                <w:rFonts w:ascii="Times New Roman" w:cs="Times New Roman" w:eastAsia="Times New Roman" w:hAnsi="Times New Roman"/>
                <w:sz w:val="14"/>
                <w:szCs w:val="14"/>
                <w:b w:val="1"/>
                <w:bCs w:val="1"/>
                <w:color w:val="auto"/>
                <w:w w:val="94"/>
              </w:rPr>
              <w:t>thousands)</w:t>
            </w:r>
          </w:p>
        </w:tc>
        <w:tc>
          <w:tcPr>
            <w:tcW w:w="200" w:type="dxa"/>
            <w:vAlign w:val="bottom"/>
          </w:tcPr>
          <w:p>
            <w:pPr>
              <w:spacing w:after="0"/>
              <w:rPr>
                <w:sz w:val="14"/>
                <w:szCs w:val="14"/>
                <w:color w:val="auto"/>
              </w:rPr>
            </w:pPr>
          </w:p>
        </w:tc>
      </w:tr>
      <w:tr>
        <w:trPr>
          <w:trHeight w:val="243"/>
        </w:trPr>
        <w:tc>
          <w:tcPr>
            <w:tcW w:w="6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387,987</w:t>
            </w:r>
          </w:p>
        </w:tc>
        <w:tc>
          <w:tcPr>
            <w:tcW w:w="42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331,022</w:t>
            </w:r>
          </w:p>
        </w:tc>
        <w:tc>
          <w:tcPr>
            <w:tcW w:w="200" w:type="dxa"/>
            <w:vAlign w:val="bottom"/>
            <w:shd w:val="clear" w:color="auto" w:fill="CFF0FC"/>
          </w:tcPr>
          <w:p>
            <w:pPr>
              <w:spacing w:after="0"/>
              <w:rPr>
                <w:sz w:val="21"/>
                <w:szCs w:val="21"/>
                <w:color w:val="auto"/>
              </w:rPr>
            </w:pPr>
          </w:p>
        </w:tc>
      </w:tr>
      <w:tr>
        <w:trPr>
          <w:trHeight w:val="243"/>
        </w:trPr>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 included in other assets</w:t>
            </w:r>
          </w:p>
        </w:tc>
        <w:tc>
          <w:tcPr>
            <w:tcW w:w="20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4,053</w:t>
            </w:r>
          </w:p>
        </w:tc>
        <w:tc>
          <w:tcPr>
            <w:tcW w:w="2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3,153</w:t>
            </w:r>
          </w:p>
        </w:tc>
        <w:tc>
          <w:tcPr>
            <w:tcW w:w="200" w:type="dxa"/>
            <w:vAlign w:val="bottom"/>
          </w:tcPr>
          <w:p>
            <w:pPr>
              <w:spacing w:after="0"/>
              <w:rPr>
                <w:sz w:val="21"/>
                <w:szCs w:val="21"/>
                <w:color w:val="auto"/>
              </w:rPr>
            </w:pPr>
          </w:p>
        </w:tc>
      </w:tr>
      <w:tr>
        <w:trPr>
          <w:trHeight w:val="276"/>
        </w:trPr>
        <w:tc>
          <w:tcPr>
            <w:tcW w:w="610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Total cash, cash equivalents, and restricted cash</w:t>
            </w: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392,040</w:t>
            </w:r>
          </w:p>
        </w:tc>
        <w:tc>
          <w:tcPr>
            <w:tcW w:w="20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334,175</w:t>
            </w:r>
          </w:p>
        </w:tc>
        <w:tc>
          <w:tcPr>
            <w:tcW w:w="2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5379720</wp:posOffset>
            </wp:positionH>
            <wp:positionV relativeFrom="paragraph">
              <wp:posOffset>-25400</wp:posOffset>
            </wp:positionV>
            <wp:extent cx="68580" cy="88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5379720</wp:posOffset>
            </wp:positionH>
            <wp:positionV relativeFrom="paragraph">
              <wp:posOffset>-8255</wp:posOffset>
            </wp:positionV>
            <wp:extent cx="68580" cy="88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6648450</wp:posOffset>
            </wp:positionH>
            <wp:positionV relativeFrom="paragraph">
              <wp:posOffset>-25400</wp:posOffset>
            </wp:positionV>
            <wp:extent cx="59690" cy="88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6648450</wp:posOffset>
            </wp:positionH>
            <wp:positionV relativeFrom="paragraph">
              <wp:posOffset>-8255</wp:posOffset>
            </wp:positionV>
            <wp:extent cx="59690" cy="88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59690" cy="8890"/>
                    </a:xfrm>
                    <a:prstGeom prst="rect">
                      <a:avLst/>
                    </a:prstGeom>
                    <a:noFill/>
                  </pic:spPr>
                </pic:pic>
              </a:graphicData>
            </a:graphic>
          </wp:anchor>
        </w:drawing>
      </w:r>
    </w:p>
    <w:p>
      <w:pPr>
        <w:spacing w:after="0" w:line="214" w:lineRule="exact"/>
        <w:rPr>
          <w:sz w:val="20"/>
          <w:szCs w:val="20"/>
          <w:color w:val="auto"/>
        </w:rPr>
      </w:pPr>
    </w:p>
    <w:p>
      <w:pPr>
        <w:ind w:right="340" w:firstLine="509"/>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Property and Equipment </w:t>
      </w:r>
      <w:r>
        <w:rPr>
          <w:rFonts w:ascii="Times New Roman" w:cs="Times New Roman" w:eastAsia="Times New Roman" w:hAnsi="Times New Roman"/>
          <w:sz w:val="18"/>
          <w:szCs w:val="18"/>
          <w:color w:val="auto"/>
        </w:rPr>
        <w:t>—Property and equipment are stated at cost and depreciated using the straight-line method over the estimated useful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lives of the related assets. Expenditures for maintenance and repairs are charged to expense as incurred, whereas major betterments are capitalized as additions to leasehold improvements. Depreciation is recorded over the following estimated useful lives:</w:t>
      </w:r>
    </w:p>
    <w:p>
      <w:pPr>
        <w:spacing w:after="0" w:line="182" w:lineRule="exact"/>
        <w:rPr>
          <w:sz w:val="20"/>
          <w:szCs w:val="20"/>
          <w:color w:val="auto"/>
        </w:rPr>
      </w:pPr>
    </w:p>
    <w:tbl>
      <w:tblPr>
        <w:tblLayout w:type="fixed"/>
        <w:tblInd w:w="1480" w:type="dxa"/>
        <w:tblCellMar>
          <w:top w:w="0" w:type="dxa"/>
          <w:left w:w="0" w:type="dxa"/>
          <w:bottom w:w="0" w:type="dxa"/>
          <w:right w:w="0" w:type="dxa"/>
        </w:tblCellMar>
      </w:tblPr>
      <w:tr>
        <w:trPr>
          <w:trHeight w:val="187"/>
        </w:trPr>
        <w:tc>
          <w:tcPr>
            <w:tcW w:w="4960" w:type="dxa"/>
            <w:vAlign w:val="bottom"/>
          </w:tcPr>
          <w:p>
            <w:pPr>
              <w:spacing w:after="0"/>
              <w:rPr>
                <w:sz w:val="16"/>
                <w:szCs w:val="16"/>
                <w:color w:val="auto"/>
              </w:rPr>
            </w:pPr>
          </w:p>
        </w:tc>
        <w:tc>
          <w:tcPr>
            <w:tcW w:w="3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Estimated Useful Life</w:t>
            </w:r>
          </w:p>
        </w:tc>
      </w:tr>
      <w:tr>
        <w:trPr>
          <w:trHeight w:val="236"/>
        </w:trPr>
        <w:tc>
          <w:tcPr>
            <w:tcW w:w="4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Employee related computer equipment</w:t>
            </w:r>
          </w:p>
        </w:tc>
        <w:tc>
          <w:tcPr>
            <w:tcW w:w="33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2 - 3 years</w:t>
            </w:r>
          </w:p>
        </w:tc>
      </w:tr>
      <w:tr>
        <w:trPr>
          <w:trHeight w:val="239"/>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Computer equipment and purchased software</w:t>
            </w:r>
          </w:p>
        </w:tc>
        <w:tc>
          <w:tcPr>
            <w:tcW w:w="3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 years</w:t>
            </w:r>
          </w:p>
        </w:tc>
      </w:tr>
      <w:tr>
        <w:trPr>
          <w:trHeight w:val="247"/>
        </w:trPr>
        <w:tc>
          <w:tcPr>
            <w:tcW w:w="4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33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5 years</w:t>
            </w:r>
          </w:p>
        </w:tc>
      </w:tr>
      <w:tr>
        <w:trPr>
          <w:trHeight w:val="239"/>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Internal use software</w:t>
            </w:r>
          </w:p>
        </w:tc>
        <w:tc>
          <w:tcPr>
            <w:tcW w:w="3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 years</w:t>
            </w:r>
          </w:p>
        </w:tc>
      </w:tr>
      <w:tr>
        <w:trPr>
          <w:trHeight w:val="261"/>
        </w:trPr>
        <w:tc>
          <w:tcPr>
            <w:tcW w:w="4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33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Lesser of lease term or useful life</w:t>
            </w:r>
          </w:p>
        </w:tc>
      </w:tr>
    </w:tbl>
    <w:p>
      <w:pPr>
        <w:spacing w:after="0" w:line="225" w:lineRule="exact"/>
        <w:rPr>
          <w:sz w:val="20"/>
          <w:szCs w:val="20"/>
          <w:color w:val="auto"/>
        </w:rPr>
      </w:pPr>
    </w:p>
    <w:p>
      <w:pPr>
        <w:ind w:right="340" w:firstLine="509"/>
        <w:spacing w:after="0" w:line="261" w:lineRule="auto"/>
        <w:rPr>
          <w:sz w:val="20"/>
          <w:szCs w:val="20"/>
          <w:color w:val="auto"/>
        </w:rPr>
      </w:pPr>
      <w:r>
        <w:rPr>
          <w:rFonts w:ascii="Times New Roman" w:cs="Times New Roman" w:eastAsia="Times New Roman" w:hAnsi="Times New Roman"/>
          <w:sz w:val="18"/>
          <w:szCs w:val="18"/>
          <w:color w:val="auto"/>
        </w:rPr>
        <w:t>The Company capitalizes certain payroll and stock compensation costs incurred to develop functionality for certain of the Company’s internally built software platforms. The costs incurred during the preliminary stages of development are expensed as incurred. Once a piece of incremental functionality has reached the development stage certain internal costs are capitalized until the functionality is ready for its intended use. Internal-use software is included within property and equipment on the balance sheet.</w:t>
      </w:r>
    </w:p>
    <w:p>
      <w:pPr>
        <w:spacing w:after="0" w:line="149"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Impairment of Long-Lived Assets </w:t>
      </w:r>
      <w:r>
        <w:rPr>
          <w:rFonts w:ascii="Times New Roman" w:cs="Times New Roman" w:eastAsia="Times New Roman" w:hAnsi="Times New Roman"/>
          <w:sz w:val="18"/>
          <w:szCs w:val="18"/>
          <w:color w:val="auto"/>
        </w:rPr>
        <w:t>—Long-lived assets are reviewed for impairment whenever events or changes in circumstances indicate that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carrying amount of the asset may not be recoverable or that the useful lives of those assets are no longer appropriate. Management considers the following potential indicators of impairment of its long-lived assets (asset group): a substantial decrease in the Company’s stock price, a significant adverse change in the extent or manner in which a long-lived asset (asset group) is being used, a significant adverse change in legal factors or in the business climate that could affect the value of the long-lived asset (asset group), an accumulation of costs significantly in excess of the amount originally expected for the acquisition or construction of a long-lived asset (asset group), and a current expectation that, more likely than not, a long lived asset (asset group) will be sold or otherwise disposed of significantly before the end of its previously estimated useful life. When such events occur, the</w:t>
      </w:r>
    </w:p>
    <w:p>
      <w:pPr>
        <w:spacing w:after="0" w:line="3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01" w:right="379" w:bottom="1440" w:gutter="0" w:footer="0" w:header="0"/>
        </w:sectPr>
      </w:pPr>
    </w:p>
    <w:bookmarkStart w:id="76" w:name="page77"/>
    <w:bookmarkEnd w:id="76"/>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Company compares the carrying amounts of the assets to their undiscounted expected future cash flows. If this comparison indicates that there may be an impairment, the amount of the impairment is calculated as the difference between the carrying value and fair value. For the years presented, the Company did not recognize an impairment charge.</w:t>
      </w:r>
    </w:p>
    <w:p>
      <w:pPr>
        <w:spacing w:after="0" w:line="145" w:lineRule="exact"/>
        <w:rPr>
          <w:sz w:val="20"/>
          <w:szCs w:val="20"/>
          <w:color w:val="auto"/>
        </w:rPr>
      </w:pPr>
    </w:p>
    <w:p>
      <w:pPr>
        <w:ind w:right="100" w:firstLine="509"/>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Intangible Assets </w:t>
      </w:r>
      <w:r>
        <w:rPr>
          <w:rFonts w:ascii="Times New Roman" w:cs="Times New Roman" w:eastAsia="Times New Roman" w:hAnsi="Times New Roman"/>
          <w:sz w:val="18"/>
          <w:szCs w:val="18"/>
          <w:color w:val="auto"/>
        </w:rPr>
        <w:t>— Intangible assets consist of acquired technology, trade name, customer relationships and a domain name. The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records acquired intangible assets at fair value on the date of acquisition and amortize such assets in a pattern reflective of the expected economic benefits consumption over the expected useful life of the asset. If this pattern cannot be reliably determined, a straight-line amortization method is used. The Company evaluates the useful lives of these assets on an annual basis and tests for impairment whenever events or changes in circumstances occur that could impact the recoverability of these assets. If the estimate of an intangible asset’s remaining useful life is changed, the remaining carrying value of the intangible asset is amortized prospectively over the revised remaining useful life.</w:t>
      </w:r>
    </w:p>
    <w:p>
      <w:pPr>
        <w:spacing w:after="0" w:line="142"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Goodwill </w:t>
      </w:r>
      <w:r>
        <w:rPr>
          <w:rFonts w:ascii="Times New Roman" w:cs="Times New Roman" w:eastAsia="Times New Roman" w:hAnsi="Times New Roman"/>
          <w:sz w:val="18"/>
          <w:szCs w:val="18"/>
          <w:color w:val="auto"/>
        </w:rPr>
        <w:t>— Goodwill represents the excess of cost over the fair value of the net tangible and identifiable intangible assets acquired in a business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combination. Goodwill is not subject to amortization but is monitored annually for impairment or more frequently if there are indicators of impairment. Management considers the following potential indicators of impairment: significant underperformance relative to historical or projected future operating results, significant changes in the Company’s use of acquired assets or the strategy of the Company’s overall business, significant negative industry or economic trends and a significant decline in the Company’s stock price for a sustained period. The Company performs its annual impairment test on November 30. The Company’s goodwill is evaluated at the consolidated level as it has been determined there is one operating segment comprised of one reporting unit. The Company performed a quantitative assessment, which compared the fair value of the reporting unit with its carrying value. If the carrying amount of the reporting unit exceeds its fair value, an impairment loss is recognized. Based on the quantitative assessment performed on November 30, 2023, the fair value exceeded the carrying value, and as such, there was no impairment of goodwill as of November 30, 2023. There were no triggering events after the measurement date that may indicate impairment as of December 31, 2023.</w:t>
      </w:r>
    </w:p>
    <w:p>
      <w:pPr>
        <w:spacing w:after="0" w:line="14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For the years ended December 31, 2023, 2022 and 2021, the Company did not recognize an impairment charge.</w:t>
      </w:r>
    </w:p>
    <w:p>
      <w:pPr>
        <w:spacing w:after="0" w:line="194" w:lineRule="exact"/>
        <w:rPr>
          <w:sz w:val="20"/>
          <w:szCs w:val="20"/>
          <w:color w:val="auto"/>
        </w:rPr>
      </w:pPr>
    </w:p>
    <w:p>
      <w:pPr>
        <w:ind w:right="80" w:firstLine="509"/>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Business Combinations </w:t>
      </w:r>
      <w:r>
        <w:rPr>
          <w:rFonts w:ascii="Times New Roman" w:cs="Times New Roman" w:eastAsia="Times New Roman" w:hAnsi="Times New Roman"/>
          <w:sz w:val="18"/>
          <w:szCs w:val="18"/>
          <w:color w:val="auto"/>
        </w:rPr>
        <w:t>— The Company uses its best estimates and assumptions to assign fair value to the tangible and intangible assets acquired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liabilities assumed at the acquisition date. The purchase price allocation process requires management to make significant judgment with respect to intangible assets. Fair value and useful life determinations are based on, among other factors, estimates of future expected cash flows attributable to the acquired intangible asset and appropriate discount rates used in computing present values. Goodwill represents the excess of the purchase price over the estimated fair values of the assets acquired and liabilities assumed.</w:t>
      </w:r>
    </w:p>
    <w:p>
      <w:pPr>
        <w:spacing w:after="0" w:line="143"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The Company’s estimates are inherently uncertain and subject to refinement. During the measurement period, which may be up to one year from the acquisition date, the Company may record adjustments to the fair value of these tangible and intangible assets acquired and liabilities assumed, with the corresponding offset to goodwill. The Company continues to collect information and reevaluates these estimates and assumptions quarterly and records any adjustments to the Company’s preliminary estimates to goodwill provided that the Company is within the measurement period. Upon the conclusion of the measurement period or final determination of the fair value of assets acquired or liabilities assumed, whichever comes first, any subsequent adjustments are recorded to the Company’s consolidated statement of operations.</w:t>
      </w:r>
    </w:p>
    <w:p>
      <w:pPr>
        <w:spacing w:after="0" w:line="143" w:lineRule="exact"/>
        <w:rPr>
          <w:sz w:val="20"/>
          <w:szCs w:val="20"/>
          <w:color w:val="auto"/>
        </w:rPr>
      </w:pPr>
    </w:p>
    <w:p>
      <w:pPr>
        <w:ind w:right="200" w:firstLine="509"/>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Advertising Expense </w:t>
      </w:r>
      <w:r>
        <w:rPr>
          <w:rFonts w:ascii="Times New Roman" w:cs="Times New Roman" w:eastAsia="Times New Roman" w:hAnsi="Times New Roman"/>
          <w:sz w:val="18"/>
          <w:szCs w:val="18"/>
          <w:color w:val="auto"/>
        </w:rPr>
        <w:t>—The Company expenses advertising as incurred, which is included in sales and marketing expense in the accompanying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consolidated statements of operations. The Company incurred $105.3 million of advertising expense in 2023, $59.4 million in 2022, and $37.3 million in 2021.</w:t>
      </w:r>
    </w:p>
    <w:p>
      <w:pPr>
        <w:spacing w:after="0" w:line="144" w:lineRule="exact"/>
        <w:rPr>
          <w:sz w:val="20"/>
          <w:szCs w:val="20"/>
          <w:color w:val="auto"/>
        </w:rPr>
      </w:pPr>
    </w:p>
    <w:p>
      <w:pPr>
        <w:jc w:val="both"/>
        <w:ind w:right="240" w:firstLine="509"/>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Leases </w:t>
      </w:r>
      <w:r>
        <w:rPr>
          <w:rFonts w:ascii="Times New Roman" w:cs="Times New Roman" w:eastAsia="Times New Roman" w:hAnsi="Times New Roman"/>
          <w:sz w:val="18"/>
          <w:szCs w:val="18"/>
          <w:color w:val="auto"/>
        </w:rPr>
        <w:t>— The Company determines if an arrangement contains a lease at inception and does not separate lease and non-lease components of 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arrangement determined to contain a lease. Operating leases are included in right-of-use ("ROU") assets, current operating lease liabilities and operating lease liabilities, net of current portion, on the Company’s consolidated balance sheet.</w:t>
      </w:r>
    </w:p>
    <w:p>
      <w:pPr>
        <w:spacing w:after="0" w:line="134"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Operating leases with a duration of 12 months or less are excluded from ROU assets and operating lease liabilities and related expenses are recorded as incurred.</w:t>
      </w:r>
    </w:p>
    <w:p>
      <w:pPr>
        <w:spacing w:after="0" w:line="121" w:lineRule="exact"/>
        <w:rPr>
          <w:sz w:val="20"/>
          <w:szCs w:val="20"/>
          <w:color w:val="auto"/>
        </w:rPr>
      </w:pPr>
    </w:p>
    <w:p>
      <w:pPr>
        <w:ind w:firstLine="509"/>
        <w:spacing w:after="0" w:line="274" w:lineRule="auto"/>
        <w:rPr>
          <w:sz w:val="20"/>
          <w:szCs w:val="20"/>
          <w:color w:val="auto"/>
        </w:rPr>
      </w:pPr>
      <w:r>
        <w:rPr>
          <w:rFonts w:ascii="Times New Roman" w:cs="Times New Roman" w:eastAsia="Times New Roman" w:hAnsi="Times New Roman"/>
          <w:sz w:val="17"/>
          <w:szCs w:val="17"/>
          <w:color w:val="auto"/>
        </w:rPr>
        <w:t>ROU assets represent the Company's right to use an underlying asset for the lease term and the corresponding lease liabilities represent its obligation to make lease payments arising from the lease. Lease ROU assets and lease liabilities are recognized based on the present value of the future minimum lease payments over the lease term at the lease commencement date. The lease ROU asset includes any initial direct costs incurred and is reduced for tenant incentives. As the Company’s operating leases do not provide an implicit rate, the net present value of future minimum lease payments is determined using the Company’s incremental borrowing rate. To determine the estimated incremental borrowing rate, the Company uses publicly available credit ratings for peer companies. The Company estimates the incremental borrowing rate using yields for maturities that are in line with the duration of the lease payments.</w:t>
      </w:r>
    </w:p>
    <w:p>
      <w:pPr>
        <w:spacing w:after="0" w:line="3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467360</wp:posOffset>
            </wp:positionV>
            <wp:extent cx="7157720" cy="425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61" w:right="35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color w:val="auto"/>
        </w:rPr>
        <w:t>The Company evaluates the recoverability of the ROU assets for possible impairment in accordance with the long-lived assets policy above.</w:t>
      </w:r>
    </w:p>
    <w:p>
      <w:pPr>
        <w:spacing w:after="0" w:line="198" w:lineRule="exact"/>
        <w:rPr>
          <w:sz w:val="20"/>
          <w:szCs w:val="20"/>
          <w:color w:val="auto"/>
        </w:rPr>
      </w:pPr>
    </w:p>
    <w:p>
      <w:pPr>
        <w:ind w:right="880" w:firstLine="509"/>
        <w:spacing w:after="0" w:line="266" w:lineRule="auto"/>
        <w:rPr>
          <w:sz w:val="20"/>
          <w:szCs w:val="20"/>
          <w:color w:val="auto"/>
        </w:rPr>
      </w:pPr>
      <w:r>
        <w:rPr>
          <w:rFonts w:ascii="Times New Roman" w:cs="Times New Roman" w:eastAsia="Times New Roman" w:hAnsi="Times New Roman"/>
          <w:sz w:val="18"/>
          <w:szCs w:val="18"/>
          <w:color w:val="auto"/>
        </w:rPr>
        <w:t>Lease expense for minimum lease payments for operating leases is recognized on a straight-line basis over the lease term. Improvement reimbursements from landlords are amortized through ROU assets on a straight-line basis as a reduction to rent expense over the terms of the corresponding leases.</w:t>
      </w:r>
    </w:p>
    <w:p>
      <w:pPr>
        <w:spacing w:after="0" w:line="13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Asset retirement obligations (“ARO”)</w:t>
      </w:r>
    </w:p>
    <w:p>
      <w:pPr>
        <w:spacing w:after="0" w:line="189" w:lineRule="exact"/>
        <w:rPr>
          <w:sz w:val="20"/>
          <w:szCs w:val="20"/>
          <w:color w:val="auto"/>
        </w:rPr>
      </w:pPr>
    </w:p>
    <w:p>
      <w:pPr>
        <w:ind w:right="180" w:firstLine="509"/>
        <w:spacing w:after="0" w:line="266" w:lineRule="auto"/>
        <w:rPr>
          <w:sz w:val="20"/>
          <w:szCs w:val="20"/>
          <w:color w:val="auto"/>
        </w:rPr>
      </w:pPr>
      <w:r>
        <w:rPr>
          <w:rFonts w:ascii="Times New Roman" w:cs="Times New Roman" w:eastAsia="Times New Roman" w:hAnsi="Times New Roman"/>
          <w:sz w:val="18"/>
          <w:szCs w:val="18"/>
          <w:color w:val="auto"/>
        </w:rPr>
        <w:t>On the lease commencement date the Company establishes an ARO based on the present value of contractually required estimated future costs to retire long-lived assets at the termination or expiration of a lease. The asset associated with the ARO is amortized over the corresponding lease term to operating expense and the ARO is accreted to the end of lease obligation value over the same term.</w:t>
      </w:r>
    </w:p>
    <w:p>
      <w:pPr>
        <w:spacing w:after="0" w:line="145" w:lineRule="exact"/>
        <w:rPr>
          <w:sz w:val="20"/>
          <w:szCs w:val="20"/>
          <w:color w:val="auto"/>
        </w:rPr>
      </w:pPr>
    </w:p>
    <w:p>
      <w:pPr>
        <w:ind w:firstLine="509"/>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Revenue Recognition </w:t>
      </w:r>
      <w:r>
        <w:rPr>
          <w:rFonts w:ascii="Times New Roman" w:cs="Times New Roman" w:eastAsia="Times New Roman" w:hAnsi="Times New Roman"/>
          <w:sz w:val="18"/>
          <w:szCs w:val="18"/>
          <w:color w:val="auto"/>
        </w:rPr>
        <w:t>— The Company generates revenue from arrangements with multiple performance obligations, which typically include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subscriptions to its online software products and professional services which include on-boarding, training and consulting services. The Company’s customers do not have the right to take possession of the online software products. The Company recognizes revenue from contracts with customers using a five-step model, which is described below:</w:t>
      </w:r>
    </w:p>
    <w:p>
      <w:pPr>
        <w:spacing w:after="0" w:line="140" w:lineRule="exact"/>
        <w:rPr>
          <w:sz w:val="20"/>
          <w:szCs w:val="20"/>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the customer contract;</w:t>
      </w:r>
    </w:p>
    <w:p>
      <w:pPr>
        <w:spacing w:after="0" w:line="18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performance obligations that are distinct;</w:t>
      </w:r>
    </w:p>
    <w:p>
      <w:pPr>
        <w:spacing w:after="0" w:line="19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the transaction price;</w:t>
      </w:r>
    </w:p>
    <w:p>
      <w:pPr>
        <w:spacing w:after="0" w:line="18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Allocate the transaction price to the distinct performance obligations; and</w:t>
      </w:r>
    </w:p>
    <w:p>
      <w:pPr>
        <w:spacing w:after="0" w:line="18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Recognize revenue as the performance obligations are satisfied.</w:t>
      </w:r>
    </w:p>
    <w:p>
      <w:pPr>
        <w:spacing w:after="0" w:line="19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Identify the customer contract</w:t>
      </w:r>
    </w:p>
    <w:p>
      <w:pPr>
        <w:spacing w:after="0" w:line="187" w:lineRule="exact"/>
        <w:rPr>
          <w:sz w:val="20"/>
          <w:szCs w:val="20"/>
          <w:color w:val="auto"/>
        </w:rPr>
      </w:pPr>
    </w:p>
    <w:p>
      <w:pPr>
        <w:ind w:right="220" w:firstLine="509"/>
        <w:spacing w:after="0" w:line="282" w:lineRule="auto"/>
        <w:rPr>
          <w:sz w:val="20"/>
          <w:szCs w:val="20"/>
          <w:color w:val="auto"/>
        </w:rPr>
      </w:pPr>
      <w:r>
        <w:rPr>
          <w:rFonts w:ascii="Times New Roman" w:cs="Times New Roman" w:eastAsia="Times New Roman" w:hAnsi="Times New Roman"/>
          <w:sz w:val="18"/>
          <w:szCs w:val="18"/>
          <w:color w:val="auto"/>
        </w:rPr>
        <w:t>A customer contract is generally identified when the Company and a customer have executed an arrangement that calls for the Company to grant access to its online software products and provide professional services in exchange for consideration from the customer.</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Identify performance obligations that are distinct</w:t>
      </w:r>
    </w:p>
    <w:p>
      <w:pPr>
        <w:spacing w:after="0" w:line="200"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A performance obligation is a promise to provide a distinct good or service or a series of distinct goods or services. A good or service that is promised to a customer is distinct if the customer can benefit from the good or service either on its own or together with other resources that are readily available to the customer, and a company’s promise to transfer the good or service to the customer is separately identifiable from other promises in the contract. The Company has determined that subscriptions for its online software products are distinct because, once a customer has access to the online software product that it purchased, the online software product is fully functional and does not require any additional development, modification, or customization. Professional services sold are distinct because the customer benefits from the on-boarding, training and consulting to make better use of the online software products it purchased.</w:t>
      </w:r>
    </w:p>
    <w:p>
      <w:pPr>
        <w:spacing w:after="0" w:line="14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Determine the transaction price</w:t>
      </w:r>
    </w:p>
    <w:p>
      <w:pPr>
        <w:spacing w:after="0" w:line="187"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The transaction price is the amount of consideration to which the Company expects to be entitled in exchange for transferring goods or services to a customer, excluding sales taxes that are collected on behalf of government agencies. The Company estimates any variable consideration to which it will be entitled at contract inception, and reassesses at each reporting date, when determining the transaction price. The Company does not include variable consideration to the extent that it is probable that a significant reversal in the amount of cumulative revenue recognized will occur when any uncertainty associated with the variable consideration is resolved.</w:t>
      </w:r>
    </w:p>
    <w:p>
      <w:pPr>
        <w:spacing w:after="0" w:line="15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Allocate the transaction price to the distinct performance obligations</w:t>
      </w:r>
    </w:p>
    <w:p>
      <w:pPr>
        <w:spacing w:after="0" w:line="187"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The transaction price is allocated to each performance obligation based on the relative standalone selling prices (“SSP”) of the goods or services being provided to the customer. The Company determines the SSP of its goods and services based upon the average sales prices for each type of online software product and professional services sold. In instances where there are not sufficient data points, or the selling prices for a particular online software product or professional service are disparate, the Company estimates the SSP using other observable inputs, such as similar products or services.</w:t>
      </w:r>
    </w:p>
    <w:p>
      <w:pPr>
        <w:spacing w:after="0" w:line="35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161" w:right="419" w:bottom="1440" w:gutter="0" w:footer="0" w:header="0"/>
        </w:sectPr>
      </w:pPr>
    </w:p>
    <w:bookmarkStart w:id="78" w:name="page79"/>
    <w:bookmarkEnd w:id="78"/>
    <w:p>
      <w:pPr>
        <w:ind w:left="520"/>
        <w:spacing w:after="0"/>
        <w:rPr>
          <w:sz w:val="20"/>
          <w:szCs w:val="20"/>
          <w:color w:val="auto"/>
        </w:rPr>
      </w:pPr>
      <w:r>
        <w:rPr>
          <w:rFonts w:ascii="Times New Roman" w:cs="Times New Roman" w:eastAsia="Times New Roman" w:hAnsi="Times New Roman"/>
          <w:sz w:val="18"/>
          <w:szCs w:val="18"/>
          <w:i w:val="1"/>
          <w:iCs w:val="1"/>
          <w:color w:val="auto"/>
        </w:rPr>
        <w:t>Recognize revenue as the performance obligations are satisfied</w:t>
      </w:r>
    </w:p>
    <w:p>
      <w:pPr>
        <w:spacing w:after="0" w:line="200"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Revenues are recognized when or as control of the promised goods or services is transferred to customers. Revenue from online software products is recognized ratably over the subscription period beginning on the date the Company’s online software products are made available to customers. Most subscription contracts are one year or less. The Company recognizes revenue from on-boarding, training, and consulting services as the services are provided. Cash payments received in advance of providing subscription or services are recorded to deferred revenue until the performance obligation is satisfied.</w:t>
      </w:r>
    </w:p>
    <w:p>
      <w:pPr>
        <w:spacing w:after="0" w:line="13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Solutions Partner Commissions</w:t>
      </w:r>
    </w:p>
    <w:p>
      <w:pPr>
        <w:spacing w:after="0" w:line="189"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The Company pays its Solutions Partners a commission based on the online software product sales price for sales to end-customers. The classification of the commission paid in the Company’s consolidated statements of operations depends on who purchases the online software product. In instances where an end-customer purchases from the Company, the commission paid to the Solutions Partner is recorded as sales and marketing expense. When a Solutions Partner purchases directly from the Company, the commission paid to the Solutions Partner is netted against the associated revenue recognized.</w:t>
      </w:r>
    </w:p>
    <w:p>
      <w:pPr>
        <w:spacing w:after="0" w:line="15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Assets Recognized from the Costs to Obtain a Contract with a Customer</w:t>
      </w:r>
    </w:p>
    <w:p>
      <w:pPr>
        <w:spacing w:after="0" w:line="189"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The incremental direct costs of obtaining a contract, which primarily consist of employee sales and Solutions Partner commissions paid for new subscription contracts, are deferred and amortized on a straight-line basis over a period of approximately two to four years. The two to four-year period has been determined by taking into consideration the type of product sold, the commitment term of the customer contract, the nature of the Company’s technology development life-cycle, and an estimated customer relationship period. Sales and Solutions Partner commissions for upgrade contracts are deferred and amortized on a straight-line basis over the remaining estimated customer relationship period of the related customer. Deferred commission expense that will be recorded as expense during the succeeding 12-month period is recorded as current deferred commission expense, and the remaining portion is recorded as long-term deferred commission expense.</w:t>
      </w:r>
    </w:p>
    <w:p>
      <w:pPr>
        <w:spacing w:after="0" w:line="144" w:lineRule="exact"/>
        <w:rPr>
          <w:sz w:val="20"/>
          <w:szCs w:val="20"/>
          <w:color w:val="auto"/>
        </w:rPr>
      </w:pPr>
    </w:p>
    <w:p>
      <w:pPr>
        <w:ind w:right="340" w:firstLine="509"/>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Concentrations of Credit Risk and Significant Customers </w:t>
      </w:r>
      <w:r>
        <w:rPr>
          <w:rFonts w:ascii="Times New Roman" w:cs="Times New Roman" w:eastAsia="Times New Roman" w:hAnsi="Times New Roman"/>
          <w:sz w:val="18"/>
          <w:szCs w:val="18"/>
          <w:color w:val="auto"/>
        </w:rPr>
        <w:t>—Financial instruments that potentially expose the Company to concentrations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credit risk consist primarily of cash, investments and accounts receivable.</w:t>
      </w:r>
    </w:p>
    <w:p>
      <w:pPr>
        <w:spacing w:after="0" w:line="132" w:lineRule="exact"/>
        <w:rPr>
          <w:sz w:val="20"/>
          <w:szCs w:val="20"/>
          <w:color w:val="auto"/>
        </w:rPr>
      </w:pPr>
    </w:p>
    <w:p>
      <w:pPr>
        <w:ind w:right="160" w:firstLine="509"/>
        <w:spacing w:after="0" w:line="266" w:lineRule="auto"/>
        <w:rPr>
          <w:sz w:val="20"/>
          <w:szCs w:val="20"/>
          <w:color w:val="auto"/>
        </w:rPr>
      </w:pPr>
      <w:r>
        <w:rPr>
          <w:rFonts w:ascii="Times New Roman" w:cs="Times New Roman" w:eastAsia="Times New Roman" w:hAnsi="Times New Roman"/>
          <w:sz w:val="18"/>
          <w:szCs w:val="18"/>
          <w:color w:val="auto"/>
        </w:rPr>
        <w:t>The Company's cash and cash equivalents are generally held with large financial institutions. Although the Company's deposits may exceed federally insured limits, the financial institutions that the Company uses have high investment-grade credit ratings and, as a result, the Company believes that, as of December 31, 2023, its risk relating to deposits exceeding federally insured limits was not significant.</w:t>
      </w:r>
    </w:p>
    <w:p>
      <w:pPr>
        <w:spacing w:after="0" w:line="135" w:lineRule="exact"/>
        <w:rPr>
          <w:sz w:val="20"/>
          <w:szCs w:val="20"/>
          <w:color w:val="auto"/>
        </w:rPr>
      </w:pPr>
    </w:p>
    <w:p>
      <w:pPr>
        <w:ind w:right="260" w:firstLine="509"/>
        <w:spacing w:after="0" w:line="266" w:lineRule="auto"/>
        <w:rPr>
          <w:sz w:val="20"/>
          <w:szCs w:val="20"/>
          <w:color w:val="auto"/>
        </w:rPr>
      </w:pPr>
      <w:r>
        <w:rPr>
          <w:rFonts w:ascii="Times New Roman" w:cs="Times New Roman" w:eastAsia="Times New Roman" w:hAnsi="Times New Roman"/>
          <w:sz w:val="18"/>
          <w:szCs w:val="18"/>
          <w:color w:val="auto"/>
        </w:rPr>
        <w:t>The Company’s investments consist of highly rated corporate debt securities and U.S. Treasury securities. The Company limits the amount of investments in any single issuer, except U.S. Treasuries. The Company believes that, as of December 31, 2023, its concentration of credit risk related to investments was not significant.</w:t>
      </w:r>
    </w:p>
    <w:p>
      <w:pPr>
        <w:spacing w:after="0" w:line="13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 has no significant off-balance sheet risk such as foreign exchange contracts, option contracts, or other hedging arrangements.</w:t>
      </w:r>
    </w:p>
    <w:p>
      <w:pPr>
        <w:spacing w:after="0" w:line="198" w:lineRule="exact"/>
        <w:rPr>
          <w:sz w:val="20"/>
          <w:szCs w:val="20"/>
          <w:color w:val="auto"/>
        </w:rPr>
      </w:pPr>
    </w:p>
    <w:p>
      <w:pPr>
        <w:jc w:val="both"/>
        <w:ind w:right="20" w:firstLine="509"/>
        <w:spacing w:after="0" w:line="266" w:lineRule="auto"/>
        <w:rPr>
          <w:sz w:val="20"/>
          <w:szCs w:val="20"/>
          <w:color w:val="auto"/>
        </w:rPr>
      </w:pPr>
      <w:r>
        <w:rPr>
          <w:rFonts w:ascii="Times New Roman" w:cs="Times New Roman" w:eastAsia="Times New Roman" w:hAnsi="Times New Roman"/>
          <w:sz w:val="18"/>
          <w:szCs w:val="18"/>
          <w:color w:val="auto"/>
        </w:rPr>
        <w:t>The Company generally does not require collateral from its customers and generally requires payment 30 days from the invoice date. The Company maintains an allowance for credit losses based on its assessment of the collectability of accounts receivable. Credit risk arising from accounts receivable is mitigated as a result of transacting with a large number of geographically dispersed customers spread across various industries.</w:t>
      </w:r>
    </w:p>
    <w:p>
      <w:pPr>
        <w:spacing w:after="0" w:line="135" w:lineRule="exact"/>
        <w:rPr>
          <w:sz w:val="20"/>
          <w:szCs w:val="20"/>
          <w:color w:val="auto"/>
        </w:rPr>
      </w:pPr>
    </w:p>
    <w:p>
      <w:pPr>
        <w:ind w:right="240" w:firstLine="509"/>
        <w:spacing w:after="0" w:line="282" w:lineRule="auto"/>
        <w:rPr>
          <w:sz w:val="20"/>
          <w:szCs w:val="20"/>
          <w:color w:val="auto"/>
        </w:rPr>
      </w:pPr>
      <w:r>
        <w:rPr>
          <w:rFonts w:ascii="Times New Roman" w:cs="Times New Roman" w:eastAsia="Times New Roman" w:hAnsi="Times New Roman"/>
          <w:sz w:val="18"/>
          <w:szCs w:val="18"/>
          <w:color w:val="auto"/>
        </w:rPr>
        <w:t>At December 31, 2023 and 2022, there were no customers that represented more than 10% of the net accounts receivable balance. There were no customers that individually exceeded 10% of the Company’s revenue in any of the periods presented.</w:t>
      </w:r>
    </w:p>
    <w:p>
      <w:pPr>
        <w:spacing w:after="0" w:line="158" w:lineRule="exact"/>
        <w:rPr>
          <w:sz w:val="20"/>
          <w:szCs w:val="20"/>
          <w:color w:val="auto"/>
        </w:rPr>
      </w:pPr>
    </w:p>
    <w:p>
      <w:pPr>
        <w:ind w:firstLine="509"/>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Foreign Currency </w:t>
      </w:r>
      <w:r>
        <w:rPr>
          <w:rFonts w:ascii="Times New Roman" w:cs="Times New Roman" w:eastAsia="Times New Roman" w:hAnsi="Times New Roman"/>
          <w:sz w:val="18"/>
          <w:szCs w:val="18"/>
          <w:color w:val="auto"/>
        </w:rPr>
        <w:t>—The functional currency of the Company’s foreign subsidiaries is the local currency. Assets and liabilities denominated in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foreign currency are translated into U.S. dollars at the exchange rates in effect at the balance sheet dates, with the resulting translation adjustments directly recorded to a separate component of accumulated other comprehensive loss. Income and expense accounts are translated at the weighted-average exchange rates during the period. Foreign currency transaction gains and losses are recorded in other expense.</w:t>
      </w:r>
    </w:p>
    <w:p>
      <w:pPr>
        <w:spacing w:after="0" w:line="176" w:lineRule="exact"/>
        <w:rPr>
          <w:sz w:val="20"/>
          <w:szCs w:val="20"/>
          <w:color w:val="auto"/>
        </w:rPr>
      </w:pPr>
    </w:p>
    <w:p>
      <w:pPr>
        <w:ind w:right="20" w:firstLine="509"/>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Research and Development </w:t>
      </w:r>
      <w:r>
        <w:rPr>
          <w:rFonts w:ascii="Times New Roman" w:cs="Times New Roman" w:eastAsia="Times New Roman" w:hAnsi="Times New Roman"/>
          <w:sz w:val="18"/>
          <w:szCs w:val="18"/>
          <w:color w:val="auto"/>
        </w:rPr>
        <w:t>—Research and development expenses include payroll, employee benefits and other expenses associated with product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development.</w:t>
      </w:r>
    </w:p>
    <w:p>
      <w:pPr>
        <w:spacing w:after="0" w:line="155" w:lineRule="exact"/>
        <w:rPr>
          <w:sz w:val="20"/>
          <w:szCs w:val="20"/>
          <w:color w:val="auto"/>
        </w:rPr>
      </w:pPr>
    </w:p>
    <w:p>
      <w:pPr>
        <w:jc w:val="both"/>
        <w:ind w:right="260" w:firstLine="509"/>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Capitalized Software Development Costs </w:t>
      </w:r>
      <w:r>
        <w:rPr>
          <w:rFonts w:ascii="Times New Roman" w:cs="Times New Roman" w:eastAsia="Times New Roman" w:hAnsi="Times New Roman"/>
          <w:sz w:val="18"/>
          <w:szCs w:val="18"/>
          <w:color w:val="auto"/>
        </w:rPr>
        <w:t>—Certain payroll and stock compensation costs incurred to develop functionality for the Company’s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software and internally built software platforms, as well as certain upgrades and enhancements that are expected to result in enhanced functionality are capitalized. Certain implementation costs, including external direct costs, incurred during the</w:t>
      </w:r>
    </w:p>
    <w:p>
      <w:pPr>
        <w:spacing w:after="0" w:line="17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59" w:right="399" w:bottom="1440" w:gutter="0" w:footer="0" w:header="0"/>
        </w:sectPr>
      </w:pPr>
    </w:p>
    <w:bookmarkStart w:id="79" w:name="page80"/>
    <w:bookmarkEnd w:id="79"/>
    <w:p>
      <w:pPr>
        <w:ind w:right="40"/>
        <w:spacing w:after="0" w:line="258" w:lineRule="auto"/>
        <w:rPr>
          <w:sz w:val="20"/>
          <w:szCs w:val="20"/>
          <w:color w:val="auto"/>
        </w:rPr>
      </w:pPr>
      <w:r>
        <w:rPr>
          <w:rFonts w:ascii="Times New Roman" w:cs="Times New Roman" w:eastAsia="Times New Roman" w:hAnsi="Times New Roman"/>
          <w:sz w:val="18"/>
          <w:szCs w:val="18"/>
          <w:color w:val="auto"/>
        </w:rPr>
        <w:t>development stage of cloud computing arrangements are also capitalized. The costs incurred in the preliminary stages of development are expensed as incurred. Once an application has reached the development stage, the Company capitalizes certain software development costs for new offerings as well as upgrades to existing software platforms. Capitalized software development costs are amortized on a straight-line basis over their estimated useful life of two to five years. Management evaluates the useful lives of these assets on a quarterly basis and tests for impairment whenever events or changes in circumstances occur that could impact the recoverability of these assets.</w:t>
      </w:r>
    </w:p>
    <w:p>
      <w:pPr>
        <w:spacing w:after="0" w:line="183"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The Company determines the amount of internal software costs to be capitalized based on the amount of time spent by the developers on projects in the application stage of development. There is judgment involved in estimating time allocated to a particular project in the application stage. Costs associated with building or significantly enhancing the customer platform and internally built software platforms are capitalized, while costs associated with planning new developments and maintaining the customer platform software and internally built software platforms are expensed as incurred.</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Capitalized software development costs, exclusive of those costs recorded within property and equipment, consisted of the following:</w:t>
      </w:r>
    </w:p>
    <w:p>
      <w:pPr>
        <w:spacing w:after="0" w:line="205" w:lineRule="exact"/>
        <w:rPr>
          <w:sz w:val="20"/>
          <w:szCs w:val="20"/>
          <w:color w:val="auto"/>
        </w:rPr>
      </w:pPr>
    </w:p>
    <w:tbl>
      <w:tblPr>
        <w:tblLayout w:type="fixed"/>
        <w:tblInd w:w="1140" w:type="dxa"/>
        <w:tblCellMar>
          <w:top w:w="0" w:type="dxa"/>
          <w:left w:w="0" w:type="dxa"/>
          <w:bottom w:w="0" w:type="dxa"/>
          <w:right w:w="0" w:type="dxa"/>
        </w:tblCellMar>
      </w:tblPr>
      <w:tr>
        <w:trPr>
          <w:trHeight w:val="187"/>
        </w:trPr>
        <w:tc>
          <w:tcPr>
            <w:tcW w:w="44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tcPr>
          <w:p>
            <w:pPr>
              <w:jc w:val="right"/>
              <w:ind w:right="397"/>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26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80" w:type="dxa"/>
            <w:vAlign w:val="bottom"/>
          </w:tcPr>
          <w:p>
            <w:pPr>
              <w:spacing w:after="0"/>
              <w:rPr>
                <w:sz w:val="16"/>
                <w:szCs w:val="16"/>
                <w:color w:val="auto"/>
              </w:rPr>
            </w:pPr>
          </w:p>
        </w:tc>
      </w:tr>
      <w:tr>
        <w:trPr>
          <w:trHeight w:val="169"/>
        </w:trPr>
        <w:tc>
          <w:tcPr>
            <w:tcW w:w="4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20" w:type="dxa"/>
            <w:vAlign w:val="bottom"/>
          </w:tcPr>
          <w:p>
            <w:pPr>
              <w:jc w:val="right"/>
              <w:ind w:right="77"/>
              <w:spacing w:after="0"/>
              <w:rPr>
                <w:sz w:val="20"/>
                <w:szCs w:val="20"/>
                <w:color w:val="auto"/>
              </w:rPr>
            </w:pPr>
            <w:r>
              <w:rPr>
                <w:rFonts w:ascii="Times New Roman" w:cs="Times New Roman" w:eastAsia="Times New Roman" w:hAnsi="Times New Roman"/>
                <w:sz w:val="14"/>
                <w:szCs w:val="14"/>
                <w:b w:val="1"/>
                <w:bCs w:val="1"/>
                <w:color w:val="auto"/>
              </w:rPr>
              <w:t>(in</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w w:val="82"/>
              </w:rPr>
              <w:t>thousands)</w:t>
            </w:r>
          </w:p>
        </w:tc>
        <w:tc>
          <w:tcPr>
            <w:tcW w:w="17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243"/>
        </w:trPr>
        <w:tc>
          <w:tcPr>
            <w:tcW w:w="4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Gross capitalized software development costs</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257,052</w:t>
            </w:r>
          </w:p>
        </w:tc>
        <w:tc>
          <w:tcPr>
            <w:tcW w:w="260" w:type="dxa"/>
            <w:vAlign w:val="bottom"/>
            <w:shd w:val="clear" w:color="auto" w:fill="CFF0FC"/>
          </w:tcPr>
          <w:p>
            <w:pPr>
              <w:spacing w:after="0"/>
              <w:rPr>
                <w:sz w:val="21"/>
                <w:szCs w:val="21"/>
                <w:color w:val="auto"/>
              </w:rPr>
            </w:pPr>
          </w:p>
        </w:tc>
        <w:tc>
          <w:tcPr>
            <w:tcW w:w="38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174,732</w:t>
            </w:r>
          </w:p>
        </w:tc>
        <w:tc>
          <w:tcPr>
            <w:tcW w:w="80" w:type="dxa"/>
            <w:vAlign w:val="bottom"/>
            <w:shd w:val="clear" w:color="auto" w:fill="CFF0FC"/>
          </w:tcPr>
          <w:p>
            <w:pPr>
              <w:spacing w:after="0"/>
              <w:rPr>
                <w:sz w:val="21"/>
                <w:szCs w:val="21"/>
                <w:color w:val="auto"/>
              </w:rPr>
            </w:pPr>
          </w:p>
        </w:tc>
      </w:tr>
      <w:tr>
        <w:trPr>
          <w:trHeight w:val="243"/>
        </w:trPr>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Accumulated amortization</w:t>
            </w:r>
          </w:p>
        </w:tc>
        <w:tc>
          <w:tcPr>
            <w:tcW w:w="300" w:type="dxa"/>
            <w:vAlign w:val="bottom"/>
          </w:tcPr>
          <w:p>
            <w:pPr>
              <w:spacing w:after="0"/>
              <w:rPr>
                <w:sz w:val="21"/>
                <w:szCs w:val="21"/>
                <w:color w:val="auto"/>
              </w:rPr>
            </w:pPr>
          </w:p>
        </w:tc>
        <w:tc>
          <w:tcPr>
            <w:tcW w:w="2080" w:type="dxa"/>
            <w:vAlign w:val="bottom"/>
            <w:gridSpan w:val="2"/>
          </w:tcPr>
          <w:p>
            <w:pPr>
              <w:jc w:val="right"/>
              <w:ind w:right="128"/>
              <w:spacing w:after="0"/>
              <w:rPr>
                <w:sz w:val="20"/>
                <w:szCs w:val="20"/>
                <w:color w:val="auto"/>
              </w:rPr>
            </w:pPr>
            <w:r>
              <w:rPr>
                <w:rFonts w:ascii="Times New Roman" w:cs="Times New Roman" w:eastAsia="Times New Roman" w:hAnsi="Times New Roman"/>
                <w:sz w:val="18"/>
                <w:szCs w:val="18"/>
                <w:color w:val="auto"/>
              </w:rPr>
              <w:t>(150,823 )</w:t>
            </w:r>
          </w:p>
        </w:tc>
        <w:tc>
          <w:tcPr>
            <w:tcW w:w="380" w:type="dxa"/>
            <w:vAlign w:val="bottom"/>
          </w:tcPr>
          <w:p>
            <w:pPr>
              <w:spacing w:after="0"/>
              <w:rPr>
                <w:sz w:val="21"/>
                <w:szCs w:val="21"/>
                <w:color w:val="auto"/>
              </w:rPr>
            </w:pPr>
          </w:p>
        </w:tc>
        <w:tc>
          <w:tcPr>
            <w:tcW w:w="1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(110,942 )</w:t>
            </w:r>
          </w:p>
        </w:tc>
      </w:tr>
      <w:tr>
        <w:trPr>
          <w:trHeight w:val="277"/>
        </w:trPr>
        <w:tc>
          <w:tcPr>
            <w:tcW w:w="44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Capitalized software development costs, net</w:t>
            </w: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106,229</w:t>
            </w:r>
          </w:p>
        </w:tc>
        <w:tc>
          <w:tcPr>
            <w:tcW w:w="260" w:type="dxa"/>
            <w:vAlign w:val="bottom"/>
            <w:tcBorders>
              <w:bottom w:val="single" w:sz="8" w:color="CFF0FC"/>
            </w:tcBorders>
            <w:shd w:val="clear" w:color="auto" w:fill="CFF0FC"/>
          </w:tcPr>
          <w:p>
            <w:pPr>
              <w:spacing w:after="0"/>
              <w:rPr>
                <w:sz w:val="24"/>
                <w:szCs w:val="24"/>
                <w:color w:val="auto"/>
              </w:rPr>
            </w:pPr>
          </w:p>
        </w:tc>
        <w:tc>
          <w:tcPr>
            <w:tcW w:w="380" w:type="dxa"/>
            <w:vAlign w:val="bottom"/>
            <w:tcBorders>
              <w:top w:val="single" w:sz="8" w:color="auto"/>
              <w:bottom w:val="single" w:sz="8" w:color="auto"/>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63,790</w:t>
            </w:r>
          </w:p>
        </w:tc>
        <w:tc>
          <w:tcPr>
            <w:tcW w:w="8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4874260</wp:posOffset>
            </wp:positionH>
            <wp:positionV relativeFrom="paragraph">
              <wp:posOffset>-24765</wp:posOffset>
            </wp:positionV>
            <wp:extent cx="60325"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-7620</wp:posOffset>
            </wp:positionV>
            <wp:extent cx="60325"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-24765</wp:posOffset>
            </wp:positionV>
            <wp:extent cx="51435"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-7620</wp:posOffset>
            </wp:positionV>
            <wp:extent cx="51435"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05" w:lineRule="exact"/>
        <w:rPr>
          <w:sz w:val="20"/>
          <w:szCs w:val="20"/>
          <w:color w:val="auto"/>
        </w:rPr>
      </w:pPr>
    </w:p>
    <w:p>
      <w:pPr>
        <w:ind w:right="320" w:firstLine="509"/>
        <w:spacing w:after="0" w:line="282" w:lineRule="auto"/>
        <w:rPr>
          <w:sz w:val="20"/>
          <w:szCs w:val="20"/>
          <w:color w:val="auto"/>
        </w:rPr>
      </w:pPr>
      <w:r>
        <w:rPr>
          <w:rFonts w:ascii="Times New Roman" w:cs="Times New Roman" w:eastAsia="Times New Roman" w:hAnsi="Times New Roman"/>
          <w:sz w:val="18"/>
          <w:szCs w:val="18"/>
          <w:color w:val="auto"/>
        </w:rPr>
        <w:t>Amortization of capitalized software development costs, exclusive of costs recorded within property and equipment, was $45.8 million in 2023, $32.0 million in 2022, and $23.0 million in 2021. Amortization expense is included in cost of revenue in the consolidated statements of operations.</w:t>
      </w:r>
    </w:p>
    <w:p>
      <w:pPr>
        <w:spacing w:after="0" w:line="158" w:lineRule="exact"/>
        <w:rPr>
          <w:sz w:val="20"/>
          <w:szCs w:val="20"/>
          <w:color w:val="auto"/>
        </w:rPr>
      </w:pPr>
    </w:p>
    <w:p>
      <w:pPr>
        <w:ind w:right="120" w:firstLine="509"/>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Income Taxes </w:t>
      </w:r>
      <w:r>
        <w:rPr>
          <w:rFonts w:ascii="Times New Roman" w:cs="Times New Roman" w:eastAsia="Times New Roman" w:hAnsi="Times New Roman"/>
          <w:sz w:val="18"/>
          <w:szCs w:val="18"/>
          <w:color w:val="auto"/>
        </w:rPr>
        <w:t>—Deferred tax assets and liabilities are recognized for the differences between the financial statement carrying amounts and the tax</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bases of existing assets and liabilities using tax rates expected to be in effect in the years in which the differences are expected to reverse. Deferred tax assets are reduced by a valuation allowance if it is more likely than not that some portion or all of the deferred tax assets will not be realized.</w:t>
      </w:r>
    </w:p>
    <w:p>
      <w:pPr>
        <w:spacing w:after="0" w:line="175"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Accounting for uncertainty in income taxes recognized in the financial statements is in accordance with authoritative accounting guidance, which prescribes a two-step process to determine the amount of tax benefit to be recognized. First, the tax position must be evaluated to determine the likelihood that it will be sustained upon external examination. If the tax position is deemed “more-likely-than-not” to be sustained, the tax position is then assessed to determine the amount of benefit to recognize in the financial statements. The amount of the benefit that may be recognized is the largest amount that has a greater than 50 percent likelihood of being realized upon ultimate settlement.</w:t>
      </w:r>
    </w:p>
    <w:p>
      <w:pPr>
        <w:spacing w:after="0" w:line="179"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Stock-Based Compensation </w:t>
      </w:r>
      <w:r>
        <w:rPr>
          <w:rFonts w:ascii="Times New Roman" w:cs="Times New Roman" w:eastAsia="Times New Roman" w:hAnsi="Times New Roman"/>
          <w:sz w:val="18"/>
          <w:szCs w:val="18"/>
          <w:color w:val="auto"/>
        </w:rPr>
        <w:t>— The Company accounts for all stock options and awards granted to employees and nonemployees using a fair value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method. The measurement date for awards is generally the date of the grant. The fair value of the Company’s common stock is the closing price of the stock on the date of the grant. For stock options, the Black-Scholes option pricing model is used to measure the fair value of the grant. The expected term of options granted to employees was calculated using the simplified method, which represents the average of the contractual term of the option and the weighted-average vesting period of the option. The Company considers this appropriate as there is no other method that would be more indicative of exercise activity. The expected volatility for the Company’s common stock was based on the average of the Company's historical volatility. The risk-free interest rate is based on the rate on U.S. Treasury securities with maturities consistent with the estimated expected term of the awards. The assumed dividend yield is based upon the Company’s expectation of not paying dividends in the foreseeable future.</w:t>
      </w:r>
    </w:p>
    <w:p>
      <w:pPr>
        <w:spacing w:after="0" w:line="189"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Stock-based compensation costs for awards with time-based service condition is recognized on a straight-line basis over the requisite service period and stock-based compensation costs for awards with performance conditions is recognized on the graded vesting attribution method over the requisite service period.</w:t>
      </w:r>
    </w:p>
    <w:p>
      <w:pPr>
        <w:spacing w:after="0" w:line="172" w:lineRule="exact"/>
        <w:rPr>
          <w:sz w:val="20"/>
          <w:szCs w:val="20"/>
          <w:color w:val="auto"/>
        </w:rPr>
      </w:pPr>
    </w:p>
    <w:p>
      <w:pPr>
        <w:ind w:right="600" w:firstLine="509"/>
        <w:spacing w:after="0" w:line="286" w:lineRule="auto"/>
        <w:rPr>
          <w:sz w:val="20"/>
          <w:szCs w:val="20"/>
          <w:color w:val="auto"/>
        </w:rPr>
      </w:pPr>
      <w:r>
        <w:rPr>
          <w:rFonts w:ascii="Times New Roman" w:cs="Times New Roman" w:eastAsia="Times New Roman" w:hAnsi="Times New Roman"/>
          <w:sz w:val="18"/>
          <w:szCs w:val="18"/>
          <w:b w:val="1"/>
          <w:bCs w:val="1"/>
          <w:color w:val="auto"/>
        </w:rPr>
        <w:t>Recent Accounting Pronouncements</w:t>
      </w:r>
      <w:r>
        <w:rPr>
          <w:rFonts w:ascii="Times New Roman" w:cs="Times New Roman" w:eastAsia="Times New Roman" w:hAnsi="Times New Roman"/>
          <w:sz w:val="18"/>
          <w:szCs w:val="18"/>
          <w:color w:val="auto"/>
        </w:rPr>
        <w:t>— Recent accounting standards not included below are not expected to have a material impact on our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consolidated financial position and results of operations.</w:t>
      </w:r>
    </w:p>
    <w:p>
      <w:pPr>
        <w:spacing w:after="0" w:line="159"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In November 2023, the FASB issued guidance enhancing the disclosures of reportable segment information, primarily about significant segment expenses. The new standard will be effective for the Company for the annual periods beginning January 1, 2024, and for interim periods beginning January 1, 2025, with early adoption permitted. Upon adoption, the guidance should be applied retrospectively to all prior periods presented in the financial statements. The Company is currently evaluating the impact of adoption of the standard on its consolidated financial statements.</w:t>
      </w:r>
    </w:p>
    <w:p>
      <w:pPr>
        <w:spacing w:after="0" w:line="18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01" w:right="379" w:bottom="1440" w:gutter="0" w:footer="0" w:header="0"/>
        </w:sectPr>
      </w:pPr>
    </w:p>
    <w:bookmarkStart w:id="80" w:name="page81"/>
    <w:bookmarkEnd w:id="80"/>
    <w:p>
      <w:pPr>
        <w:ind w:right="300" w:firstLine="509"/>
        <w:spacing w:after="0" w:line="261" w:lineRule="auto"/>
        <w:rPr>
          <w:sz w:val="20"/>
          <w:szCs w:val="20"/>
          <w:color w:val="auto"/>
        </w:rPr>
      </w:pPr>
      <w:r>
        <w:rPr>
          <w:rFonts w:ascii="Times New Roman" w:cs="Times New Roman" w:eastAsia="Times New Roman" w:hAnsi="Times New Roman"/>
          <w:sz w:val="18"/>
          <w:szCs w:val="18"/>
          <w:color w:val="auto"/>
        </w:rPr>
        <w:t>In December 2023, the FASB issued guidance enhancing income tax disclosure requirements by requiring specified categories and greater disaggregation within the rate reconciliation table, disclosure of income taxes paid by jurisdiction, and providing clarification on uncertain tax positions and related financial statement impacts. The new standard will be effective for the Company on January 1, 2025, with early adoption permitted. The Company is currently evaluating the impact of adoption of the standard on its consolidated financial statements</w:t>
      </w: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Revenues</w:t>
      </w:r>
    </w:p>
    <w:p>
      <w:pPr>
        <w:spacing w:after="0" w:line="19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Disaggregation of Revenue</w:t>
      </w:r>
    </w:p>
    <w:p>
      <w:pPr>
        <w:spacing w:after="0" w:line="189"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The Company provides disaggregation of revenue based on geographic region (Note 10) and based on the subscription versus professional services and other classification on the consolidated statements of operations as it believes these best depict how the nature, amount, timing and uncertainty of revenue and cash flows are affected by economic factors.</w:t>
      </w:r>
    </w:p>
    <w:p>
      <w:pPr>
        <w:spacing w:after="0" w:line="13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Deferred Revenue and Deferred Commission Expense</w:t>
      </w:r>
    </w:p>
    <w:p>
      <w:pPr>
        <w:spacing w:after="0" w:line="202"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Amounts that have been invoiced are recorded in accounts receivable and deferred revenue or revenue, depending on whether the revenue recognition criteria have been met. Deferred revenue represents amounts billed for which revenue has not yet been recognized. Deferred revenue that will be recognized during the succeeding 12-month period is recorded as current deferred revenue, and the remaining portion is recorded as long-term deferred revenue. Deferred revenue during the year ended December 31, 2023 increased by $132.2 million resulting from $2.3 billion of calculated billings and was offset by revenue recognized of $2.2 billion during the same period. $543.2 million of revenue was recognized during the year ended December 31, 2023 that was included in deferred revenue at the beginning of the period. In addition, the acquisition of Clearbit added $15.1 million of deferred revenue. As of December 31, 2023, approximately $807.0 million of revenue is expected to be recognized from remaining performance obligations for contracts with original performance obligations that exceed one year. The Company expects to recognize revenue on approximately 90% of these remaining performance obligations over the next 24 months, with the balance recognized thereafter.</w:t>
      </w:r>
    </w:p>
    <w:p>
      <w:pPr>
        <w:spacing w:after="0" w:line="148"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Additional contract liabilities $4.5 million and $3.0 million were included in accrued expenses and other current liabilities as of December 31, 2023 and December 31, 2022.</w:t>
      </w:r>
    </w:p>
    <w:p>
      <w:pPr>
        <w:spacing w:after="0" w:line="121"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The incremental direct costs of obtaining a contract, which primarily consist of employee sales and Solutions Partners commissions paid for new subscription contracts, are deferred and amortized on a straight-line basis over a period of approximately two to four years. Deferred commission expense during the year ended December 31, 2023 increased by $83.9 million as a result of deferring incremental costs of obtaining a contract of $179.1 million and was offset by amortization of $95.2 million during the same period.</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Leases</w:t>
      </w:r>
    </w:p>
    <w:p>
      <w:pPr>
        <w:spacing w:after="0" w:line="18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 leases office facilities under non-cancelable operating leases that expire at various dates through February 2035.</w:t>
      </w:r>
    </w:p>
    <w:p>
      <w:pPr>
        <w:spacing w:after="0" w:line="198"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The Company uses its estimated incremental borrowing rate, which is derived from information available at the lease commencement date, in determining the present value of operating lease payments. To determine the estimated incremental borrowing rate, the Company uses publicly available credit ratings for peer companies. The Company estimates the incremental borrowing rate using yields for maturities that are in line with the duration of the lease payments.</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provides weighted average remaining lease terms and weighted average discount rate for operating leases as of December 31,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2023:</w:t>
      </w:r>
    </w:p>
    <w:p>
      <w:pPr>
        <w:spacing w:after="0" w:line="225" w:lineRule="exact"/>
        <w:rPr>
          <w:sz w:val="20"/>
          <w:szCs w:val="20"/>
          <w:color w:val="auto"/>
        </w:rPr>
      </w:pPr>
    </w:p>
    <w:tbl>
      <w:tblPr>
        <w:tblLayout w:type="fixed"/>
        <w:tblInd w:w="1700" w:type="dxa"/>
        <w:tblCellMar>
          <w:top w:w="0" w:type="dxa"/>
          <w:left w:w="0" w:type="dxa"/>
          <w:bottom w:w="0" w:type="dxa"/>
          <w:right w:w="0" w:type="dxa"/>
        </w:tblCellMar>
      </w:tblPr>
      <w:tr>
        <w:trPr>
          <w:trHeight w:val="243"/>
        </w:trPr>
        <w:tc>
          <w:tcPr>
            <w:tcW w:w="51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Weighted-average remaining lease term:</w:t>
            </w:r>
          </w:p>
        </w:tc>
        <w:tc>
          <w:tcPr>
            <w:tcW w:w="2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 years</w:t>
            </w:r>
          </w:p>
        </w:tc>
      </w:tr>
      <w:tr>
        <w:trPr>
          <w:trHeight w:val="234"/>
        </w:trPr>
        <w:tc>
          <w:tcPr>
            <w:tcW w:w="5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Weighted-average discount rate:</w:t>
            </w:r>
          </w:p>
        </w:tc>
        <w:tc>
          <w:tcPr>
            <w:tcW w:w="2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bl>
    <w:p>
      <w:pPr>
        <w:spacing w:after="0" w:line="1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Operating lease expense and cash payments related to operating lease liabilities for the 2023, 2022, and 2021 are as follows: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420" w:type="dxa"/>
            <w:vAlign w:val="bottom"/>
          </w:tcPr>
          <w:p>
            <w:pPr>
              <w:spacing w:after="0"/>
              <w:rPr>
                <w:sz w:val="16"/>
                <w:szCs w:val="16"/>
                <w:color w:val="auto"/>
              </w:rPr>
            </w:pPr>
          </w:p>
        </w:tc>
        <w:tc>
          <w:tcPr>
            <w:tcW w:w="3160" w:type="dxa"/>
            <w:vAlign w:val="bottom"/>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5"/>
          </w:tcPr>
          <w:p>
            <w:pPr>
              <w:jc w:val="center"/>
              <w:ind w:left="376"/>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4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400" w:type="dxa"/>
            <w:vAlign w:val="bottom"/>
          </w:tcPr>
          <w:p>
            <w:pPr>
              <w:spacing w:after="0"/>
              <w:rPr>
                <w:sz w:val="16"/>
                <w:szCs w:val="16"/>
                <w:color w:val="auto"/>
              </w:rPr>
            </w:pPr>
          </w:p>
        </w:tc>
      </w:tr>
      <w:tr>
        <w:trPr>
          <w:trHeight w:val="236"/>
        </w:trPr>
        <w:tc>
          <w:tcPr>
            <w:tcW w:w="142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122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616"/>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250"/>
        </w:trPr>
        <w:tc>
          <w:tcPr>
            <w:tcW w:w="1420" w:type="dxa"/>
            <w:vAlign w:val="bottom"/>
          </w:tcPr>
          <w:p>
            <w:pPr>
              <w:spacing w:after="0"/>
              <w:rPr>
                <w:sz w:val="21"/>
                <w:szCs w:val="21"/>
                <w:color w:val="auto"/>
              </w:rPr>
            </w:pPr>
          </w:p>
        </w:tc>
        <w:tc>
          <w:tcPr>
            <w:tcW w:w="31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4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0" w:type="dxa"/>
            <w:vAlign w:val="bottom"/>
          </w:tcPr>
          <w:p>
            <w:pPr>
              <w:spacing w:after="0"/>
              <w:rPr>
                <w:sz w:val="21"/>
                <w:szCs w:val="21"/>
                <w:color w:val="auto"/>
              </w:rPr>
            </w:pPr>
          </w:p>
        </w:tc>
      </w:tr>
      <w:tr>
        <w:trPr>
          <w:trHeight w:val="243"/>
        </w:trPr>
        <w:tc>
          <w:tcPr>
            <w:tcW w:w="1420" w:type="dxa"/>
            <w:vAlign w:val="bottom"/>
          </w:tcPr>
          <w:p>
            <w:pPr>
              <w:spacing w:after="0"/>
              <w:rPr>
                <w:sz w:val="21"/>
                <w:szCs w:val="21"/>
                <w:color w:val="auto"/>
              </w:rPr>
            </w:pPr>
          </w:p>
        </w:tc>
        <w:tc>
          <w:tcPr>
            <w:tcW w:w="31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Operating lease expense</w:t>
            </w:r>
          </w:p>
        </w:tc>
        <w:tc>
          <w:tcPr>
            <w:tcW w:w="1220" w:type="dxa"/>
            <w:vAlign w:val="bottom"/>
            <w:shd w:val="clear" w:color="auto" w:fill="CFF0FC"/>
          </w:tcPr>
          <w:p>
            <w:pPr>
              <w:jc w:val="right"/>
              <w:ind w:right="1035"/>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42,826</w:t>
            </w:r>
          </w:p>
        </w:tc>
        <w:tc>
          <w:tcPr>
            <w:tcW w:w="3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43,864</w:t>
            </w:r>
          </w:p>
        </w:tc>
        <w:tc>
          <w:tcPr>
            <w:tcW w:w="160" w:type="dxa"/>
            <w:vAlign w:val="bottom"/>
            <w:shd w:val="clear" w:color="auto" w:fill="CFF0FC"/>
          </w:tcPr>
          <w:p>
            <w:pPr>
              <w:spacing w:after="0"/>
              <w:rPr>
                <w:sz w:val="21"/>
                <w:szCs w:val="21"/>
                <w:color w:val="auto"/>
              </w:rPr>
            </w:pPr>
          </w:p>
        </w:tc>
        <w:tc>
          <w:tcPr>
            <w:tcW w:w="40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47,504</w:t>
            </w:r>
          </w:p>
        </w:tc>
        <w:tc>
          <w:tcPr>
            <w:tcW w:w="80" w:type="dxa"/>
            <w:vAlign w:val="bottom"/>
            <w:shd w:val="clear" w:color="auto" w:fill="CFF0FC"/>
          </w:tcPr>
          <w:p>
            <w:pPr>
              <w:spacing w:after="0"/>
              <w:rPr>
                <w:sz w:val="21"/>
                <w:szCs w:val="21"/>
                <w:color w:val="auto"/>
              </w:rPr>
            </w:pPr>
          </w:p>
        </w:tc>
        <w:tc>
          <w:tcPr>
            <w:tcW w:w="1400" w:type="dxa"/>
            <w:vAlign w:val="bottom"/>
          </w:tcPr>
          <w:p>
            <w:pPr>
              <w:spacing w:after="0"/>
              <w:rPr>
                <w:sz w:val="21"/>
                <w:szCs w:val="21"/>
                <w:color w:val="auto"/>
              </w:rPr>
            </w:pPr>
          </w:p>
        </w:tc>
      </w:tr>
      <w:tr>
        <w:trPr>
          <w:trHeight w:val="234"/>
        </w:trPr>
        <w:tc>
          <w:tcPr>
            <w:tcW w:w="1420" w:type="dxa"/>
            <w:vAlign w:val="bottom"/>
          </w:tcPr>
          <w:p>
            <w:pPr>
              <w:spacing w:after="0"/>
              <w:rPr>
                <w:sz w:val="20"/>
                <w:szCs w:val="20"/>
                <w:color w:val="auto"/>
              </w:rPr>
            </w:pPr>
          </w:p>
        </w:tc>
        <w:tc>
          <w:tcPr>
            <w:tcW w:w="3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Cash payments</w:t>
            </w:r>
          </w:p>
        </w:tc>
        <w:tc>
          <w:tcPr>
            <w:tcW w:w="1220" w:type="dxa"/>
            <w:vAlign w:val="bottom"/>
          </w:tcPr>
          <w:p>
            <w:pPr>
              <w:jc w:val="right"/>
              <w:ind w:right="1035"/>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55,322</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39,927</w:t>
            </w:r>
          </w:p>
        </w:tc>
        <w:tc>
          <w:tcPr>
            <w:tcW w:w="160" w:type="dxa"/>
            <w:vAlign w:val="bottom"/>
          </w:tcPr>
          <w:p>
            <w:pPr>
              <w:spacing w:after="0"/>
              <w:rPr>
                <w:sz w:val="20"/>
                <w:szCs w:val="20"/>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49,452</w:t>
            </w:r>
          </w:p>
        </w:tc>
        <w:tc>
          <w:tcPr>
            <w:tcW w:w="8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657"/>
        </w:trPr>
        <w:tc>
          <w:tcPr>
            <w:tcW w:w="142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750"/>
        </w:trPr>
        <w:tc>
          <w:tcPr>
            <w:tcW w:w="1420" w:type="dxa"/>
            <w:vAlign w:val="bottom"/>
            <w:tcBorders>
              <w:bottom w:val="single" w:sz="8" w:color="9A9A9A"/>
            </w:tcBorders>
          </w:tcPr>
          <w:p>
            <w:pPr>
              <w:spacing w:after="0"/>
              <w:rPr>
                <w:sz w:val="24"/>
                <w:szCs w:val="24"/>
                <w:color w:val="auto"/>
              </w:rPr>
            </w:pPr>
          </w:p>
        </w:tc>
        <w:tc>
          <w:tcPr>
            <w:tcW w:w="316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81" w:name="page82"/>
    <w:bookmarkEnd w:id="81"/>
    <w:p>
      <w:pPr>
        <w:ind w:right="74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provides a reconciliation between non-cancelable lease commitments and lease liabilities as of December 31, 2023 (in thousands)</w:t>
      </w:r>
      <w:r>
        <w:rPr>
          <w:rFonts w:ascii="Times New Roman" w:cs="Times New Roman" w:eastAsia="Times New Roman" w:hAnsi="Times New Roman"/>
          <w:sz w:val="18"/>
          <w:szCs w:val="18"/>
          <w:b w:val="1"/>
          <w:bCs w:val="1"/>
          <w:color w:val="auto"/>
        </w:rPr>
        <w:t>:</w:t>
      </w:r>
    </w:p>
    <w:p>
      <w:pPr>
        <w:spacing w:after="0" w:line="236" w:lineRule="exact"/>
        <w:rPr>
          <w:sz w:val="20"/>
          <w:szCs w:val="20"/>
          <w:color w:val="auto"/>
        </w:rPr>
      </w:pPr>
    </w:p>
    <w:tbl>
      <w:tblPr>
        <w:tblLayout w:type="fixed"/>
        <w:tblInd w:w="1740" w:type="dxa"/>
        <w:tblCellMar>
          <w:top w:w="0" w:type="dxa"/>
          <w:left w:w="0" w:type="dxa"/>
          <w:bottom w:w="0" w:type="dxa"/>
          <w:right w:w="0" w:type="dxa"/>
        </w:tblCellMar>
      </w:tblPr>
      <w:tr>
        <w:trPr>
          <w:trHeight w:val="187"/>
        </w:trPr>
        <w:tc>
          <w:tcPr>
            <w:tcW w:w="5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60" w:type="dxa"/>
            <w:vAlign w:val="bottom"/>
            <w:gridSpan w:val="2"/>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Operating leases</w:t>
            </w:r>
          </w:p>
        </w:tc>
      </w:tr>
      <w:tr>
        <w:trPr>
          <w:trHeight w:val="250"/>
        </w:trPr>
        <w:tc>
          <w:tcPr>
            <w:tcW w:w="5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Lease commitments (Note 11)</w:t>
            </w:r>
          </w:p>
        </w:tc>
        <w:tc>
          <w:tcPr>
            <w:tcW w:w="320" w:type="dxa"/>
            <w:vAlign w:val="bottom"/>
            <w:tcBorders>
              <w:top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405,105</w:t>
            </w:r>
          </w:p>
        </w:tc>
        <w:tc>
          <w:tcPr>
            <w:tcW w:w="80" w:type="dxa"/>
            <w:vAlign w:val="bottom"/>
            <w:shd w:val="clear" w:color="auto" w:fill="CFF0FC"/>
          </w:tcPr>
          <w:p>
            <w:pPr>
              <w:spacing w:after="0"/>
              <w:rPr>
                <w:sz w:val="21"/>
                <w:szCs w:val="21"/>
                <w:color w:val="auto"/>
              </w:rPr>
            </w:pPr>
          </w:p>
        </w:tc>
      </w:tr>
      <w:tr>
        <w:trPr>
          <w:trHeight w:val="211"/>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Legally binding minimum lease payments for</w:t>
            </w:r>
          </w:p>
        </w:tc>
        <w:tc>
          <w:tcPr>
            <w:tcW w:w="3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41"/>
        </w:trPr>
        <w:tc>
          <w:tcPr>
            <w:tcW w:w="5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leases signed but not yet commenced</w:t>
            </w:r>
          </w:p>
        </w:tc>
        <w:tc>
          <w:tcPr>
            <w:tcW w:w="320" w:type="dxa"/>
            <w:vAlign w:val="bottom"/>
          </w:tcPr>
          <w:p>
            <w:pPr>
              <w:spacing w:after="0"/>
              <w:rPr>
                <w:sz w:val="20"/>
                <w:szCs w:val="20"/>
                <w:color w:val="auto"/>
              </w:rPr>
            </w:pP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(1,534 )</w:t>
            </w:r>
          </w:p>
        </w:tc>
      </w:tr>
      <w:tr>
        <w:trPr>
          <w:trHeight w:val="218"/>
        </w:trPr>
        <w:tc>
          <w:tcPr>
            <w:tcW w:w="5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Less: Operating leases with a duration of 12 months</w:t>
            </w:r>
          </w:p>
        </w:tc>
        <w:tc>
          <w:tcPr>
            <w:tcW w:w="320" w:type="dxa"/>
            <w:vAlign w:val="bottom"/>
            <w:shd w:val="clear" w:color="auto" w:fill="CFF0FC"/>
          </w:tcPr>
          <w:p>
            <w:pPr>
              <w:spacing w:after="0"/>
              <w:rPr>
                <w:sz w:val="18"/>
                <w:szCs w:val="18"/>
                <w:color w:val="auto"/>
              </w:rPr>
            </w:pPr>
          </w:p>
        </w:tc>
        <w:tc>
          <w:tcPr>
            <w:tcW w:w="17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48"/>
        </w:trPr>
        <w:tc>
          <w:tcPr>
            <w:tcW w:w="54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or less</w:t>
            </w:r>
          </w:p>
        </w:tc>
        <w:tc>
          <w:tcPr>
            <w:tcW w:w="320" w:type="dxa"/>
            <w:vAlign w:val="bottom"/>
            <w:shd w:val="clear" w:color="auto" w:fill="CFF0FC"/>
          </w:tcPr>
          <w:p>
            <w:pPr>
              <w:spacing w:after="0"/>
              <w:rPr>
                <w:sz w:val="21"/>
                <w:szCs w:val="21"/>
                <w:color w:val="auto"/>
              </w:rPr>
            </w:pPr>
          </w:p>
        </w:tc>
        <w:tc>
          <w:tcPr>
            <w:tcW w:w="1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(1,086 )</w:t>
            </w:r>
          </w:p>
        </w:tc>
      </w:tr>
      <w:tr>
        <w:trPr>
          <w:trHeight w:val="243"/>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Present value discount</w:t>
            </w:r>
          </w:p>
        </w:tc>
        <w:tc>
          <w:tcPr>
            <w:tcW w:w="320" w:type="dxa"/>
            <w:vAlign w:val="bottom"/>
          </w:tcPr>
          <w:p>
            <w:pPr>
              <w:spacing w:after="0"/>
              <w:rPr>
                <w:sz w:val="21"/>
                <w:szCs w:val="21"/>
                <w:color w:val="auto"/>
              </w:rPr>
            </w:pP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(70,877 )</w:t>
            </w:r>
          </w:p>
        </w:tc>
      </w:tr>
      <w:tr>
        <w:trPr>
          <w:trHeight w:val="277"/>
        </w:trPr>
        <w:tc>
          <w:tcPr>
            <w:tcW w:w="54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lease liabilities</w:t>
            </w:r>
          </w:p>
        </w:tc>
        <w:tc>
          <w:tcPr>
            <w:tcW w:w="32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331,608</w:t>
            </w:r>
          </w:p>
        </w:tc>
        <w:tc>
          <w:tcPr>
            <w:tcW w:w="8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5920105</wp:posOffset>
            </wp:positionH>
            <wp:positionV relativeFrom="paragraph">
              <wp:posOffset>-24765</wp:posOffset>
            </wp:positionV>
            <wp:extent cx="43180"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-7620</wp:posOffset>
            </wp:positionV>
            <wp:extent cx="43180"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151"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The Company subleases some of its unused spaces to third parties. Operating sublease income generated under all operating lease agreements is as follows:</w:t>
      </w:r>
    </w:p>
    <w:p>
      <w:pPr>
        <w:spacing w:after="0" w:line="236" w:lineRule="exact"/>
        <w:rPr>
          <w:sz w:val="20"/>
          <w:szCs w:val="20"/>
          <w:color w:val="auto"/>
        </w:rPr>
      </w:pPr>
    </w:p>
    <w:tbl>
      <w:tblPr>
        <w:tblLayout w:type="fixed"/>
        <w:tblInd w:w="1420" w:type="dxa"/>
        <w:tblCellMar>
          <w:top w:w="0" w:type="dxa"/>
          <w:left w:w="0" w:type="dxa"/>
          <w:bottom w:w="0" w:type="dxa"/>
          <w:right w:w="0" w:type="dxa"/>
        </w:tblCellMar>
      </w:tblPr>
      <w:tr>
        <w:trPr>
          <w:trHeight w:val="187"/>
        </w:trPr>
        <w:tc>
          <w:tcPr>
            <w:tcW w:w="3160" w:type="dxa"/>
            <w:vAlign w:val="bottom"/>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5"/>
          </w:tcPr>
          <w:p>
            <w:pPr>
              <w:jc w:val="center"/>
              <w:ind w:left="359"/>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4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r>
      <w:tr>
        <w:trPr>
          <w:trHeight w:val="169"/>
        </w:trPr>
        <w:tc>
          <w:tcPr>
            <w:tcW w:w="3160" w:type="dxa"/>
            <w:vAlign w:val="bottom"/>
          </w:tcPr>
          <w:p>
            <w:pPr>
              <w:spacing w:after="0"/>
              <w:rPr>
                <w:sz w:val="14"/>
                <w:szCs w:val="14"/>
                <w:color w:val="auto"/>
              </w:rPr>
            </w:pPr>
          </w:p>
        </w:tc>
        <w:tc>
          <w:tcPr>
            <w:tcW w:w="124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2023</w:t>
            </w:r>
          </w:p>
        </w:tc>
        <w:tc>
          <w:tcPr>
            <w:tcW w:w="5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44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619"/>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64"/>
        </w:trPr>
        <w:tc>
          <w:tcPr>
            <w:tcW w:w="31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jc w:val="center"/>
              <w:ind w:right="222"/>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234"/>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Operating sublease income</w:t>
            </w:r>
          </w:p>
        </w:tc>
        <w:tc>
          <w:tcPr>
            <w:tcW w:w="1240" w:type="dxa"/>
            <w:vAlign w:val="bottom"/>
          </w:tcPr>
          <w:p>
            <w:pPr>
              <w:jc w:val="right"/>
              <w:ind w:right="1059"/>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7,796</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4,608</w:t>
            </w:r>
          </w:p>
        </w:tc>
        <w:tc>
          <w:tcPr>
            <w:tcW w:w="160" w:type="dxa"/>
            <w:vAlign w:val="bottom"/>
          </w:tcPr>
          <w:p>
            <w:pPr>
              <w:spacing w:after="0"/>
              <w:rPr>
                <w:sz w:val="20"/>
                <w:szCs w:val="20"/>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4,954</w:t>
            </w:r>
          </w:p>
        </w:tc>
      </w:tr>
    </w:tbl>
    <w:p>
      <w:pPr>
        <w:spacing w:after="0" w:line="171" w:lineRule="exact"/>
        <w:rPr>
          <w:sz w:val="20"/>
          <w:szCs w:val="20"/>
          <w:color w:val="auto"/>
        </w:rPr>
      </w:pPr>
    </w:p>
    <w:p>
      <w:pPr>
        <w:ind w:right="780" w:firstLine="509"/>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2023, the Company terminated and abandoned various leases of office spaces in connection with the Restructuring Plan. Refer to Note 17 for more information.</w:t>
      </w:r>
    </w:p>
    <w:p>
      <w:pPr>
        <w:spacing w:after="0" w:line="121" w:lineRule="exact"/>
        <w:rPr>
          <w:sz w:val="20"/>
          <w:szCs w:val="20"/>
          <w:color w:val="auto"/>
        </w:rPr>
      </w:pPr>
    </w:p>
    <w:p>
      <w:pPr>
        <w:jc w:val="both"/>
        <w:ind w:right="60" w:firstLine="509"/>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2021, the Company terminated a lease for certain office facilities in Cambridge, Massachusetts and recorded a gain of $4.3 million. In connection with the lease termination, the Company recorded a loss of $6.5 million for the disposal of fixed assets. The net loss of $2.2 million is reported in the consolidated statements of operations as operating expense.</w:t>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Fair Value of Financial Instruments</w:t>
      </w:r>
    </w:p>
    <w:p>
      <w:pPr>
        <w:spacing w:after="0" w:line="189" w:lineRule="exact"/>
        <w:rPr>
          <w:sz w:val="20"/>
          <w:szCs w:val="20"/>
          <w:color w:val="auto"/>
        </w:rPr>
      </w:pPr>
    </w:p>
    <w:p>
      <w:pPr>
        <w:ind w:right="340" w:firstLine="509"/>
        <w:spacing w:after="0" w:line="266" w:lineRule="auto"/>
        <w:rPr>
          <w:sz w:val="20"/>
          <w:szCs w:val="20"/>
          <w:color w:val="auto"/>
        </w:rPr>
      </w:pPr>
      <w:r>
        <w:rPr>
          <w:rFonts w:ascii="Times New Roman" w:cs="Times New Roman" w:eastAsia="Times New Roman" w:hAnsi="Times New Roman"/>
          <w:sz w:val="18"/>
          <w:szCs w:val="18"/>
          <w:color w:val="auto"/>
        </w:rPr>
        <w:t>The Company measures certain financial assets at fair value. Fair value is determined based upon the exit price that would be received to sell an asset or paid to transfer a liability in an orderly transaction between market participants, as determined by either the principal market or the most advantageous market. Inputs used in the valuation techniques to derive fair values are classified based on a three-level hierarchy, as follows:</w:t>
      </w:r>
    </w:p>
    <w:p>
      <w:pPr>
        <w:spacing w:after="0" w:line="13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Level 1 — Quoted prices in active markets for identical assets or liabilities.</w:t>
      </w:r>
    </w:p>
    <w:p>
      <w:pPr>
        <w:spacing w:after="0" w:line="198" w:lineRule="exact"/>
        <w:rPr>
          <w:sz w:val="20"/>
          <w:szCs w:val="20"/>
          <w:color w:val="auto"/>
        </w:rPr>
      </w:pPr>
    </w:p>
    <w:p>
      <w:pPr>
        <w:ind w:left="520"/>
        <w:spacing w:after="0" w:line="266" w:lineRule="auto"/>
        <w:rPr>
          <w:sz w:val="20"/>
          <w:szCs w:val="20"/>
          <w:color w:val="auto"/>
        </w:rPr>
      </w:pPr>
      <w:r>
        <w:rPr>
          <w:rFonts w:ascii="Times New Roman" w:cs="Times New Roman" w:eastAsia="Times New Roman" w:hAnsi="Times New Roman"/>
          <w:sz w:val="18"/>
          <w:szCs w:val="18"/>
          <w:color w:val="auto"/>
        </w:rPr>
        <w:t>Level 2 — Observable inputs other than Level 1 prices such as quoted prices for similar assets or liabilities; quoted prices in markets with insufficient volume or infrequent transactions (less active markets); or model-derived valuations in which all significant inputs are observable or can be derived principally from or corroborated by observable market data for substantially the full term of the assets or liabilities.</w:t>
      </w:r>
    </w:p>
    <w:p>
      <w:pPr>
        <w:spacing w:after="0" w:line="135"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8"/>
          <w:szCs w:val="18"/>
          <w:color w:val="auto"/>
        </w:rPr>
        <w:t>Level 3 — Unobservable inputs to the valuation methodology that are significant to the measurement of fair value of assets or liabilities.</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61" w:right="359" w:bottom="1440" w:gutter="0" w:footer="0" w:header="0"/>
        </w:sectPr>
      </w:pPr>
    </w:p>
    <w:bookmarkStart w:id="82" w:name="page83"/>
    <w:bookmarkEnd w:id="82"/>
    <w:p>
      <w:pPr>
        <w:ind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details the fair value measurements within the fair value hierarchy of the Company’s financial assets and liabilities at December 31, 2023 and December 31, 2022:</w:t>
      </w:r>
    </w:p>
    <w:p>
      <w:pPr>
        <w:spacing w:after="0" w:line="169" w:lineRule="exact"/>
        <w:rPr>
          <w:sz w:val="20"/>
          <w:szCs w:val="20"/>
          <w:color w:val="auto"/>
        </w:rPr>
      </w:pPr>
    </w:p>
    <w:tbl>
      <w:tblPr>
        <w:tblLayout w:type="fixed"/>
        <w:tblInd w:w="580" w:type="dxa"/>
        <w:tblCellMar>
          <w:top w:w="0" w:type="dxa"/>
          <w:left w:w="0" w:type="dxa"/>
          <w:bottom w:w="0" w:type="dxa"/>
          <w:right w:w="0" w:type="dxa"/>
        </w:tblCellMar>
      </w:tblPr>
      <w:tr>
        <w:trPr>
          <w:trHeight w:val="187"/>
        </w:trPr>
        <w:tc>
          <w:tcPr>
            <w:tcW w:w="5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7"/>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gridSpan w:val="2"/>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gridSpan w:val="2"/>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(in</w:t>
            </w:r>
          </w:p>
        </w:tc>
        <w:tc>
          <w:tcPr>
            <w:tcW w:w="1220" w:type="dxa"/>
            <w:vAlign w:val="bottom"/>
            <w:gridSpan w:val="5"/>
          </w:tcPr>
          <w:p>
            <w:pPr>
              <w:jc w:val="center"/>
              <w:ind w:right="720"/>
              <w:spacing w:after="0"/>
              <w:rPr>
                <w:sz w:val="20"/>
                <w:szCs w:val="20"/>
                <w:color w:val="auto"/>
              </w:rPr>
            </w:pPr>
            <w:r>
              <w:rPr>
                <w:rFonts w:ascii="Times New Roman" w:cs="Times New Roman" w:eastAsia="Times New Roman" w:hAnsi="Times New Roman"/>
                <w:sz w:val="14"/>
                <w:szCs w:val="14"/>
                <w:b w:val="1"/>
                <w:bCs w:val="1"/>
                <w:color w:val="auto"/>
                <w:w w:val="76"/>
              </w:rPr>
              <w:t>thousands)</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5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equivalents and investments:</w:t>
            </w:r>
          </w:p>
        </w:tc>
        <w:tc>
          <w:tcPr>
            <w:tcW w:w="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Money market funds</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20,003</w:t>
            </w:r>
          </w:p>
        </w:tc>
        <w:tc>
          <w:tcPr>
            <w:tcW w:w="4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3"/>
          </w:tcPr>
          <w:p>
            <w:pPr>
              <w:jc w:val="center"/>
              <w:ind w:left="55"/>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2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Commercial paper</w:t>
            </w:r>
          </w:p>
        </w:tc>
        <w:tc>
          <w:tcPr>
            <w:tcW w:w="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13,504</w:t>
            </w:r>
          </w:p>
        </w:tc>
        <w:tc>
          <w:tcPr>
            <w:tcW w:w="18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13,504</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Corporate bonds</w:t>
            </w: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237,406</w:t>
            </w: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237,406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2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U.S. Government agency securities</w:t>
            </w:r>
          </w:p>
        </w:tc>
        <w:tc>
          <w:tcPr>
            <w:tcW w:w="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122,758</w:t>
            </w:r>
          </w:p>
        </w:tc>
        <w:tc>
          <w:tcPr>
            <w:tcW w:w="18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122,758</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U.S. Treasury securities</w:t>
            </w: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960,763</w:t>
            </w: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960,763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2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Strategic investments</w:t>
            </w:r>
          </w:p>
        </w:tc>
        <w:tc>
          <w:tcPr>
            <w:tcW w:w="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13,159</w:t>
            </w:r>
          </w:p>
        </w:tc>
        <w:tc>
          <w:tcPr>
            <w:tcW w:w="18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13,159</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20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Money market funds</w:t>
            </w:r>
          </w:p>
        </w:tc>
        <w:tc>
          <w:tcPr>
            <w:tcW w:w="4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84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FF0FC"/>
            </w:tcBorders>
            <w:shd w:val="clear" w:color="auto" w:fill="CFF0FC"/>
          </w:tcPr>
          <w:p>
            <w:pPr>
              <w:spacing w:after="0"/>
              <w:rPr>
                <w:sz w:val="21"/>
                <w:szCs w:val="21"/>
                <w:color w:val="auto"/>
              </w:rPr>
            </w:pPr>
          </w:p>
        </w:tc>
        <w:tc>
          <w:tcPr>
            <w:tcW w:w="4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4,053</w:t>
            </w:r>
          </w:p>
        </w:tc>
        <w:tc>
          <w:tcPr>
            <w:tcW w:w="180" w:type="dxa"/>
            <w:vAlign w:val="bottom"/>
            <w:tcBorders>
              <w:bottom w:val="single" w:sz="8" w:color="CFF0FC"/>
            </w:tcBorders>
            <w:shd w:val="clear" w:color="auto" w:fill="CFF0FC"/>
          </w:tcPr>
          <w:p>
            <w:pPr>
              <w:spacing w:after="0"/>
              <w:rPr>
                <w:sz w:val="21"/>
                <w:szCs w:val="21"/>
                <w:color w:val="auto"/>
              </w:rPr>
            </w:pPr>
          </w:p>
        </w:tc>
        <w:tc>
          <w:tcPr>
            <w:tcW w:w="4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82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FF0FC"/>
            </w:tcBorders>
            <w:shd w:val="clear" w:color="auto" w:fill="CFF0FC"/>
          </w:tcPr>
          <w:p>
            <w:pPr>
              <w:spacing w:after="0"/>
              <w:rPr>
                <w:sz w:val="21"/>
                <w:szCs w:val="21"/>
                <w:color w:val="auto"/>
              </w:rPr>
            </w:pPr>
          </w:p>
        </w:tc>
        <w:tc>
          <w:tcPr>
            <w:tcW w:w="2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4,053</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40" w:type="dxa"/>
            <w:vAlign w:val="bottom"/>
          </w:tcPr>
          <w:p>
            <w:pPr>
              <w:spacing w:after="0"/>
              <w:rPr>
                <w:sz w:val="20"/>
                <w:szCs w:val="20"/>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20,003</w:t>
            </w:r>
          </w:p>
        </w:tc>
        <w:tc>
          <w:tcPr>
            <w:tcW w:w="240" w:type="dxa"/>
            <w:vAlign w:val="bottom"/>
            <w:gridSpan w:val="2"/>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1,338,484</w:t>
            </w:r>
          </w:p>
        </w:tc>
        <w:tc>
          <w:tcPr>
            <w:tcW w:w="220" w:type="dxa"/>
            <w:vAlign w:val="bottom"/>
            <w:gridSpan w:val="2"/>
          </w:tcPr>
          <w:p>
            <w:pPr>
              <w:spacing w:after="0"/>
              <w:rPr>
                <w:sz w:val="20"/>
                <w:szCs w:val="20"/>
                <w:color w:val="auto"/>
              </w:rPr>
            </w:pPr>
          </w:p>
        </w:tc>
        <w:tc>
          <w:tcPr>
            <w:tcW w:w="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13,159</w:t>
            </w:r>
          </w:p>
        </w:tc>
        <w:tc>
          <w:tcPr>
            <w:tcW w:w="200" w:type="dxa"/>
            <w:vAlign w:val="bottom"/>
            <w:gridSpan w:val="2"/>
          </w:tcPr>
          <w:p>
            <w:pPr>
              <w:spacing w:after="0"/>
              <w:rPr>
                <w:sz w:val="20"/>
                <w:szCs w:val="20"/>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1,371,646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8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520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gridSpan w:val="7"/>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520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52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Cash equivalents and investments:</w:t>
            </w: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(in</w:t>
            </w:r>
          </w:p>
        </w:tc>
        <w:tc>
          <w:tcPr>
            <w:tcW w:w="1240" w:type="dxa"/>
            <w:vAlign w:val="bottom"/>
            <w:gridSpan w:val="5"/>
          </w:tcPr>
          <w:p>
            <w:pPr>
              <w:jc w:val="right"/>
              <w:ind w:right="632"/>
              <w:spacing w:after="0"/>
              <w:rPr>
                <w:sz w:val="20"/>
                <w:szCs w:val="20"/>
                <w:color w:val="auto"/>
              </w:rPr>
            </w:pPr>
            <w:r>
              <w:rPr>
                <w:rFonts w:ascii="Times New Roman" w:cs="Times New Roman" w:eastAsia="Times New Roman" w:hAnsi="Times New Roman"/>
                <w:sz w:val="14"/>
                <w:szCs w:val="14"/>
                <w:b w:val="1"/>
                <w:bCs w:val="1"/>
                <w:color w:val="auto"/>
                <w:w w:val="76"/>
              </w:rPr>
              <w:t>thousands)</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2"/>
        </w:trPr>
        <w:tc>
          <w:tcPr>
            <w:tcW w:w="5200" w:type="dxa"/>
            <w:vAlign w:val="bottom"/>
            <w:vMerge w:val="continue"/>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52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Money market funds</w:t>
            </w:r>
          </w:p>
        </w:tc>
        <w:tc>
          <w:tcPr>
            <w:tcW w:w="24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11,518</w:t>
            </w:r>
          </w:p>
        </w:tc>
        <w:tc>
          <w:tcPr>
            <w:tcW w:w="20" w:type="dxa"/>
            <w:vAlign w:val="bottom"/>
            <w:shd w:val="clear" w:color="auto" w:fill="CFF0FC"/>
          </w:tcPr>
          <w:p>
            <w:pPr>
              <w:spacing w:after="0"/>
              <w:rPr>
                <w:sz w:val="21"/>
                <w:szCs w:val="21"/>
                <w:color w:val="auto"/>
              </w:rPr>
            </w:pPr>
          </w:p>
        </w:tc>
        <w:tc>
          <w:tcPr>
            <w:tcW w:w="420" w:type="dxa"/>
            <w:vAlign w:val="bottom"/>
            <w:gridSpan w:val="3"/>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3"/>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3"/>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11,518</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Commercial paper</w:t>
            </w: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16,036</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16,036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2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Corporate bonds</w:t>
            </w:r>
          </w:p>
        </w:tc>
        <w:tc>
          <w:tcPr>
            <w:tcW w:w="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261,918</w:t>
            </w:r>
          </w:p>
        </w:tc>
        <w:tc>
          <w:tcPr>
            <w:tcW w:w="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261,918</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U.S. Government agency securities</w:t>
            </w: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39,965</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39,965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2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U.S. Treasury securities</w:t>
            </w:r>
          </w:p>
        </w:tc>
        <w:tc>
          <w:tcPr>
            <w:tcW w:w="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876,534</w:t>
            </w:r>
          </w:p>
        </w:tc>
        <w:tc>
          <w:tcPr>
            <w:tcW w:w="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876,534</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20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Money market funds</w:t>
            </w:r>
          </w:p>
        </w:tc>
        <w:tc>
          <w:tcPr>
            <w:tcW w:w="40" w:type="dxa"/>
            <w:vAlign w:val="bottom"/>
            <w:tcBorders>
              <w:bottom w:val="single" w:sz="8" w:color="auto"/>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spacing w:after="0"/>
              <w:rPr>
                <w:sz w:val="21"/>
                <w:szCs w:val="21"/>
                <w:color w:val="auto"/>
              </w:rPr>
            </w:pPr>
          </w:p>
        </w:tc>
        <w:tc>
          <w:tcPr>
            <w:tcW w:w="40" w:type="dxa"/>
            <w:vAlign w:val="bottom"/>
            <w:tcBorders>
              <w:bottom w:val="single" w:sz="8" w:color="auto"/>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3,153</w:t>
            </w:r>
          </w:p>
        </w:tc>
        <w:tc>
          <w:tcPr>
            <w:tcW w:w="4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40" w:type="dxa"/>
            <w:vAlign w:val="bottom"/>
            <w:tcBorders>
              <w:bottom w:val="single" w:sz="8" w:color="auto"/>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20" w:type="dxa"/>
            <w:vAlign w:val="bottom"/>
            <w:tcBorders>
              <w:bottom w:val="single" w:sz="8" w:color="auto"/>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3,153</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11,518</w:t>
            </w:r>
          </w:p>
        </w:tc>
        <w:tc>
          <w:tcPr>
            <w:tcW w:w="20" w:type="dxa"/>
            <w:vAlign w:val="bottom"/>
          </w:tcPr>
          <w:p>
            <w:pPr>
              <w:spacing w:after="0"/>
              <w:rPr>
                <w:sz w:val="20"/>
                <w:szCs w:val="20"/>
                <w:color w:val="auto"/>
              </w:rPr>
            </w:pPr>
          </w:p>
        </w:tc>
        <w:tc>
          <w:tcPr>
            <w:tcW w:w="42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1,197,606</w:t>
            </w:r>
          </w:p>
        </w:tc>
        <w:tc>
          <w:tcPr>
            <w:tcW w:w="40" w:type="dxa"/>
            <w:vAlign w:val="bottom"/>
          </w:tcPr>
          <w:p>
            <w:pPr>
              <w:spacing w:after="0"/>
              <w:rPr>
                <w:sz w:val="20"/>
                <w:szCs w:val="20"/>
                <w:color w:val="auto"/>
              </w:rPr>
            </w:pPr>
          </w:p>
        </w:tc>
        <w:tc>
          <w:tcPr>
            <w:tcW w:w="4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1,209,124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4359910</wp:posOffset>
            </wp:positionH>
            <wp:positionV relativeFrom="paragraph">
              <wp:posOffset>-2099310</wp:posOffset>
            </wp:positionV>
            <wp:extent cx="68580"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-2099310</wp:posOffset>
            </wp:positionV>
            <wp:extent cx="68580"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-2099310</wp:posOffset>
            </wp:positionV>
            <wp:extent cx="59690"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-2099310</wp:posOffset>
            </wp:positionV>
            <wp:extent cx="60325"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-187960</wp:posOffset>
            </wp:positionV>
            <wp:extent cx="68580" cy="88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-187960</wp:posOffset>
            </wp:positionV>
            <wp:extent cx="68580" cy="88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-187960</wp:posOffset>
            </wp:positionV>
            <wp:extent cx="60325" cy="88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-187960</wp:posOffset>
            </wp:positionV>
            <wp:extent cx="60325" cy="88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245"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The Company considers all highly liquid investments purchased with a remaining maturity of three months or less to be cash equivalents. The fair value of the Company’s investments in certain money market funds is their face value and such instruments are classified as Level 1 and are included in cash and cash equivalents, and restricted cash (within other current assets and long-term assets) on the consolidated balance sheets. At December 31, 2023 and 2022, Level 2 securities were priced by pricing vendors. These pricing vendors utilize the most recent observable market information in pricing these securities or, if specific prices are not available for these securities, use other observable inputs like market transactions involving identical or comparable securities. Certain non-marketable equity investments measured at fair value on a non-recurring basis are classified as Level 3 as non-recurring fair value measurements may include a combination of observable and unobservable inputs.</w:t>
      </w:r>
    </w:p>
    <w:p>
      <w:pPr>
        <w:spacing w:after="0" w:line="148"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As of December 31, 2023, the fair value of the 2025 Notes was $954.4 million (Note 9). The fair value was determined based on the quoted price of the 2025 Notes in an inactive market on the last trading day of the reporting period and has been classified as Level 2 within the fair value hierarchy.</w:t>
      </w:r>
    </w:p>
    <w:p>
      <w:pPr>
        <w:spacing w:after="0" w:line="121" w:lineRule="exact"/>
        <w:rPr>
          <w:sz w:val="20"/>
          <w:szCs w:val="20"/>
          <w:color w:val="auto"/>
        </w:rPr>
      </w:pPr>
    </w:p>
    <w:p>
      <w:pPr>
        <w:ind w:right="720" w:firstLine="509"/>
        <w:spacing w:after="0" w:line="282" w:lineRule="auto"/>
        <w:rPr>
          <w:sz w:val="20"/>
          <w:szCs w:val="20"/>
          <w:color w:val="auto"/>
        </w:rPr>
      </w:pPr>
      <w:r>
        <w:rPr>
          <w:rFonts w:ascii="Times New Roman" w:cs="Times New Roman" w:eastAsia="Times New Roman" w:hAnsi="Times New Roman"/>
          <w:sz w:val="18"/>
          <w:szCs w:val="18"/>
          <w:color w:val="auto"/>
        </w:rPr>
        <w:t>For certain other financial instruments, including accounts receivable, accounts payable, and other current liabilities, the carrying amounts approximate their fair value due to the relatively short maturity of these balances.</w:t>
      </w:r>
    </w:p>
    <w:p>
      <w:pPr>
        <w:spacing w:after="0" w:line="135" w:lineRule="exact"/>
        <w:rPr>
          <w:sz w:val="20"/>
          <w:szCs w:val="20"/>
          <w:color w:val="auto"/>
        </w:rPr>
      </w:pPr>
    </w:p>
    <w:p>
      <w:pPr>
        <w:ind w:right="260" w:firstLine="509"/>
        <w:spacing w:after="0" w:line="282" w:lineRule="auto"/>
        <w:rPr>
          <w:sz w:val="20"/>
          <w:szCs w:val="20"/>
          <w:color w:val="auto"/>
        </w:rPr>
      </w:pPr>
      <w:r>
        <w:rPr>
          <w:rFonts w:ascii="Times New Roman" w:cs="Times New Roman" w:eastAsia="Times New Roman" w:hAnsi="Times New Roman"/>
          <w:sz w:val="18"/>
          <w:szCs w:val="18"/>
          <w:color w:val="auto"/>
        </w:rPr>
        <w:t>Restricted cash is comprised of money market funds related to landlord guarantees for leased facilities. These restricted cash balances have been excluded from our cash and cash equivalents balance on our consolidated balance sheets.</w:t>
      </w:r>
    </w:p>
    <w:p>
      <w:pPr>
        <w:spacing w:after="0" w:line="121"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Strategic investments that consist of non-controlling equity investments without readily determinable fair values in privately held companies for which the Company does not have the ability to exercise significant influence are measured under the measurement alternative method. These investments are accounted for under the cost method of accounting. Under the cost method of accounting, the non-marketable equity securities are carried at cost less any impairment, plus or minus adjustments resulting from observable price changes in orderly transactions for the identical or a similar investment of the same issuer, which is recorded within the statement of operations. The Company held $41.1 million of strategic investments without readily determinable fair values at December 31, 2023 and $43.6 million of strategic investments without readily determinable fair values at December 31, 2022. These investments are included in other assets on the consolidated balance sheets.</w:t>
      </w:r>
    </w:p>
    <w:p>
      <w:pPr>
        <w:spacing w:after="0" w:line="18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61" w:right="399" w:bottom="1440" w:gutter="0" w:footer="0" w:header="0"/>
        </w:sectPr>
      </w:pPr>
    </w:p>
    <w:bookmarkStart w:id="83" w:name="page84"/>
    <w:bookmarkEnd w:id="83"/>
    <w:p>
      <w:pPr>
        <w:jc w:val="both"/>
        <w:ind w:right="160" w:firstLine="509"/>
        <w:spacing w:after="0" w:line="266" w:lineRule="auto"/>
        <w:rPr>
          <w:sz w:val="20"/>
          <w:szCs w:val="20"/>
          <w:color w:val="auto"/>
        </w:rPr>
      </w:pPr>
      <w:r>
        <w:rPr>
          <w:rFonts w:ascii="Times New Roman" w:cs="Times New Roman" w:eastAsia="Times New Roman" w:hAnsi="Times New Roman"/>
          <w:sz w:val="18"/>
          <w:szCs w:val="18"/>
          <w:color w:val="auto"/>
        </w:rPr>
        <w:t>The Company adjusts the fair values of its strategic investments based on observable price changes. The Company recorded an impairment of $1.7 million in 2023, a gain of $4.2 million and an impairment of $5.9 million in 2022, and a gain of $11.7 million in 2021. The gains and impairment loss are reported in the consolidated statements of operations as other income (expense).</w:t>
      </w:r>
    </w:p>
    <w:p>
      <w:pPr>
        <w:spacing w:after="0" w:line="149" w:lineRule="exact"/>
        <w:rPr>
          <w:sz w:val="20"/>
          <w:szCs w:val="20"/>
          <w:color w:val="auto"/>
        </w:rPr>
      </w:pPr>
    </w:p>
    <w:p>
      <w:pPr>
        <w:ind w:right="120" w:firstLine="509"/>
        <w:spacing w:after="0" w:line="282" w:lineRule="auto"/>
        <w:rPr>
          <w:sz w:val="20"/>
          <w:szCs w:val="20"/>
          <w:color w:val="auto"/>
        </w:rPr>
      </w:pPr>
      <w:r>
        <w:rPr>
          <w:rFonts w:ascii="Times New Roman" w:cs="Times New Roman" w:eastAsia="Times New Roman" w:hAnsi="Times New Roman"/>
          <w:sz w:val="18"/>
          <w:szCs w:val="18"/>
          <w:color w:val="auto"/>
        </w:rPr>
        <w:t>The Company also holds an equity method investment which represents an investment in a non-controlled company without a readily determinable market value. See Note 12 for more information on the equity method investment.</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tables summarize the composition of our short- and long-term investments at December 31, 2023 and 2022:</w:t>
      </w:r>
    </w:p>
    <w:p>
      <w:pPr>
        <w:spacing w:after="0" w:line="232" w:lineRule="exact"/>
        <w:rPr>
          <w:sz w:val="20"/>
          <w:szCs w:val="20"/>
          <w:color w:val="auto"/>
        </w:rPr>
      </w:pPr>
    </w:p>
    <w:tbl>
      <w:tblPr>
        <w:tblLayout w:type="fixed"/>
        <w:tblInd w:w="580" w:type="dxa"/>
        <w:tblCellMar>
          <w:top w:w="0" w:type="dxa"/>
          <w:left w:w="0" w:type="dxa"/>
          <w:bottom w:w="0" w:type="dxa"/>
          <w:right w:w="0" w:type="dxa"/>
        </w:tblCellMar>
      </w:tblPr>
      <w:tr>
        <w:trPr>
          <w:trHeight w:val="187"/>
        </w:trPr>
        <w:tc>
          <w:tcPr>
            <w:tcW w:w="52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5"/>
          </w:tcPr>
          <w:p>
            <w:pPr>
              <w:jc w:val="right"/>
              <w:ind w:right="80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31"/>
        </w:trPr>
        <w:tc>
          <w:tcPr>
            <w:tcW w:w="5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gridSpan w:val="2"/>
          </w:tcPr>
          <w:p>
            <w:pPr>
              <w:ind w:left="20"/>
              <w:spacing w:after="0" w:line="131" w:lineRule="exact"/>
              <w:rPr>
                <w:sz w:val="20"/>
                <w:szCs w:val="20"/>
                <w:color w:val="auto"/>
              </w:rPr>
            </w:pPr>
            <w:r>
              <w:rPr>
                <w:rFonts w:ascii="Times New Roman" w:cs="Times New Roman" w:eastAsia="Times New Roman" w:hAnsi="Times New Roman"/>
                <w:sz w:val="14"/>
                <w:szCs w:val="14"/>
                <w:b w:val="1"/>
                <w:bCs w:val="1"/>
                <w:color w:val="auto"/>
              </w:rPr>
              <w:t>Amortized</w:t>
            </w:r>
          </w:p>
        </w:tc>
        <w:tc>
          <w:tcPr>
            <w:tcW w:w="120" w:type="dxa"/>
            <w:vAlign w:val="bottom"/>
          </w:tcPr>
          <w:p>
            <w:pPr>
              <w:spacing w:after="0"/>
              <w:rPr>
                <w:sz w:val="11"/>
                <w:szCs w:val="11"/>
                <w:color w:val="auto"/>
              </w:rPr>
            </w:pPr>
          </w:p>
        </w:tc>
        <w:tc>
          <w:tcPr>
            <w:tcW w:w="1100" w:type="dxa"/>
            <w:vAlign w:val="bottom"/>
            <w:gridSpan w:val="2"/>
          </w:tcPr>
          <w:p>
            <w:pPr>
              <w:jc w:val="right"/>
              <w:ind w:right="328"/>
              <w:spacing w:after="0" w:line="131"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40" w:type="dxa"/>
            <w:vAlign w:val="bottom"/>
          </w:tcPr>
          <w:p>
            <w:pPr>
              <w:spacing w:after="0"/>
              <w:rPr>
                <w:sz w:val="11"/>
                <w:szCs w:val="11"/>
                <w:color w:val="auto"/>
              </w:rPr>
            </w:pPr>
          </w:p>
        </w:tc>
        <w:tc>
          <w:tcPr>
            <w:tcW w:w="1100" w:type="dxa"/>
            <w:vAlign w:val="bottom"/>
            <w:gridSpan w:val="2"/>
          </w:tcPr>
          <w:p>
            <w:pPr>
              <w:jc w:val="center"/>
              <w:ind w:right="340"/>
              <w:spacing w:after="0" w:line="131"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40" w:type="dxa"/>
            <w:vAlign w:val="bottom"/>
          </w:tcPr>
          <w:p>
            <w:pPr>
              <w:spacing w:after="0"/>
              <w:rPr>
                <w:sz w:val="11"/>
                <w:szCs w:val="11"/>
                <w:color w:val="auto"/>
              </w:rPr>
            </w:pPr>
          </w:p>
        </w:tc>
        <w:tc>
          <w:tcPr>
            <w:tcW w:w="880" w:type="dxa"/>
            <w:vAlign w:val="bottom"/>
          </w:tcPr>
          <w:p>
            <w:pPr>
              <w:jc w:val="right"/>
              <w:ind w:right="115"/>
              <w:spacing w:after="0" w:line="131" w:lineRule="exact"/>
              <w:rPr>
                <w:sz w:val="20"/>
                <w:szCs w:val="20"/>
                <w:color w:val="auto"/>
              </w:rPr>
            </w:pPr>
            <w:r>
              <w:rPr>
                <w:rFonts w:ascii="Times New Roman" w:cs="Times New Roman" w:eastAsia="Times New Roman" w:hAnsi="Times New Roman"/>
                <w:sz w:val="14"/>
                <w:szCs w:val="14"/>
                <w:b w:val="1"/>
                <w:bCs w:val="1"/>
                <w:color w:val="auto"/>
              </w:rPr>
              <w:t>Aggregate</w:t>
            </w:r>
          </w:p>
        </w:tc>
        <w:tc>
          <w:tcPr>
            <w:tcW w:w="100" w:type="dxa"/>
            <w:vAlign w:val="bottom"/>
          </w:tcPr>
          <w:p>
            <w:pPr>
              <w:spacing w:after="0"/>
              <w:rPr>
                <w:sz w:val="11"/>
                <w:szCs w:val="11"/>
                <w:color w:val="auto"/>
              </w:rPr>
            </w:pPr>
          </w:p>
        </w:tc>
      </w:tr>
      <w:tr>
        <w:trPr>
          <w:trHeight w:val="187"/>
        </w:trPr>
        <w:tc>
          <w:tcPr>
            <w:tcW w:w="52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Cost</w:t>
            </w:r>
          </w:p>
        </w:tc>
        <w:tc>
          <w:tcPr>
            <w:tcW w:w="2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58"/>
              <w:spacing w:after="0"/>
              <w:rPr>
                <w:sz w:val="20"/>
                <w:szCs w:val="20"/>
                <w:color w:val="auto"/>
              </w:rPr>
            </w:pPr>
            <w:r>
              <w:rPr>
                <w:rFonts w:ascii="Times New Roman" w:cs="Times New Roman" w:eastAsia="Times New Roman" w:hAnsi="Times New Roman"/>
                <w:sz w:val="14"/>
                <w:szCs w:val="14"/>
                <w:b w:val="1"/>
                <w:bCs w:val="1"/>
                <w:color w:val="auto"/>
              </w:rPr>
              <w:t>Gains</w:t>
            </w:r>
          </w:p>
        </w:tc>
        <w:tc>
          <w:tcPr>
            <w:tcW w:w="2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tcPr>
          <w:p>
            <w:pPr>
              <w:spacing w:after="0"/>
              <w:rPr>
                <w:sz w:val="16"/>
                <w:szCs w:val="16"/>
                <w:color w:val="auto"/>
              </w:rPr>
            </w:pPr>
          </w:p>
        </w:tc>
      </w:tr>
      <w:tr>
        <w:trPr>
          <w:trHeight w:val="169"/>
        </w:trPr>
        <w:tc>
          <w:tcPr>
            <w:tcW w:w="5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jc w:val="right"/>
              <w:ind w:right="98"/>
              <w:spacing w:after="0"/>
              <w:rPr>
                <w:sz w:val="20"/>
                <w:szCs w:val="20"/>
                <w:color w:val="auto"/>
              </w:rPr>
            </w:pPr>
            <w:r>
              <w:rPr>
                <w:rFonts w:ascii="Times New Roman" w:cs="Times New Roman" w:eastAsia="Times New Roman" w:hAnsi="Times New Roman"/>
                <w:sz w:val="14"/>
                <w:szCs w:val="14"/>
                <w:b w:val="1"/>
                <w:bCs w:val="1"/>
                <w:color w:val="auto"/>
              </w:rPr>
              <w:t>(in</w:t>
            </w:r>
          </w:p>
        </w:tc>
        <w:tc>
          <w:tcPr>
            <w:tcW w:w="1240" w:type="dxa"/>
            <w:vAlign w:val="bottom"/>
            <w:gridSpan w:val="3"/>
          </w:tcPr>
          <w:p>
            <w:pPr>
              <w:jc w:val="right"/>
              <w:ind w:right="635"/>
              <w:spacing w:after="0"/>
              <w:rPr>
                <w:sz w:val="20"/>
                <w:szCs w:val="20"/>
                <w:color w:val="auto"/>
              </w:rPr>
            </w:pPr>
            <w:r>
              <w:rPr>
                <w:rFonts w:ascii="Times New Roman" w:cs="Times New Roman" w:eastAsia="Times New Roman" w:hAnsi="Times New Roman"/>
                <w:sz w:val="14"/>
                <w:szCs w:val="14"/>
                <w:b w:val="1"/>
                <w:bCs w:val="1"/>
                <w:color w:val="auto"/>
                <w:w w:val="76"/>
              </w:rPr>
              <w:t>thousands)</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3"/>
        </w:trPr>
        <w:tc>
          <w:tcPr>
            <w:tcW w:w="524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Commercial paper</w:t>
            </w:r>
          </w:p>
        </w:tc>
        <w:tc>
          <w:tcPr>
            <w:tcW w:w="140" w:type="dxa"/>
            <w:vAlign w:val="bottom"/>
            <w:shd w:val="clear" w:color="auto" w:fill="CFF0FC"/>
          </w:tcPr>
          <w:p>
            <w:pPr>
              <w:jc w:val="right"/>
              <w:ind w:right="7"/>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11,513</w:t>
            </w:r>
          </w:p>
        </w:tc>
        <w:tc>
          <w:tcPr>
            <w:tcW w:w="260" w:type="dxa"/>
            <w:vAlign w:val="bottom"/>
            <w:tcBorders>
              <w:left w:val="single" w:sz="8" w:color="CFF0FC"/>
              <w:right w:val="single" w:sz="8" w:color="CFF0FC"/>
            </w:tcBorders>
            <w:shd w:val="clear" w:color="auto" w:fill="CFF0FC"/>
          </w:tcPr>
          <w:p>
            <w:pPr>
              <w:spacing w:after="0"/>
              <w:rPr>
                <w:sz w:val="21"/>
                <w:szCs w:val="21"/>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gridSpan w:val="2"/>
            <w:shd w:val="clear" w:color="auto" w:fill="CFF0FC"/>
          </w:tcPr>
          <w:p>
            <w:pPr>
              <w:jc w:val="right"/>
              <w:ind w:right="148"/>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right w:val="single" w:sz="8" w:color="CFF0FC"/>
            </w:tcBorders>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11,513</w:t>
            </w:r>
          </w:p>
        </w:tc>
        <w:tc>
          <w:tcPr>
            <w:tcW w:w="100" w:type="dxa"/>
            <w:vAlign w:val="bottom"/>
            <w:shd w:val="clear" w:color="auto" w:fill="CFF0FC"/>
          </w:tcPr>
          <w:p>
            <w:pPr>
              <w:spacing w:after="0"/>
              <w:rPr>
                <w:sz w:val="21"/>
                <w:szCs w:val="21"/>
                <w:color w:val="auto"/>
              </w:rPr>
            </w:pPr>
          </w:p>
        </w:tc>
      </w:tr>
      <w:tr>
        <w:trPr>
          <w:trHeight w:val="239"/>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Corporate bonds</w:t>
            </w: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237,662</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(678 )</w:t>
            </w: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237,406</w:t>
            </w:r>
          </w:p>
        </w:tc>
        <w:tc>
          <w:tcPr>
            <w:tcW w:w="100" w:type="dxa"/>
            <w:vAlign w:val="bottom"/>
          </w:tcPr>
          <w:p>
            <w:pPr>
              <w:spacing w:after="0"/>
              <w:rPr>
                <w:sz w:val="20"/>
                <w:szCs w:val="20"/>
                <w:color w:val="auto"/>
              </w:rPr>
            </w:pPr>
          </w:p>
        </w:tc>
      </w:tr>
      <w:tr>
        <w:trPr>
          <w:trHeight w:val="247"/>
        </w:trPr>
        <w:tc>
          <w:tcPr>
            <w:tcW w:w="524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U.S. Government agency securities</w:t>
            </w:r>
          </w:p>
        </w:tc>
        <w:tc>
          <w:tcPr>
            <w:tcW w:w="14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122,414</w:t>
            </w:r>
          </w:p>
        </w:tc>
        <w:tc>
          <w:tcPr>
            <w:tcW w:w="260" w:type="dxa"/>
            <w:vAlign w:val="bottom"/>
            <w:tcBorders>
              <w:left w:val="single" w:sz="8" w:color="CFF0FC"/>
              <w:right w:val="single" w:sz="8" w:color="CFF0FC"/>
            </w:tcBorders>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520</w:t>
            </w:r>
          </w:p>
        </w:tc>
        <w:tc>
          <w:tcPr>
            <w:tcW w:w="220" w:type="dxa"/>
            <w:vAlign w:val="bottom"/>
            <w:tcBorders>
              <w:left w:val="single" w:sz="8" w:color="CFF0FC"/>
            </w:tcBorders>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00" w:type="dxa"/>
            <w:vAlign w:val="bottom"/>
            <w:tcBorders>
              <w:right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(176 )</w:t>
            </w:r>
          </w:p>
        </w:tc>
        <w:tc>
          <w:tcPr>
            <w:tcW w:w="14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122,758</w:t>
            </w:r>
          </w:p>
        </w:tc>
        <w:tc>
          <w:tcPr>
            <w:tcW w:w="100" w:type="dxa"/>
            <w:vAlign w:val="bottom"/>
            <w:shd w:val="clear" w:color="auto" w:fill="CFF0FC"/>
          </w:tcPr>
          <w:p>
            <w:pPr>
              <w:spacing w:after="0"/>
              <w:rPr>
                <w:sz w:val="21"/>
                <w:szCs w:val="21"/>
                <w:color w:val="auto"/>
              </w:rPr>
            </w:pPr>
          </w:p>
        </w:tc>
      </w:tr>
      <w:tr>
        <w:trPr>
          <w:trHeight w:val="243"/>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U.S. Treasury securities</w:t>
            </w: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953,457</w:t>
            </w: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1,087</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(273 )</w:t>
            </w: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954,271</w:t>
            </w:r>
          </w:p>
        </w:tc>
        <w:tc>
          <w:tcPr>
            <w:tcW w:w="100" w:type="dxa"/>
            <w:vAlign w:val="bottom"/>
          </w:tcPr>
          <w:p>
            <w:pPr>
              <w:spacing w:after="0"/>
              <w:rPr>
                <w:sz w:val="21"/>
                <w:szCs w:val="21"/>
                <w:color w:val="auto"/>
              </w:rPr>
            </w:pPr>
          </w:p>
        </w:tc>
      </w:tr>
      <w:tr>
        <w:trPr>
          <w:trHeight w:val="20"/>
        </w:trPr>
        <w:tc>
          <w:tcPr>
            <w:tcW w:w="5240" w:type="dxa"/>
            <w:vAlign w:val="bottom"/>
            <w:tcBorders>
              <w:righ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7"/>
        </w:trPr>
        <w:tc>
          <w:tcPr>
            <w:tcW w:w="5240" w:type="dxa"/>
            <w:vAlign w:val="bottom"/>
            <w:tcBorders>
              <w:right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shd w:val="clear" w:color="auto" w:fill="CFF0FC"/>
          </w:tcPr>
          <w:p>
            <w:pPr>
              <w:jc w:val="right"/>
              <w:ind w:right="7"/>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1,325,046</w:t>
            </w:r>
          </w:p>
        </w:tc>
        <w:tc>
          <w:tcPr>
            <w:tcW w:w="260" w:type="dxa"/>
            <w:vAlign w:val="bottom"/>
            <w:tcBorders>
              <w:left w:val="single" w:sz="8" w:color="CFF0FC"/>
              <w:right w:val="single" w:sz="8" w:color="CFF0FC"/>
            </w:tcBorders>
            <w:shd w:val="clear" w:color="auto" w:fill="CFF0FC"/>
          </w:tcPr>
          <w:p>
            <w:pPr>
              <w:spacing w:after="0"/>
              <w:rPr>
                <w:sz w:val="22"/>
                <w:szCs w:val="22"/>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2,029</w:t>
            </w:r>
          </w:p>
        </w:tc>
        <w:tc>
          <w:tcPr>
            <w:tcW w:w="220" w:type="dxa"/>
            <w:vAlign w:val="bottom"/>
            <w:tcBorders>
              <w:left w:val="single" w:sz="8" w:color="CFF0FC"/>
            </w:tcBorders>
            <w:shd w:val="clear" w:color="auto" w:fill="CFF0FC"/>
          </w:tcPr>
          <w:p>
            <w:pPr>
              <w:spacing w:after="0"/>
              <w:rPr>
                <w:sz w:val="22"/>
                <w:szCs w:val="22"/>
                <w:color w:val="auto"/>
              </w:rPr>
            </w:pPr>
          </w:p>
        </w:tc>
        <w:tc>
          <w:tcPr>
            <w:tcW w:w="1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right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(1,127 )</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1,325,948</w:t>
            </w:r>
          </w:p>
        </w:tc>
        <w:tc>
          <w:tcPr>
            <w:tcW w:w="100" w:type="dxa"/>
            <w:vAlign w:val="bottom"/>
            <w:shd w:val="clear" w:color="auto" w:fill="CFF0FC"/>
          </w:tcPr>
          <w:p>
            <w:pPr>
              <w:spacing w:after="0"/>
              <w:rPr>
                <w:sz w:val="22"/>
                <w:szCs w:val="22"/>
                <w:color w:val="auto"/>
              </w:rPr>
            </w:pPr>
          </w:p>
        </w:tc>
      </w:tr>
      <w:tr>
        <w:trPr>
          <w:trHeight w:val="20"/>
        </w:trPr>
        <w:tc>
          <w:tcPr>
            <w:tcW w:w="524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left w:val="single" w:sz="8" w:color="CFF0FC"/>
              <w:right w:val="single" w:sz="8" w:color="auto"/>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left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r>
        <w:trPr>
          <w:trHeight w:val="345"/>
        </w:trPr>
        <w:tc>
          <w:tcPr>
            <w:tcW w:w="52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gridSpan w:val="5"/>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31"/>
        </w:trPr>
        <w:tc>
          <w:tcPr>
            <w:tcW w:w="5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gridSpan w:val="2"/>
          </w:tcPr>
          <w:p>
            <w:pPr>
              <w:ind w:left="60"/>
              <w:spacing w:after="0" w:line="131" w:lineRule="exact"/>
              <w:rPr>
                <w:sz w:val="20"/>
                <w:szCs w:val="20"/>
                <w:color w:val="auto"/>
              </w:rPr>
            </w:pPr>
            <w:r>
              <w:rPr>
                <w:rFonts w:ascii="Times New Roman" w:cs="Times New Roman" w:eastAsia="Times New Roman" w:hAnsi="Times New Roman"/>
                <w:sz w:val="14"/>
                <w:szCs w:val="14"/>
                <w:b w:val="1"/>
                <w:bCs w:val="1"/>
                <w:color w:val="auto"/>
              </w:rPr>
              <w:t>Amortized</w:t>
            </w:r>
          </w:p>
        </w:tc>
        <w:tc>
          <w:tcPr>
            <w:tcW w:w="120" w:type="dxa"/>
            <w:vAlign w:val="bottom"/>
          </w:tcPr>
          <w:p>
            <w:pPr>
              <w:spacing w:after="0"/>
              <w:rPr>
                <w:sz w:val="11"/>
                <w:szCs w:val="11"/>
                <w:color w:val="auto"/>
              </w:rPr>
            </w:pPr>
          </w:p>
        </w:tc>
        <w:tc>
          <w:tcPr>
            <w:tcW w:w="1100" w:type="dxa"/>
            <w:vAlign w:val="bottom"/>
            <w:gridSpan w:val="2"/>
          </w:tcPr>
          <w:p>
            <w:pPr>
              <w:jc w:val="right"/>
              <w:ind w:right="308"/>
              <w:spacing w:after="0" w:line="131"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40" w:type="dxa"/>
            <w:vAlign w:val="bottom"/>
          </w:tcPr>
          <w:p>
            <w:pPr>
              <w:spacing w:after="0"/>
              <w:rPr>
                <w:sz w:val="11"/>
                <w:szCs w:val="11"/>
                <w:color w:val="auto"/>
              </w:rPr>
            </w:pPr>
          </w:p>
        </w:tc>
        <w:tc>
          <w:tcPr>
            <w:tcW w:w="1100" w:type="dxa"/>
            <w:vAlign w:val="bottom"/>
            <w:gridSpan w:val="2"/>
          </w:tcPr>
          <w:p>
            <w:pPr>
              <w:jc w:val="center"/>
              <w:ind w:right="340"/>
              <w:spacing w:after="0" w:line="131"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40" w:type="dxa"/>
            <w:vAlign w:val="bottom"/>
          </w:tcPr>
          <w:p>
            <w:pPr>
              <w:spacing w:after="0"/>
              <w:rPr>
                <w:sz w:val="11"/>
                <w:szCs w:val="11"/>
                <w:color w:val="auto"/>
              </w:rPr>
            </w:pPr>
          </w:p>
        </w:tc>
        <w:tc>
          <w:tcPr>
            <w:tcW w:w="880" w:type="dxa"/>
            <w:vAlign w:val="bottom"/>
          </w:tcPr>
          <w:p>
            <w:pPr>
              <w:jc w:val="right"/>
              <w:ind w:right="115"/>
              <w:spacing w:after="0" w:line="131" w:lineRule="exact"/>
              <w:rPr>
                <w:sz w:val="20"/>
                <w:szCs w:val="20"/>
                <w:color w:val="auto"/>
              </w:rPr>
            </w:pPr>
            <w:r>
              <w:rPr>
                <w:rFonts w:ascii="Times New Roman" w:cs="Times New Roman" w:eastAsia="Times New Roman" w:hAnsi="Times New Roman"/>
                <w:sz w:val="14"/>
                <w:szCs w:val="14"/>
                <w:b w:val="1"/>
                <w:bCs w:val="1"/>
                <w:color w:val="auto"/>
              </w:rPr>
              <w:t>Aggregate</w:t>
            </w:r>
          </w:p>
        </w:tc>
        <w:tc>
          <w:tcPr>
            <w:tcW w:w="100" w:type="dxa"/>
            <w:vAlign w:val="bottom"/>
          </w:tcPr>
          <w:p>
            <w:pPr>
              <w:spacing w:after="0"/>
              <w:rPr>
                <w:sz w:val="11"/>
                <w:szCs w:val="11"/>
                <w:color w:val="auto"/>
              </w:rPr>
            </w:pPr>
          </w:p>
        </w:tc>
      </w:tr>
      <w:tr>
        <w:trPr>
          <w:trHeight w:val="187"/>
        </w:trPr>
        <w:tc>
          <w:tcPr>
            <w:tcW w:w="52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Cost</w:t>
            </w:r>
          </w:p>
        </w:tc>
        <w:tc>
          <w:tcPr>
            <w:tcW w:w="2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38"/>
              <w:spacing w:after="0"/>
              <w:rPr>
                <w:sz w:val="20"/>
                <w:szCs w:val="20"/>
                <w:color w:val="auto"/>
              </w:rPr>
            </w:pPr>
            <w:r>
              <w:rPr>
                <w:rFonts w:ascii="Times New Roman" w:cs="Times New Roman" w:eastAsia="Times New Roman" w:hAnsi="Times New Roman"/>
                <w:sz w:val="14"/>
                <w:szCs w:val="14"/>
                <w:b w:val="1"/>
                <w:bCs w:val="1"/>
                <w:color w:val="auto"/>
              </w:rPr>
              <w:t>Gains</w:t>
            </w:r>
          </w:p>
        </w:tc>
        <w:tc>
          <w:tcPr>
            <w:tcW w:w="2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tcPr>
          <w:p>
            <w:pPr>
              <w:spacing w:after="0"/>
              <w:rPr>
                <w:sz w:val="16"/>
                <w:szCs w:val="16"/>
                <w:color w:val="auto"/>
              </w:rPr>
            </w:pPr>
          </w:p>
        </w:tc>
      </w:tr>
      <w:tr>
        <w:trPr>
          <w:trHeight w:val="164"/>
        </w:trPr>
        <w:tc>
          <w:tcPr>
            <w:tcW w:w="5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jc w:val="right"/>
              <w:ind w:right="98"/>
              <w:spacing w:after="0"/>
              <w:rPr>
                <w:sz w:val="20"/>
                <w:szCs w:val="20"/>
                <w:color w:val="auto"/>
              </w:rPr>
            </w:pPr>
            <w:r>
              <w:rPr>
                <w:rFonts w:ascii="Times New Roman" w:cs="Times New Roman" w:eastAsia="Times New Roman" w:hAnsi="Times New Roman"/>
                <w:sz w:val="14"/>
                <w:szCs w:val="14"/>
                <w:b w:val="1"/>
                <w:bCs w:val="1"/>
                <w:color w:val="auto"/>
              </w:rPr>
              <w:t>(in</w:t>
            </w:r>
          </w:p>
        </w:tc>
        <w:tc>
          <w:tcPr>
            <w:tcW w:w="1240" w:type="dxa"/>
            <w:vAlign w:val="bottom"/>
            <w:gridSpan w:val="3"/>
          </w:tcPr>
          <w:p>
            <w:pPr>
              <w:jc w:val="center"/>
              <w:ind w:right="595"/>
              <w:spacing w:after="0"/>
              <w:rPr>
                <w:sz w:val="20"/>
                <w:szCs w:val="20"/>
                <w:color w:val="auto"/>
              </w:rPr>
            </w:pPr>
            <w:r>
              <w:rPr>
                <w:rFonts w:ascii="Times New Roman" w:cs="Times New Roman" w:eastAsia="Times New Roman" w:hAnsi="Times New Roman"/>
                <w:sz w:val="14"/>
                <w:szCs w:val="14"/>
                <w:b w:val="1"/>
                <w:bCs w:val="1"/>
                <w:color w:val="auto"/>
                <w:w w:val="79"/>
              </w:rPr>
              <w:t>thousands)</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1"/>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Commercial paper</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16,036</w:t>
            </w:r>
          </w:p>
        </w:tc>
        <w:tc>
          <w:tcPr>
            <w:tcW w:w="26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48"/>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16,036</w:t>
            </w:r>
          </w:p>
        </w:tc>
        <w:tc>
          <w:tcPr>
            <w:tcW w:w="100" w:type="dxa"/>
            <w:vAlign w:val="bottom"/>
          </w:tcPr>
          <w:p>
            <w:pPr>
              <w:spacing w:after="0"/>
              <w:rPr>
                <w:sz w:val="20"/>
                <w:szCs w:val="20"/>
                <w:color w:val="auto"/>
              </w:rPr>
            </w:pPr>
          </w:p>
        </w:tc>
      </w:tr>
      <w:tr>
        <w:trPr>
          <w:trHeight w:val="250"/>
        </w:trPr>
        <w:tc>
          <w:tcPr>
            <w:tcW w:w="524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Corporate bonds</w:t>
            </w:r>
          </w:p>
        </w:tc>
        <w:tc>
          <w:tcPr>
            <w:tcW w:w="14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265,875</w:t>
            </w:r>
          </w:p>
        </w:tc>
        <w:tc>
          <w:tcPr>
            <w:tcW w:w="260" w:type="dxa"/>
            <w:vAlign w:val="bottom"/>
            <w:tcBorders>
              <w:left w:val="single" w:sz="8" w:color="CFF0FC"/>
              <w:right w:val="single" w:sz="8" w:color="CFF0FC"/>
            </w:tcBorders>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20" w:type="dxa"/>
            <w:vAlign w:val="bottom"/>
            <w:tcBorders>
              <w:left w:val="single" w:sz="8" w:color="CFF0FC"/>
            </w:tcBorders>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00" w:type="dxa"/>
            <w:vAlign w:val="bottom"/>
            <w:tcBorders>
              <w:right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(3,966 )</w:t>
            </w:r>
          </w:p>
        </w:tc>
        <w:tc>
          <w:tcPr>
            <w:tcW w:w="14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261,918</w:t>
            </w:r>
          </w:p>
        </w:tc>
        <w:tc>
          <w:tcPr>
            <w:tcW w:w="100" w:type="dxa"/>
            <w:vAlign w:val="bottom"/>
            <w:shd w:val="clear" w:color="auto" w:fill="CFF0FC"/>
          </w:tcPr>
          <w:p>
            <w:pPr>
              <w:spacing w:after="0"/>
              <w:rPr>
                <w:sz w:val="21"/>
                <w:szCs w:val="21"/>
                <w:color w:val="auto"/>
              </w:rPr>
            </w:pPr>
          </w:p>
        </w:tc>
      </w:tr>
      <w:tr>
        <w:trPr>
          <w:trHeight w:val="239"/>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U.S. Government agency securities</w:t>
            </w: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40,908</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(944 )</w:t>
            </w: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39,965</w:t>
            </w:r>
          </w:p>
        </w:tc>
        <w:tc>
          <w:tcPr>
            <w:tcW w:w="100" w:type="dxa"/>
            <w:vAlign w:val="bottom"/>
          </w:tcPr>
          <w:p>
            <w:pPr>
              <w:spacing w:after="0"/>
              <w:rPr>
                <w:sz w:val="20"/>
                <w:szCs w:val="20"/>
                <w:color w:val="auto"/>
              </w:rPr>
            </w:pPr>
          </w:p>
        </w:tc>
      </w:tr>
      <w:tr>
        <w:trPr>
          <w:trHeight w:val="247"/>
        </w:trPr>
        <w:tc>
          <w:tcPr>
            <w:tcW w:w="524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U.S. Treasury securities</w:t>
            </w:r>
          </w:p>
        </w:tc>
        <w:tc>
          <w:tcPr>
            <w:tcW w:w="14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881,428</w:t>
            </w:r>
          </w:p>
        </w:tc>
        <w:tc>
          <w:tcPr>
            <w:tcW w:w="260" w:type="dxa"/>
            <w:vAlign w:val="bottom"/>
            <w:tcBorders>
              <w:left w:val="single" w:sz="8" w:color="CFF0FC"/>
              <w:right w:val="single" w:sz="8" w:color="CFF0FC"/>
            </w:tcBorders>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20" w:type="dxa"/>
            <w:vAlign w:val="bottom"/>
            <w:tcBorders>
              <w:left w:val="single" w:sz="8" w:color="CFF0FC"/>
            </w:tcBorders>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00" w:type="dxa"/>
            <w:vAlign w:val="bottom"/>
            <w:tcBorders>
              <w:right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(4,908 )</w:t>
            </w:r>
          </w:p>
        </w:tc>
        <w:tc>
          <w:tcPr>
            <w:tcW w:w="14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876,534</w:t>
            </w:r>
          </w:p>
        </w:tc>
        <w:tc>
          <w:tcPr>
            <w:tcW w:w="100" w:type="dxa"/>
            <w:vAlign w:val="bottom"/>
            <w:shd w:val="clear" w:color="auto" w:fill="CFF0FC"/>
          </w:tcPr>
          <w:p>
            <w:pPr>
              <w:spacing w:after="0"/>
              <w:rPr>
                <w:sz w:val="21"/>
                <w:szCs w:val="21"/>
                <w:color w:val="auto"/>
              </w:rPr>
            </w:pPr>
          </w:p>
        </w:tc>
      </w:tr>
      <w:tr>
        <w:trPr>
          <w:trHeight w:val="20"/>
        </w:trPr>
        <w:tc>
          <w:tcPr>
            <w:tcW w:w="5240" w:type="dxa"/>
            <w:vAlign w:val="bottom"/>
            <w:tcBorders>
              <w:right w:val="single" w:sz="8" w:color="CFF0FC"/>
            </w:tcBorders>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tcBorders>
              <w:left w:val="single" w:sz="8" w:color="auto"/>
              <w:right w:val="single" w:sz="8" w:color="CFF0FC"/>
            </w:tcBorders>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Borders>
              <w:left w:val="single" w:sz="8" w:color="auto"/>
            </w:tcBorders>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Borders>
              <w:right w:val="single" w:sz="8" w:color="CFF0FC"/>
            </w:tcBorders>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7"/>
        </w:trPr>
        <w:tc>
          <w:tcPr>
            <w:tcW w:w="5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1,204,247</w:t>
            </w:r>
          </w:p>
        </w:tc>
        <w:tc>
          <w:tcPr>
            <w:tcW w:w="26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20" w:type="dxa"/>
            <w:vAlign w:val="bottom"/>
          </w:tcPr>
          <w:p>
            <w:pPr>
              <w:spacing w:after="0"/>
              <w:rPr>
                <w:sz w:val="20"/>
                <w:szCs w:val="20"/>
                <w:color w:val="auto"/>
              </w:rPr>
            </w:pPr>
          </w:p>
        </w:tc>
        <w:tc>
          <w:tcPr>
            <w:tcW w:w="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(9,818 )</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1,194,453</w:t>
            </w:r>
          </w:p>
        </w:tc>
        <w:tc>
          <w:tcPr>
            <w:tcW w:w="100" w:type="dxa"/>
            <w:vAlign w:val="bottom"/>
          </w:tcPr>
          <w:p>
            <w:pPr>
              <w:spacing w:after="0"/>
              <w:rPr>
                <w:sz w:val="20"/>
                <w:szCs w:val="20"/>
                <w:color w:val="auto"/>
              </w:rPr>
            </w:pPr>
          </w:p>
        </w:tc>
      </w:tr>
      <w:tr>
        <w:trPr>
          <w:trHeight w:val="20"/>
        </w:trPr>
        <w:tc>
          <w:tcPr>
            <w:tcW w:w="5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4342765</wp:posOffset>
            </wp:positionH>
            <wp:positionV relativeFrom="paragraph">
              <wp:posOffset>-1396365</wp:posOffset>
            </wp:positionV>
            <wp:extent cx="68580"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-1379855</wp:posOffset>
            </wp:positionV>
            <wp:extent cx="68580" cy="88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-1396365</wp:posOffset>
            </wp:positionV>
            <wp:extent cx="68580"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-1379855</wp:posOffset>
            </wp:positionV>
            <wp:extent cx="68580" cy="88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-1396365</wp:posOffset>
            </wp:positionV>
            <wp:extent cx="60325"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-1379855</wp:posOffset>
            </wp:positionV>
            <wp:extent cx="60325" cy="889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-1396365</wp:posOffset>
            </wp:positionV>
            <wp:extent cx="60325"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-1379855</wp:posOffset>
            </wp:positionV>
            <wp:extent cx="60325" cy="88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4359910</wp:posOffset>
            </wp:positionH>
            <wp:positionV relativeFrom="paragraph">
              <wp:posOffset>-187960</wp:posOffset>
            </wp:positionV>
            <wp:extent cx="68580"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-187960</wp:posOffset>
            </wp:positionV>
            <wp:extent cx="60325"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-187960</wp:posOffset>
            </wp:positionV>
            <wp:extent cx="60325"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-187960</wp:posOffset>
            </wp:positionV>
            <wp:extent cx="60325"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18"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For all of our securities for which the amortized cost basis was greater than the fair value at December 31, 2023 and 2022, the Company has concluded that there is no plan to sell the security nor is it more likely than not that the Company would be required to sell the security before its anticipated recovery. In making the determination as to whether the unrealized loss is other-than-temporary, the Company considered the length of time and extent the investment has been in an unrealized loss position, the financial condition and near-term prospects of the issuers, the issuers’ credit rating and the time to maturity.</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Contractual Maturities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contractual maturities of short-term and long-term investments held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80" w:type="dxa"/>
            <w:vAlign w:val="bottom"/>
          </w:tcPr>
          <w:p>
            <w:pPr>
              <w:spacing w:after="0"/>
              <w:rPr>
                <w:sz w:val="16"/>
                <w:szCs w:val="16"/>
                <w:color w:val="auto"/>
              </w:rPr>
            </w:pPr>
          </w:p>
        </w:tc>
        <w:tc>
          <w:tcPr>
            <w:tcW w:w="37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160" w:type="dxa"/>
            <w:vAlign w:val="bottom"/>
            <w:gridSpan w:val="4"/>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20" w:type="dxa"/>
            <w:vAlign w:val="bottom"/>
            <w:gridSpan w:val="5"/>
          </w:tcPr>
          <w:p>
            <w:pPr>
              <w:ind w:left="42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560" w:type="dxa"/>
            <w:vAlign w:val="bottom"/>
          </w:tcPr>
          <w:p>
            <w:pPr>
              <w:spacing w:after="0"/>
              <w:rPr>
                <w:sz w:val="16"/>
                <w:szCs w:val="16"/>
                <w:color w:val="auto"/>
              </w:rPr>
            </w:pPr>
          </w:p>
        </w:tc>
      </w:tr>
      <w:tr>
        <w:trPr>
          <w:trHeight w:val="131"/>
        </w:trPr>
        <w:tc>
          <w:tcPr>
            <w:tcW w:w="580" w:type="dxa"/>
            <w:vAlign w:val="bottom"/>
          </w:tcPr>
          <w:p>
            <w:pPr>
              <w:spacing w:after="0"/>
              <w:rPr>
                <w:sz w:val="11"/>
                <w:szCs w:val="11"/>
                <w:color w:val="auto"/>
              </w:rPr>
            </w:pPr>
          </w:p>
        </w:tc>
        <w:tc>
          <w:tcPr>
            <w:tcW w:w="374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jc w:val="right"/>
              <w:ind w:right="119"/>
              <w:spacing w:after="0" w:line="131" w:lineRule="exact"/>
              <w:rPr>
                <w:sz w:val="20"/>
                <w:szCs w:val="20"/>
                <w:color w:val="auto"/>
              </w:rPr>
            </w:pPr>
            <w:r>
              <w:rPr>
                <w:rFonts w:ascii="Times New Roman" w:cs="Times New Roman" w:eastAsia="Times New Roman" w:hAnsi="Times New Roman"/>
                <w:sz w:val="14"/>
                <w:szCs w:val="14"/>
                <w:b w:val="1"/>
                <w:bCs w:val="1"/>
                <w:color w:val="auto"/>
              </w:rPr>
              <w:t>Amortized</w:t>
            </w:r>
          </w:p>
        </w:tc>
        <w:tc>
          <w:tcPr>
            <w:tcW w:w="20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jc w:val="right"/>
              <w:ind w:right="139"/>
              <w:spacing w:after="0" w:line="131" w:lineRule="exact"/>
              <w:rPr>
                <w:sz w:val="20"/>
                <w:szCs w:val="20"/>
                <w:color w:val="auto"/>
              </w:rPr>
            </w:pPr>
            <w:r>
              <w:rPr>
                <w:rFonts w:ascii="Times New Roman" w:cs="Times New Roman" w:eastAsia="Times New Roman" w:hAnsi="Times New Roman"/>
                <w:sz w:val="14"/>
                <w:szCs w:val="14"/>
                <w:b w:val="1"/>
                <w:bCs w:val="1"/>
                <w:color w:val="auto"/>
              </w:rPr>
              <w:t>Aggregate</w:t>
            </w:r>
          </w:p>
        </w:tc>
        <w:tc>
          <w:tcPr>
            <w:tcW w:w="2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jc w:val="right"/>
              <w:ind w:right="99"/>
              <w:spacing w:after="0" w:line="131" w:lineRule="exact"/>
              <w:rPr>
                <w:sz w:val="20"/>
                <w:szCs w:val="20"/>
                <w:color w:val="auto"/>
              </w:rPr>
            </w:pPr>
            <w:r>
              <w:rPr>
                <w:rFonts w:ascii="Times New Roman" w:cs="Times New Roman" w:eastAsia="Times New Roman" w:hAnsi="Times New Roman"/>
                <w:sz w:val="14"/>
                <w:szCs w:val="14"/>
                <w:b w:val="1"/>
                <w:bCs w:val="1"/>
                <w:color w:val="auto"/>
              </w:rPr>
              <w:t>Amortized</w:t>
            </w:r>
          </w:p>
        </w:tc>
        <w:tc>
          <w:tcPr>
            <w:tcW w:w="20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jc w:val="right"/>
              <w:ind w:right="117"/>
              <w:spacing w:after="0" w:line="131" w:lineRule="exact"/>
              <w:rPr>
                <w:sz w:val="20"/>
                <w:szCs w:val="20"/>
                <w:color w:val="auto"/>
              </w:rPr>
            </w:pPr>
            <w:r>
              <w:rPr>
                <w:rFonts w:ascii="Times New Roman" w:cs="Times New Roman" w:eastAsia="Times New Roman" w:hAnsi="Times New Roman"/>
                <w:sz w:val="14"/>
                <w:szCs w:val="14"/>
                <w:b w:val="1"/>
                <w:bCs w:val="1"/>
                <w:color w:val="auto"/>
              </w:rPr>
              <w:t>Aggregate</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r>
      <w:tr>
        <w:trPr>
          <w:trHeight w:val="187"/>
        </w:trPr>
        <w:tc>
          <w:tcPr>
            <w:tcW w:w="580" w:type="dxa"/>
            <w:vAlign w:val="bottom"/>
          </w:tcPr>
          <w:p>
            <w:pPr>
              <w:spacing w:after="0"/>
              <w:rPr>
                <w:sz w:val="16"/>
                <w:szCs w:val="16"/>
                <w:color w:val="auto"/>
              </w:rPr>
            </w:pPr>
          </w:p>
        </w:tc>
        <w:tc>
          <w:tcPr>
            <w:tcW w:w="37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Cost Basis</w:t>
            </w:r>
          </w:p>
        </w:tc>
        <w:tc>
          <w:tcPr>
            <w:tcW w:w="2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Cost Basis</w:t>
            </w:r>
          </w:p>
        </w:tc>
        <w:tc>
          <w:tcPr>
            <w:tcW w:w="2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r>
      <w:tr>
        <w:trPr>
          <w:trHeight w:val="169"/>
        </w:trPr>
        <w:tc>
          <w:tcPr>
            <w:tcW w:w="58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 in</w:t>
            </w:r>
          </w:p>
        </w:tc>
        <w:tc>
          <w:tcPr>
            <w:tcW w:w="1220" w:type="dxa"/>
            <w:vAlign w:val="bottom"/>
            <w:gridSpan w:val="3"/>
          </w:tcPr>
          <w:p>
            <w:pPr>
              <w:jc w:val="center"/>
              <w:ind w:right="619"/>
              <w:spacing w:after="0"/>
              <w:rPr>
                <w:sz w:val="20"/>
                <w:szCs w:val="20"/>
                <w:color w:val="auto"/>
              </w:rPr>
            </w:pPr>
            <w:r>
              <w:rPr>
                <w:rFonts w:ascii="Times New Roman" w:cs="Times New Roman" w:eastAsia="Times New Roman" w:hAnsi="Times New Roman"/>
                <w:sz w:val="14"/>
                <w:szCs w:val="14"/>
                <w:b w:val="1"/>
                <w:bCs w:val="1"/>
                <w:color w:val="auto"/>
                <w:w w:val="79"/>
              </w:rPr>
              <w:t>thousands)</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243"/>
        </w:trPr>
        <w:tc>
          <w:tcPr>
            <w:tcW w:w="580" w:type="dxa"/>
            <w:vAlign w:val="bottom"/>
          </w:tcPr>
          <w:p>
            <w:pPr>
              <w:spacing w:after="0"/>
              <w:rPr>
                <w:sz w:val="21"/>
                <w:szCs w:val="21"/>
                <w:color w:val="auto"/>
              </w:rPr>
            </w:pPr>
          </w:p>
        </w:tc>
        <w:tc>
          <w:tcPr>
            <w:tcW w:w="3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Due within one year</w:t>
            </w:r>
          </w:p>
        </w:tc>
        <w:tc>
          <w:tcPr>
            <w:tcW w:w="16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1,000,447</w:t>
            </w:r>
          </w:p>
        </w:tc>
        <w:tc>
          <w:tcPr>
            <w:tcW w:w="3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1,000,245</w:t>
            </w:r>
          </w:p>
        </w:tc>
        <w:tc>
          <w:tcPr>
            <w:tcW w:w="340" w:type="dxa"/>
            <w:vAlign w:val="bottom"/>
            <w:gridSpan w:val="2"/>
            <w:shd w:val="clear" w:color="auto" w:fill="CFF0FC"/>
          </w:tcPr>
          <w:p>
            <w:pPr>
              <w:jc w:val="center"/>
              <w:ind w:left="96"/>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1,089,250</w:t>
            </w:r>
          </w:p>
        </w:tc>
        <w:tc>
          <w:tcPr>
            <w:tcW w:w="3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1,081,662</w:t>
            </w:r>
          </w:p>
        </w:tc>
        <w:tc>
          <w:tcPr>
            <w:tcW w:w="100" w:type="dxa"/>
            <w:vAlign w:val="bottom"/>
            <w:shd w:val="clear" w:color="auto" w:fill="CFF0FC"/>
          </w:tcPr>
          <w:p>
            <w:pPr>
              <w:spacing w:after="0"/>
              <w:rPr>
                <w:sz w:val="21"/>
                <w:szCs w:val="21"/>
                <w:color w:val="auto"/>
              </w:rPr>
            </w:pPr>
          </w:p>
        </w:tc>
        <w:tc>
          <w:tcPr>
            <w:tcW w:w="560" w:type="dxa"/>
            <w:vAlign w:val="bottom"/>
          </w:tcPr>
          <w:p>
            <w:pPr>
              <w:spacing w:after="0"/>
              <w:rPr>
                <w:sz w:val="21"/>
                <w:szCs w:val="21"/>
                <w:color w:val="auto"/>
              </w:rPr>
            </w:pPr>
          </w:p>
        </w:tc>
      </w:tr>
      <w:tr>
        <w:trPr>
          <w:trHeight w:val="243"/>
        </w:trPr>
        <w:tc>
          <w:tcPr>
            <w:tcW w:w="580" w:type="dxa"/>
            <w:vAlign w:val="bottom"/>
          </w:tcPr>
          <w:p>
            <w:pPr>
              <w:spacing w:after="0"/>
              <w:rPr>
                <w:sz w:val="21"/>
                <w:szCs w:val="21"/>
                <w:color w:val="auto"/>
              </w:rPr>
            </w:pPr>
          </w:p>
        </w:tc>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Due after 1 year and within 2 years</w:t>
            </w:r>
          </w:p>
        </w:tc>
        <w:tc>
          <w:tcPr>
            <w:tcW w:w="148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324,599</w:t>
            </w:r>
          </w:p>
        </w:tc>
        <w:tc>
          <w:tcPr>
            <w:tcW w:w="2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325,703</w:t>
            </w:r>
          </w:p>
        </w:tc>
        <w:tc>
          <w:tcPr>
            <w:tcW w:w="2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114,997</w:t>
            </w:r>
          </w:p>
        </w:tc>
        <w:tc>
          <w:tcPr>
            <w:tcW w:w="2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112,791</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r>
      <w:tr>
        <w:trPr>
          <w:trHeight w:val="276"/>
        </w:trPr>
        <w:tc>
          <w:tcPr>
            <w:tcW w:w="580" w:type="dxa"/>
            <w:vAlign w:val="bottom"/>
          </w:tcPr>
          <w:p>
            <w:pPr>
              <w:spacing w:after="0"/>
              <w:rPr>
                <w:sz w:val="24"/>
                <w:szCs w:val="24"/>
                <w:color w:val="auto"/>
              </w:rPr>
            </w:pPr>
          </w:p>
        </w:tc>
        <w:tc>
          <w:tcPr>
            <w:tcW w:w="37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6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1,325,046</w:t>
            </w:r>
          </w:p>
        </w:tc>
        <w:tc>
          <w:tcPr>
            <w:tcW w:w="3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1,325,948</w:t>
            </w:r>
          </w:p>
        </w:tc>
        <w:tc>
          <w:tcPr>
            <w:tcW w:w="340" w:type="dxa"/>
            <w:vAlign w:val="bottom"/>
            <w:gridSpan w:val="2"/>
            <w:shd w:val="clear" w:color="auto" w:fill="CFF0FC"/>
          </w:tcPr>
          <w:p>
            <w:pPr>
              <w:jc w:val="center"/>
              <w:ind w:left="96"/>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1,204,247</w:t>
            </w:r>
          </w:p>
        </w:tc>
        <w:tc>
          <w:tcPr>
            <w:tcW w:w="3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1,194,453</w:t>
            </w:r>
          </w:p>
        </w:tc>
        <w:tc>
          <w:tcPr>
            <w:tcW w:w="100" w:type="dxa"/>
            <w:vAlign w:val="bottom"/>
            <w:shd w:val="clear" w:color="auto" w:fill="CFF0FC"/>
          </w:tcPr>
          <w:p>
            <w:pPr>
              <w:spacing w:after="0"/>
              <w:rPr>
                <w:sz w:val="24"/>
                <w:szCs w:val="24"/>
                <w:color w:val="auto"/>
              </w:rPr>
            </w:pPr>
          </w:p>
        </w:tc>
        <w:tc>
          <w:tcPr>
            <w:tcW w:w="560" w:type="dxa"/>
            <w:vAlign w:val="bottom"/>
          </w:tcPr>
          <w:p>
            <w:pPr>
              <w:spacing w:after="0"/>
              <w:rPr>
                <w:sz w:val="24"/>
                <w:szCs w:val="24"/>
                <w:color w:val="auto"/>
              </w:rPr>
            </w:pPr>
          </w:p>
        </w:tc>
      </w:tr>
      <w:tr>
        <w:trPr>
          <w:trHeight w:val="723"/>
        </w:trPr>
        <w:tc>
          <w:tcPr>
            <w:tcW w:w="580" w:type="dxa"/>
            <w:vAlign w:val="bottom"/>
          </w:tcPr>
          <w:p>
            <w:pPr>
              <w:spacing w:after="0"/>
              <w:rPr>
                <w:sz w:val="24"/>
                <w:szCs w:val="24"/>
                <w:color w:val="auto"/>
              </w:rPr>
            </w:pPr>
          </w:p>
        </w:tc>
        <w:tc>
          <w:tcPr>
            <w:tcW w:w="3740" w:type="dxa"/>
            <w:vAlign w:val="bottom"/>
            <w:tcBorders>
              <w:top w:val="single" w:sz="8" w:color="CFF0FC"/>
            </w:tcBorders>
          </w:tcPr>
          <w:p>
            <w:pPr>
              <w:spacing w:after="0"/>
              <w:rPr>
                <w:sz w:val="24"/>
                <w:szCs w:val="24"/>
                <w:color w:val="auto"/>
              </w:rPr>
            </w:pPr>
          </w:p>
        </w:tc>
        <w:tc>
          <w:tcPr>
            <w:tcW w:w="148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6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200" w:type="dxa"/>
            <w:vAlign w:val="bottom"/>
            <w:tcBorders>
              <w:top w:val="single" w:sz="8" w:color="CFF0FC"/>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200" w:type="dxa"/>
            <w:vAlign w:val="bottom"/>
            <w:tcBorders>
              <w:top w:val="single" w:sz="8" w:color="CFF0FC"/>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200" w:type="dxa"/>
            <w:vAlign w:val="bottom"/>
            <w:tcBorders>
              <w:top w:val="single" w:sz="8" w:color="CFF0FC"/>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560" w:type="dxa"/>
            <w:vAlign w:val="bottom"/>
          </w:tcPr>
          <w:p>
            <w:pPr>
              <w:spacing w:after="0"/>
              <w:rPr>
                <w:sz w:val="24"/>
                <w:szCs w:val="24"/>
                <w:color w:val="auto"/>
              </w:rPr>
            </w:pPr>
          </w:p>
        </w:tc>
      </w:tr>
      <w:tr>
        <w:trPr>
          <w:trHeight w:val="763"/>
        </w:trPr>
        <w:tc>
          <w:tcPr>
            <w:tcW w:w="580" w:type="dxa"/>
            <w:vAlign w:val="bottom"/>
            <w:tcBorders>
              <w:bottom w:val="single" w:sz="8" w:color="9A9A9A"/>
            </w:tcBorders>
          </w:tcPr>
          <w:p>
            <w:pPr>
              <w:spacing w:after="0"/>
              <w:rPr>
                <w:sz w:val="24"/>
                <w:szCs w:val="24"/>
                <w:color w:val="auto"/>
              </w:rPr>
            </w:pPr>
          </w:p>
        </w:tc>
        <w:tc>
          <w:tcPr>
            <w:tcW w:w="3740" w:type="dxa"/>
            <w:vAlign w:val="bottom"/>
            <w:tcBorders>
              <w:bottom w:val="single" w:sz="8" w:color="9A9A9A"/>
            </w:tcBorders>
          </w:tcPr>
          <w:p>
            <w:pPr>
              <w:spacing w:after="0"/>
              <w:rPr>
                <w:sz w:val="24"/>
                <w:szCs w:val="24"/>
                <w:color w:val="auto"/>
              </w:rPr>
            </w:pPr>
          </w:p>
        </w:tc>
        <w:tc>
          <w:tcPr>
            <w:tcW w:w="14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4351020</wp:posOffset>
            </wp:positionH>
            <wp:positionV relativeFrom="paragraph">
              <wp:posOffset>-993775</wp:posOffset>
            </wp:positionV>
            <wp:extent cx="68580" cy="889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-976630</wp:posOffset>
            </wp:positionV>
            <wp:extent cx="68580" cy="889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-993775</wp:posOffset>
            </wp:positionV>
            <wp:extent cx="68580" cy="889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-976630</wp:posOffset>
            </wp:positionV>
            <wp:extent cx="68580" cy="889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-993775</wp:posOffset>
            </wp:positionV>
            <wp:extent cx="60325" cy="889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-976630</wp:posOffset>
            </wp:positionV>
            <wp:extent cx="60325" cy="889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-993775</wp:posOffset>
            </wp:positionV>
            <wp:extent cx="60325" cy="889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-976630</wp:posOffset>
            </wp:positionV>
            <wp:extent cx="60325" cy="889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b w:val="1"/>
          <w:bCs w:val="1"/>
          <w:color w:val="auto"/>
        </w:rPr>
        <w:t>6. Property and Equipment</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Property and equipment consists of the following:</w:t>
      </w:r>
    </w:p>
    <w:p>
      <w:pPr>
        <w:spacing w:after="0" w:line="27" w:lineRule="exact"/>
        <w:rPr>
          <w:sz w:val="20"/>
          <w:szCs w:val="20"/>
          <w:color w:val="auto"/>
        </w:rPr>
      </w:pPr>
    </w:p>
    <w:tbl>
      <w:tblPr>
        <w:tblLayout w:type="fixed"/>
        <w:tblInd w:w="1700" w:type="dxa"/>
        <w:tblCellMar>
          <w:top w:w="0" w:type="dxa"/>
          <w:left w:w="0" w:type="dxa"/>
          <w:bottom w:w="0" w:type="dxa"/>
          <w:right w:w="0" w:type="dxa"/>
        </w:tblCellMar>
      </w:tblPr>
      <w:tr>
        <w:trPr>
          <w:trHeight w:val="223"/>
        </w:trPr>
        <w:tc>
          <w:tcPr>
            <w:tcW w:w="54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70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23"/>
        </w:trPr>
        <w:tc>
          <w:tcPr>
            <w:tcW w:w="54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6"/>
                <w:szCs w:val="16"/>
                <w:b w:val="1"/>
                <w:bCs w:val="1"/>
                <w:color w:val="auto"/>
              </w:rPr>
              <w:t>2023</w:t>
            </w:r>
          </w:p>
        </w:tc>
        <w:tc>
          <w:tcPr>
            <w:tcW w:w="2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6"/>
                <w:szCs w:val="16"/>
                <w:b w:val="1"/>
                <w:bCs w:val="1"/>
                <w:color w:val="auto"/>
                <w:w w:val="93"/>
              </w:rPr>
              <w:t>2022</w:t>
            </w:r>
          </w:p>
        </w:tc>
        <w:tc>
          <w:tcPr>
            <w:tcW w:w="80" w:type="dxa"/>
            <w:vAlign w:val="bottom"/>
          </w:tcPr>
          <w:p>
            <w:pPr>
              <w:spacing w:after="0"/>
              <w:rPr>
                <w:sz w:val="19"/>
                <w:szCs w:val="19"/>
                <w:color w:val="auto"/>
              </w:rPr>
            </w:pPr>
          </w:p>
        </w:tc>
      </w:tr>
      <w:tr>
        <w:trPr>
          <w:trHeight w:val="241"/>
        </w:trPr>
        <w:tc>
          <w:tcPr>
            <w:tcW w:w="54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(in</w:t>
            </w:r>
          </w:p>
        </w:tc>
        <w:tc>
          <w:tcPr>
            <w:tcW w:w="1280" w:type="dxa"/>
            <w:vAlign w:val="bottom"/>
            <w:gridSpan w:val="3"/>
          </w:tcPr>
          <w:p>
            <w:pPr>
              <w:jc w:val="right"/>
              <w:ind w:right="551"/>
              <w:spacing w:after="0"/>
              <w:rPr>
                <w:sz w:val="20"/>
                <w:szCs w:val="20"/>
                <w:color w:val="auto"/>
              </w:rPr>
            </w:pPr>
            <w:r>
              <w:rPr>
                <w:rFonts w:ascii="Times New Roman" w:cs="Times New Roman" w:eastAsia="Times New Roman" w:hAnsi="Times New Roman"/>
                <w:sz w:val="18"/>
                <w:szCs w:val="18"/>
                <w:b w:val="1"/>
                <w:bCs w:val="1"/>
                <w:color w:val="auto"/>
                <w:w w:val="73"/>
              </w:rPr>
              <w:t>thousands)</w:t>
            </w:r>
          </w:p>
        </w:tc>
        <w:tc>
          <w:tcPr>
            <w:tcW w:w="80" w:type="dxa"/>
            <w:vAlign w:val="bottom"/>
          </w:tcPr>
          <w:p>
            <w:pPr>
              <w:spacing w:after="0"/>
              <w:rPr>
                <w:sz w:val="20"/>
                <w:szCs w:val="20"/>
                <w:color w:val="auto"/>
              </w:rPr>
            </w:pPr>
          </w:p>
        </w:tc>
      </w:tr>
      <w:tr>
        <w:trPr>
          <w:trHeight w:val="245"/>
        </w:trPr>
        <w:tc>
          <w:tcPr>
            <w:tcW w:w="5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Computer equipment and purchased software</w:t>
            </w:r>
          </w:p>
        </w:tc>
        <w:tc>
          <w:tcPr>
            <w:tcW w:w="2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16,395</w:t>
            </w:r>
          </w:p>
        </w:tc>
        <w:tc>
          <w:tcPr>
            <w:tcW w:w="200" w:type="dxa"/>
            <w:vAlign w:val="bottom"/>
            <w:shd w:val="clear" w:color="auto" w:fill="CFF0FC"/>
          </w:tcPr>
          <w:p>
            <w:pPr>
              <w:spacing w:after="0"/>
              <w:rPr>
                <w:sz w:val="21"/>
                <w:szCs w:val="21"/>
                <w:color w:val="auto"/>
              </w:rPr>
            </w:pPr>
          </w:p>
        </w:tc>
        <w:tc>
          <w:tcPr>
            <w:tcW w:w="38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17,710</w:t>
            </w:r>
          </w:p>
        </w:tc>
        <w:tc>
          <w:tcPr>
            <w:tcW w:w="80" w:type="dxa"/>
            <w:vAlign w:val="bottom"/>
            <w:shd w:val="clear" w:color="auto" w:fill="CFF0FC"/>
          </w:tcPr>
          <w:p>
            <w:pPr>
              <w:spacing w:after="0"/>
              <w:rPr>
                <w:sz w:val="21"/>
                <w:szCs w:val="21"/>
                <w:color w:val="auto"/>
              </w:rPr>
            </w:pPr>
          </w:p>
        </w:tc>
      </w:tr>
      <w:tr>
        <w:trPr>
          <w:trHeight w:val="239"/>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Employee related computer equipment</w:t>
            </w:r>
          </w:p>
        </w:tc>
        <w:tc>
          <w:tcPr>
            <w:tcW w:w="2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50,018</w:t>
            </w: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46,399</w:t>
            </w:r>
          </w:p>
        </w:tc>
        <w:tc>
          <w:tcPr>
            <w:tcW w:w="80" w:type="dxa"/>
            <w:vAlign w:val="bottom"/>
          </w:tcPr>
          <w:p>
            <w:pPr>
              <w:spacing w:after="0"/>
              <w:rPr>
                <w:sz w:val="20"/>
                <w:szCs w:val="20"/>
                <w:color w:val="auto"/>
              </w:rPr>
            </w:pPr>
          </w:p>
        </w:tc>
      </w:tr>
      <w:tr>
        <w:trPr>
          <w:trHeight w:val="247"/>
        </w:trPr>
        <w:tc>
          <w:tcPr>
            <w:tcW w:w="5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26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20,666</w:t>
            </w:r>
          </w:p>
        </w:tc>
        <w:tc>
          <w:tcPr>
            <w:tcW w:w="20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21,232</w:t>
            </w:r>
          </w:p>
        </w:tc>
        <w:tc>
          <w:tcPr>
            <w:tcW w:w="80" w:type="dxa"/>
            <w:vAlign w:val="bottom"/>
            <w:shd w:val="clear" w:color="auto" w:fill="CFF0FC"/>
          </w:tcPr>
          <w:p>
            <w:pPr>
              <w:spacing w:after="0"/>
              <w:rPr>
                <w:sz w:val="21"/>
                <w:szCs w:val="21"/>
                <w:color w:val="auto"/>
              </w:rPr>
            </w:pPr>
          </w:p>
        </w:tc>
      </w:tr>
      <w:tr>
        <w:trPr>
          <w:trHeight w:val="239"/>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2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112,714</w:t>
            </w: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98,427</w:t>
            </w:r>
          </w:p>
        </w:tc>
        <w:tc>
          <w:tcPr>
            <w:tcW w:w="80" w:type="dxa"/>
            <w:vAlign w:val="bottom"/>
          </w:tcPr>
          <w:p>
            <w:pPr>
              <w:spacing w:after="0"/>
              <w:rPr>
                <w:sz w:val="20"/>
                <w:szCs w:val="20"/>
                <w:color w:val="auto"/>
              </w:rPr>
            </w:pPr>
          </w:p>
        </w:tc>
      </w:tr>
      <w:tr>
        <w:trPr>
          <w:trHeight w:val="247"/>
        </w:trPr>
        <w:tc>
          <w:tcPr>
            <w:tcW w:w="5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Internal-use software</w:t>
            </w:r>
          </w:p>
        </w:tc>
        <w:tc>
          <w:tcPr>
            <w:tcW w:w="26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48,894</w:t>
            </w:r>
          </w:p>
        </w:tc>
        <w:tc>
          <w:tcPr>
            <w:tcW w:w="20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32,205</w:t>
            </w:r>
          </w:p>
        </w:tc>
        <w:tc>
          <w:tcPr>
            <w:tcW w:w="80" w:type="dxa"/>
            <w:vAlign w:val="bottom"/>
            <w:shd w:val="clear" w:color="auto" w:fill="CFF0FC"/>
          </w:tcPr>
          <w:p>
            <w:pPr>
              <w:spacing w:after="0"/>
              <w:rPr>
                <w:sz w:val="21"/>
                <w:szCs w:val="21"/>
                <w:color w:val="auto"/>
              </w:rPr>
            </w:pPr>
          </w:p>
        </w:tc>
      </w:tr>
      <w:tr>
        <w:trPr>
          <w:trHeight w:val="243"/>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Construction in progress</w:t>
            </w:r>
          </w:p>
        </w:tc>
        <w:tc>
          <w:tcPr>
            <w:tcW w:w="260" w:type="dxa"/>
            <w:vAlign w:val="bottom"/>
          </w:tcPr>
          <w:p>
            <w:pPr>
              <w:spacing w:after="0"/>
              <w:rPr>
                <w:sz w:val="21"/>
                <w:szCs w:val="21"/>
                <w:color w:val="auto"/>
              </w:rPr>
            </w:pPr>
          </w:p>
        </w:tc>
        <w:tc>
          <w:tcPr>
            <w:tcW w:w="10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1,699</w:t>
            </w:r>
          </w:p>
        </w:tc>
        <w:tc>
          <w:tcPr>
            <w:tcW w:w="80" w:type="dxa"/>
            <w:vAlign w:val="bottom"/>
          </w:tcPr>
          <w:p>
            <w:pPr>
              <w:spacing w:after="0"/>
              <w:rPr>
                <w:sz w:val="21"/>
                <w:szCs w:val="21"/>
                <w:color w:val="auto"/>
              </w:rPr>
            </w:pPr>
          </w:p>
        </w:tc>
      </w:tr>
      <w:tr>
        <w:trPr>
          <w:trHeight w:val="236"/>
        </w:trPr>
        <w:tc>
          <w:tcPr>
            <w:tcW w:w="54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Total property and equipment</w:t>
            </w:r>
          </w:p>
        </w:tc>
        <w:tc>
          <w:tcPr>
            <w:tcW w:w="260" w:type="dxa"/>
            <w:vAlign w:val="bottom"/>
            <w:tcBorders>
              <w:top w:val="single" w:sz="8" w:color="auto"/>
            </w:tcBorders>
            <w:shd w:val="clear" w:color="auto" w:fill="CFF0FC"/>
          </w:tcPr>
          <w:p>
            <w:pPr>
              <w:spacing w:after="0"/>
              <w:rPr>
                <w:sz w:val="20"/>
                <w:szCs w:val="20"/>
                <w:color w:val="auto"/>
              </w:rPr>
            </w:pPr>
          </w:p>
        </w:tc>
        <w:tc>
          <w:tcPr>
            <w:tcW w:w="8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248,687</w:t>
            </w:r>
          </w:p>
        </w:tc>
        <w:tc>
          <w:tcPr>
            <w:tcW w:w="200" w:type="dxa"/>
            <w:vAlign w:val="bottom"/>
            <w:shd w:val="clear" w:color="auto" w:fill="CFF0FC"/>
          </w:tcPr>
          <w:p>
            <w:pPr>
              <w:spacing w:after="0"/>
              <w:rPr>
                <w:sz w:val="20"/>
                <w:szCs w:val="20"/>
                <w:color w:val="auto"/>
              </w:rPr>
            </w:pPr>
          </w:p>
        </w:tc>
        <w:tc>
          <w:tcPr>
            <w:tcW w:w="380" w:type="dxa"/>
            <w:vAlign w:val="bottom"/>
            <w:tcBorders>
              <w:top w:val="single" w:sz="8" w:color="auto"/>
            </w:tcBorders>
            <w:shd w:val="clear" w:color="auto" w:fill="CFF0FC"/>
          </w:tcPr>
          <w:p>
            <w:pPr>
              <w:spacing w:after="0"/>
              <w:rPr>
                <w:sz w:val="20"/>
                <w:szCs w:val="20"/>
                <w:color w:val="auto"/>
              </w:rPr>
            </w:pPr>
          </w:p>
        </w:tc>
        <w:tc>
          <w:tcPr>
            <w:tcW w:w="7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217,672</w:t>
            </w:r>
          </w:p>
        </w:tc>
        <w:tc>
          <w:tcPr>
            <w:tcW w:w="80" w:type="dxa"/>
            <w:vAlign w:val="bottom"/>
            <w:shd w:val="clear" w:color="auto" w:fill="CFF0FC"/>
          </w:tcPr>
          <w:p>
            <w:pPr>
              <w:spacing w:after="0"/>
              <w:rPr>
                <w:sz w:val="20"/>
                <w:szCs w:val="20"/>
                <w:color w:val="auto"/>
              </w:rPr>
            </w:pPr>
          </w:p>
        </w:tc>
      </w:tr>
      <w:tr>
        <w:trPr>
          <w:trHeight w:val="243"/>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260" w:type="dxa"/>
            <w:vAlign w:val="bottom"/>
          </w:tcPr>
          <w:p>
            <w:pPr>
              <w:spacing w:after="0"/>
              <w:rPr>
                <w:sz w:val="21"/>
                <w:szCs w:val="21"/>
                <w:color w:val="auto"/>
              </w:rPr>
            </w:pPr>
          </w:p>
        </w:tc>
        <w:tc>
          <w:tcPr>
            <w:tcW w:w="10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(145,356 )</w:t>
            </w:r>
          </w:p>
        </w:tc>
        <w:tc>
          <w:tcPr>
            <w:tcW w:w="380" w:type="dxa"/>
            <w:vAlign w:val="bottom"/>
          </w:tcPr>
          <w:p>
            <w:pPr>
              <w:spacing w:after="0"/>
              <w:rPr>
                <w:sz w:val="21"/>
                <w:szCs w:val="21"/>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(112,445 )</w:t>
            </w:r>
          </w:p>
        </w:tc>
      </w:tr>
      <w:tr>
        <w:trPr>
          <w:trHeight w:val="277"/>
        </w:trPr>
        <w:tc>
          <w:tcPr>
            <w:tcW w:w="540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6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103,331</w:t>
            </w:r>
          </w:p>
        </w:tc>
        <w:tc>
          <w:tcPr>
            <w:tcW w:w="200" w:type="dxa"/>
            <w:vAlign w:val="bottom"/>
            <w:tcBorders>
              <w:bottom w:val="single" w:sz="8" w:color="CFF0FC"/>
            </w:tcBorders>
            <w:shd w:val="clear" w:color="auto" w:fill="CFF0FC"/>
          </w:tcPr>
          <w:p>
            <w:pPr>
              <w:spacing w:after="0"/>
              <w:rPr>
                <w:sz w:val="24"/>
                <w:szCs w:val="24"/>
                <w:color w:val="auto"/>
              </w:rPr>
            </w:pPr>
          </w:p>
        </w:tc>
        <w:tc>
          <w:tcPr>
            <w:tcW w:w="380" w:type="dxa"/>
            <w:vAlign w:val="bottom"/>
            <w:tcBorders>
              <w:top w:val="single" w:sz="8" w:color="auto"/>
              <w:bottom w:val="single" w:sz="8" w:color="auto"/>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105,227</w:t>
            </w:r>
          </w:p>
        </w:tc>
        <w:tc>
          <w:tcPr>
            <w:tcW w:w="8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5208270</wp:posOffset>
            </wp:positionH>
            <wp:positionV relativeFrom="paragraph">
              <wp:posOffset>-24765</wp:posOffset>
            </wp:positionV>
            <wp:extent cx="51435"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-7620</wp:posOffset>
            </wp:positionV>
            <wp:extent cx="51435"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-24765</wp:posOffset>
            </wp:positionV>
            <wp:extent cx="43180"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-7620</wp:posOffset>
            </wp:positionV>
            <wp:extent cx="43180"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20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Depreciation and amortization expense was $29.0 million in 2023, $27.8 million in 2022, and $23.9 million in 2021.</w:t>
      </w:r>
    </w:p>
    <w:p>
      <w:pPr>
        <w:spacing w:after="0" w:line="225"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As part of the Restructuring Plan (defined in Note 17), the Company disposed of $1.4 million of fixed assets, net, in the year ended December 31, 2023. The Company also recorded accelerated depreciation expense for fixed assets in connection with the lease abandonments as part of the Restructuring Plan. See Note 17 for more information.</w:t>
      </w:r>
    </w:p>
    <w:p>
      <w:pPr>
        <w:spacing w:after="0" w:line="176"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The Company had capitalized asset retirement costs of $4.7 million at December 31, 2023 and $5.1 million at December 31, 2022 within leasehold improvements and the related liability is within accrued expenses and other current liabilities and other long-term liabilities on the consolidated balance sheet. These costs represent future lease restoration obligations as required by Company’s leases.</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changes in the asset retirement obligation balance during the year ending December 31, 2023 and December 31, 2022 are as follows:</w:t>
      </w:r>
    </w:p>
    <w:p>
      <w:pPr>
        <w:spacing w:after="0" w:line="27" w:lineRule="exact"/>
        <w:rPr>
          <w:sz w:val="20"/>
          <w:szCs w:val="20"/>
          <w:color w:val="auto"/>
        </w:rPr>
      </w:pPr>
    </w:p>
    <w:tbl>
      <w:tblPr>
        <w:tblLayout w:type="fixed"/>
        <w:tblInd w:w="2260" w:type="dxa"/>
        <w:tblCellMar>
          <w:top w:w="0" w:type="dxa"/>
          <w:left w:w="0" w:type="dxa"/>
          <w:bottom w:w="0" w:type="dxa"/>
          <w:right w:w="0" w:type="dxa"/>
        </w:tblCellMar>
      </w:tblPr>
      <w:tr>
        <w:trPr>
          <w:trHeight w:val="175"/>
        </w:trPr>
        <w:tc>
          <w:tcPr>
            <w:tcW w:w="3900" w:type="dxa"/>
            <w:vAlign w:val="bottom"/>
          </w:tcPr>
          <w:p>
            <w:pPr>
              <w:spacing w:after="0"/>
              <w:rPr>
                <w:sz w:val="15"/>
                <w:szCs w:val="15"/>
                <w:color w:val="auto"/>
              </w:rPr>
            </w:pPr>
          </w:p>
        </w:tc>
        <w:tc>
          <w:tcPr>
            <w:tcW w:w="2320" w:type="dxa"/>
            <w:vAlign w:val="bottom"/>
            <w:tcBorders>
              <w:bottom w:val="single" w:sz="8" w:color="auto"/>
            </w:tcBorders>
            <w:gridSpan w:val="4"/>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46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169"/>
        </w:trPr>
        <w:tc>
          <w:tcPr>
            <w:tcW w:w="3900" w:type="dxa"/>
            <w:vAlign w:val="bottom"/>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46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4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69"/>
        </w:trPr>
        <w:tc>
          <w:tcPr>
            <w:tcW w:w="39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60" w:type="dxa"/>
            <w:vAlign w:val="bottom"/>
          </w:tcPr>
          <w:p>
            <w:pPr>
              <w:jc w:val="right"/>
              <w:ind w:right="73"/>
              <w:spacing w:after="0"/>
              <w:rPr>
                <w:sz w:val="20"/>
                <w:szCs w:val="20"/>
                <w:color w:val="auto"/>
              </w:rPr>
            </w:pPr>
            <w:r>
              <w:rPr>
                <w:rFonts w:ascii="Times New Roman" w:cs="Times New Roman" w:eastAsia="Times New Roman" w:hAnsi="Times New Roman"/>
                <w:sz w:val="14"/>
                <w:szCs w:val="14"/>
                <w:b w:val="1"/>
                <w:bCs w:val="1"/>
                <w:color w:val="auto"/>
              </w:rPr>
              <w:t>(in</w:t>
            </w:r>
          </w:p>
        </w:tc>
        <w:tc>
          <w:tcPr>
            <w:tcW w:w="1040" w:type="dxa"/>
            <w:vAlign w:val="bottom"/>
            <w:gridSpan w:val="2"/>
          </w:tcPr>
          <w:p>
            <w:pPr>
              <w:jc w:val="center"/>
              <w:ind w:right="416"/>
              <w:spacing w:after="0"/>
              <w:rPr>
                <w:sz w:val="20"/>
                <w:szCs w:val="20"/>
                <w:color w:val="auto"/>
              </w:rPr>
            </w:pPr>
            <w:r>
              <w:rPr>
                <w:rFonts w:ascii="Times New Roman" w:cs="Times New Roman" w:eastAsia="Times New Roman" w:hAnsi="Times New Roman"/>
                <w:sz w:val="14"/>
                <w:szCs w:val="14"/>
                <w:b w:val="1"/>
                <w:bCs w:val="1"/>
                <w:color w:val="auto"/>
                <w:w w:val="82"/>
              </w:rPr>
              <w:t>thousands)</w:t>
            </w:r>
          </w:p>
        </w:tc>
        <w:tc>
          <w:tcPr>
            <w:tcW w:w="46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43"/>
        </w:trPr>
        <w:tc>
          <w:tcPr>
            <w:tcW w:w="3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820" w:type="dxa"/>
            <w:vAlign w:val="bottom"/>
            <w:shd w:val="clear" w:color="auto" w:fill="CFF0FC"/>
          </w:tcPr>
          <w:p>
            <w:pPr>
              <w:jc w:val="right"/>
              <w:ind w:right="662"/>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5,994</w:t>
            </w:r>
          </w:p>
        </w:tc>
        <w:tc>
          <w:tcPr>
            <w:tcW w:w="220" w:type="dxa"/>
            <w:vAlign w:val="bottom"/>
            <w:shd w:val="clear" w:color="auto" w:fill="CFF0FC"/>
          </w:tcPr>
          <w:p>
            <w:pPr>
              <w:spacing w:after="0"/>
              <w:rPr>
                <w:sz w:val="21"/>
                <w:szCs w:val="21"/>
                <w:color w:val="auto"/>
              </w:rPr>
            </w:pPr>
          </w:p>
        </w:tc>
        <w:tc>
          <w:tcPr>
            <w:tcW w:w="820" w:type="dxa"/>
            <w:vAlign w:val="bottom"/>
            <w:shd w:val="clear" w:color="auto" w:fill="CFF0FC"/>
          </w:tcPr>
          <w:p>
            <w:pPr>
              <w:jc w:val="center"/>
              <w:ind w:right="636"/>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4,900</w:t>
            </w:r>
          </w:p>
        </w:tc>
        <w:tc>
          <w:tcPr>
            <w:tcW w:w="60" w:type="dxa"/>
            <w:vAlign w:val="bottom"/>
            <w:shd w:val="clear" w:color="auto" w:fill="CFF0FC"/>
          </w:tcPr>
          <w:p>
            <w:pPr>
              <w:spacing w:after="0"/>
              <w:rPr>
                <w:sz w:val="21"/>
                <w:szCs w:val="21"/>
                <w:color w:val="auto"/>
              </w:rPr>
            </w:pPr>
          </w:p>
        </w:tc>
      </w:tr>
      <w:tr>
        <w:trPr>
          <w:trHeight w:val="239"/>
        </w:trPr>
        <w:tc>
          <w:tcPr>
            <w:tcW w:w="3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Additions</w:t>
            </w:r>
          </w:p>
        </w:tc>
        <w:tc>
          <w:tcPr>
            <w:tcW w:w="820" w:type="dxa"/>
            <w:vAlign w:val="bottom"/>
          </w:tcPr>
          <w:p>
            <w:pPr>
              <w:spacing w:after="0"/>
              <w:rPr>
                <w:sz w:val="20"/>
                <w:szCs w:val="20"/>
                <w:color w:val="auto"/>
              </w:rPr>
            </w:pPr>
          </w:p>
        </w:tc>
        <w:tc>
          <w:tcPr>
            <w:tcW w:w="680" w:type="dxa"/>
            <w:vAlign w:val="bottom"/>
            <w:gridSpan w:val="2"/>
          </w:tcPr>
          <w:p>
            <w:pPr>
              <w:jc w:val="right"/>
              <w:ind w:right="168"/>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spacing w:after="0"/>
              <w:rPr>
                <w:sz w:val="20"/>
                <w:szCs w:val="20"/>
                <w:color w:val="auto"/>
              </w:rPr>
            </w:pPr>
          </w:p>
        </w:tc>
        <w:tc>
          <w:tcPr>
            <w:tcW w:w="5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39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Accretion</w:t>
            </w:r>
          </w:p>
        </w:tc>
        <w:tc>
          <w:tcPr>
            <w:tcW w:w="820" w:type="dxa"/>
            <w:vAlign w:val="bottom"/>
            <w:shd w:val="clear" w:color="auto" w:fill="CFF0FC"/>
          </w:tcPr>
          <w:p>
            <w:pPr>
              <w:spacing w:after="0"/>
              <w:rPr>
                <w:sz w:val="21"/>
                <w:szCs w:val="21"/>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494</w:t>
            </w:r>
          </w:p>
        </w:tc>
        <w:tc>
          <w:tcPr>
            <w:tcW w:w="22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60" w:type="dxa"/>
            <w:vAlign w:val="bottom"/>
            <w:shd w:val="clear" w:color="auto" w:fill="CFF0FC"/>
          </w:tcPr>
          <w:p>
            <w:pPr>
              <w:spacing w:after="0"/>
              <w:rPr>
                <w:sz w:val="21"/>
                <w:szCs w:val="21"/>
                <w:color w:val="auto"/>
              </w:rPr>
            </w:pPr>
          </w:p>
        </w:tc>
      </w:tr>
      <w:tr>
        <w:trPr>
          <w:trHeight w:val="243"/>
        </w:trPr>
        <w:tc>
          <w:tcPr>
            <w:tcW w:w="3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Updates to estimated cash flows</w:t>
            </w:r>
          </w:p>
        </w:tc>
        <w:tc>
          <w:tcPr>
            <w:tcW w:w="820" w:type="dxa"/>
            <w:vAlign w:val="bottom"/>
          </w:tcPr>
          <w:p>
            <w:pPr>
              <w:spacing w:after="0"/>
              <w:rPr>
                <w:sz w:val="21"/>
                <w:szCs w:val="21"/>
                <w:color w:val="auto"/>
              </w:rPr>
            </w:pPr>
          </w:p>
        </w:tc>
        <w:tc>
          <w:tcPr>
            <w:tcW w:w="680" w:type="dxa"/>
            <w:vAlign w:val="bottom"/>
            <w:gridSpan w:val="2"/>
          </w:tcPr>
          <w:p>
            <w:pPr>
              <w:jc w:val="right"/>
              <w:ind w:right="68"/>
              <w:spacing w:after="0"/>
              <w:rPr>
                <w:sz w:val="20"/>
                <w:szCs w:val="20"/>
                <w:color w:val="auto"/>
              </w:rPr>
            </w:pPr>
            <w:r>
              <w:rPr>
                <w:rFonts w:ascii="Times New Roman" w:cs="Times New Roman" w:eastAsia="Times New Roman" w:hAnsi="Times New Roman"/>
                <w:sz w:val="18"/>
                <w:szCs w:val="18"/>
                <w:color w:val="auto"/>
              </w:rPr>
              <w:t>(391 )</w:t>
            </w:r>
          </w:p>
        </w:tc>
        <w:tc>
          <w:tcPr>
            <w:tcW w:w="82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911</w:t>
            </w:r>
          </w:p>
        </w:tc>
        <w:tc>
          <w:tcPr>
            <w:tcW w:w="60" w:type="dxa"/>
            <w:vAlign w:val="bottom"/>
          </w:tcPr>
          <w:p>
            <w:pPr>
              <w:spacing w:after="0"/>
              <w:rPr>
                <w:sz w:val="21"/>
                <w:szCs w:val="21"/>
                <w:color w:val="auto"/>
              </w:rPr>
            </w:pPr>
          </w:p>
        </w:tc>
      </w:tr>
      <w:tr>
        <w:trPr>
          <w:trHeight w:val="276"/>
        </w:trPr>
        <w:tc>
          <w:tcPr>
            <w:tcW w:w="39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820" w:type="dxa"/>
            <w:vAlign w:val="bottom"/>
            <w:tcBorders>
              <w:top w:val="single" w:sz="8" w:color="auto"/>
              <w:bottom w:val="single" w:sz="8" w:color="auto"/>
            </w:tcBorders>
            <w:shd w:val="clear" w:color="auto" w:fill="CFF0FC"/>
          </w:tcPr>
          <w:p>
            <w:pPr>
              <w:jc w:val="right"/>
              <w:ind w:right="662"/>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6,097</w:t>
            </w:r>
          </w:p>
        </w:tc>
        <w:tc>
          <w:tcPr>
            <w:tcW w:w="220" w:type="dxa"/>
            <w:vAlign w:val="bottom"/>
            <w:tcBorders>
              <w:bottom w:val="single" w:sz="8" w:color="CFF0FC"/>
            </w:tcBorders>
            <w:shd w:val="clear" w:color="auto" w:fill="CFF0FC"/>
          </w:tcPr>
          <w:p>
            <w:pPr>
              <w:spacing w:after="0"/>
              <w:rPr>
                <w:sz w:val="24"/>
                <w:szCs w:val="24"/>
                <w:color w:val="auto"/>
              </w:rPr>
            </w:pPr>
          </w:p>
        </w:tc>
        <w:tc>
          <w:tcPr>
            <w:tcW w:w="820" w:type="dxa"/>
            <w:vAlign w:val="bottom"/>
            <w:tcBorders>
              <w:top w:val="single" w:sz="8" w:color="auto"/>
              <w:bottom w:val="single" w:sz="8" w:color="auto"/>
            </w:tcBorders>
            <w:shd w:val="clear" w:color="auto" w:fill="CFF0FC"/>
          </w:tcPr>
          <w:p>
            <w:pPr>
              <w:jc w:val="center"/>
              <w:ind w:right="636"/>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5,994</w:t>
            </w:r>
          </w:p>
        </w:tc>
        <w:tc>
          <w:tcPr>
            <w:tcW w:w="6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4728210</wp:posOffset>
            </wp:positionH>
            <wp:positionV relativeFrom="paragraph">
              <wp:posOffset>-24765</wp:posOffset>
            </wp:positionV>
            <wp:extent cx="43180" cy="889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-7620</wp:posOffset>
            </wp:positionV>
            <wp:extent cx="43180"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-24765</wp:posOffset>
            </wp:positionV>
            <wp:extent cx="34290" cy="889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-7620</wp:posOffset>
            </wp:positionV>
            <wp:extent cx="34290" cy="82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Business Acquisitions</w:t>
      </w:r>
    </w:p>
    <w:p>
      <w:pPr>
        <w:spacing w:after="0" w:line="19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APIHub, Inc.</w:t>
      </w:r>
    </w:p>
    <w:p>
      <w:pPr>
        <w:spacing w:after="0" w:line="189" w:lineRule="exact"/>
        <w:rPr>
          <w:sz w:val="20"/>
          <w:szCs w:val="20"/>
          <w:color w:val="auto"/>
        </w:rPr>
      </w:pPr>
    </w:p>
    <w:p>
      <w:pPr>
        <w:ind w:right="220" w:firstLine="509"/>
        <w:spacing w:after="0" w:line="261" w:lineRule="auto"/>
        <w:rPr>
          <w:sz w:val="20"/>
          <w:szCs w:val="20"/>
          <w:color w:val="auto"/>
        </w:rPr>
      </w:pPr>
      <w:r>
        <w:rPr>
          <w:rFonts w:ascii="Times New Roman" w:cs="Times New Roman" w:eastAsia="Times New Roman" w:hAnsi="Times New Roman"/>
          <w:sz w:val="18"/>
          <w:szCs w:val="18"/>
          <w:color w:val="auto"/>
        </w:rPr>
        <w:t xml:space="preserve">On December 1, 2023, the Company acquired </w:t>
      </w:r>
      <w:r>
        <w:rPr>
          <w:rFonts w:ascii="Times New Roman" w:cs="Times New Roman" w:eastAsia="Times New Roman" w:hAnsi="Times New Roman"/>
          <w:sz w:val="18"/>
          <w:szCs w:val="18"/>
          <w:color w:val="1D1C1D"/>
        </w:rPr>
        <w:t>all outstanding shares of APIHub, Inc., (d.b.a. Clearbit), a B2B data provider that is expected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1D1C1D"/>
        </w:rPr>
        <w:t>provide a complimentary B2B data asset to the Company's customers. The total cash purchase price for the acquisition was $140.4 million, net of cash acquired, which included a preliminary working capital adjustment of $1.8 million. There was approximately $4.1 million of post-combination expense, which is contingent upon post-acquisition employment and will be</w:t>
      </w:r>
    </w:p>
    <w:p>
      <w:pPr>
        <w:spacing w:after="0" w:line="19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981" w:right="399" w:bottom="1440" w:gutter="0" w:footer="0" w:header="0"/>
        </w:sectPr>
      </w:pPr>
    </w:p>
    <w:bookmarkStart w:id="85" w:name="page86"/>
    <w:bookmarkEnd w:id="85"/>
    <w:p>
      <w:pPr>
        <w:ind w:right="500"/>
        <w:spacing w:after="0" w:line="282" w:lineRule="auto"/>
        <w:rPr>
          <w:sz w:val="20"/>
          <w:szCs w:val="20"/>
          <w:color w:val="auto"/>
        </w:rPr>
      </w:pPr>
      <w:r>
        <w:rPr>
          <w:rFonts w:ascii="Times New Roman" w:cs="Times New Roman" w:eastAsia="Times New Roman" w:hAnsi="Times New Roman"/>
          <w:sz w:val="18"/>
          <w:szCs w:val="18"/>
          <w:color w:val="1D1C1D"/>
        </w:rPr>
        <w:t>recognized as compensation expense in the consolidated statement of operations over a period of two years. The transaction costs associated with the acquisition were approximately $3.4 million and were recorded in general and administrative expense.</w:t>
      </w:r>
    </w:p>
    <w:p>
      <w:pPr>
        <w:spacing w:after="0" w:line="135" w:lineRule="exact"/>
        <w:rPr>
          <w:sz w:val="20"/>
          <w:szCs w:val="20"/>
          <w:color w:val="auto"/>
        </w:rPr>
      </w:pPr>
    </w:p>
    <w:p>
      <w:pPr>
        <w:ind w:right="440" w:firstLine="509"/>
        <w:spacing w:after="0" w:line="282" w:lineRule="auto"/>
        <w:rPr>
          <w:sz w:val="20"/>
          <w:szCs w:val="20"/>
          <w:color w:val="auto"/>
        </w:rPr>
      </w:pPr>
      <w:r>
        <w:rPr>
          <w:rFonts w:ascii="Times New Roman" w:cs="Times New Roman" w:eastAsia="Times New Roman" w:hAnsi="Times New Roman"/>
          <w:sz w:val="18"/>
          <w:szCs w:val="18"/>
          <w:color w:val="auto"/>
        </w:rPr>
        <w:t>The Company expects to finalize the valuation as soon as practicable, but not later than one year from the acquisition date. The following table summarizes the preliminary fair value of assets acquired and liabilities assumed as of the date of acquisition:</w:t>
      </w:r>
    </w:p>
    <w:p>
      <w:pPr>
        <w:spacing w:after="0" w:line="182" w:lineRule="exact"/>
        <w:rPr>
          <w:sz w:val="20"/>
          <w:szCs w:val="20"/>
          <w:color w:val="auto"/>
        </w:rPr>
      </w:pPr>
    </w:p>
    <w:tbl>
      <w:tblPr>
        <w:tblLayout w:type="fixed"/>
        <w:tblInd w:w="1140" w:type="dxa"/>
        <w:tblCellMar>
          <w:top w:w="0" w:type="dxa"/>
          <w:left w:w="0" w:type="dxa"/>
          <w:bottom w:w="0" w:type="dxa"/>
          <w:right w:w="0" w:type="dxa"/>
        </w:tblCellMar>
      </w:tblPr>
      <w:tr>
        <w:trPr>
          <w:trHeight w:val="187"/>
        </w:trPr>
        <w:tc>
          <w:tcPr>
            <w:tcW w:w="7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4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169"/>
        </w:trPr>
        <w:tc>
          <w:tcPr>
            <w:tcW w:w="732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360" w:type="dxa"/>
            <w:vAlign w:val="bottom"/>
            <w:tcBorders>
              <w:top w:val="single" w:sz="8" w:color="auto"/>
            </w:tcBorders>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0" w:type="dxa"/>
            <w:vAlign w:val="bottom"/>
          </w:tcPr>
          <w:p>
            <w:pPr>
              <w:spacing w:after="0"/>
              <w:rPr>
                <w:sz w:val="14"/>
                <w:szCs w:val="14"/>
                <w:color w:val="auto"/>
              </w:rPr>
            </w:pPr>
          </w:p>
        </w:tc>
      </w:tr>
      <w:tr>
        <w:trPr>
          <w:trHeight w:val="243"/>
        </w:trPr>
        <w:tc>
          <w:tcPr>
            <w:tcW w:w="7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6,420</w:t>
            </w:r>
          </w:p>
        </w:tc>
        <w:tc>
          <w:tcPr>
            <w:tcW w:w="80" w:type="dxa"/>
            <w:vAlign w:val="bottom"/>
            <w:shd w:val="clear" w:color="auto" w:fill="CFF0FC"/>
          </w:tcPr>
          <w:p>
            <w:pPr>
              <w:spacing w:after="0"/>
              <w:rPr>
                <w:sz w:val="21"/>
                <w:szCs w:val="21"/>
                <w:color w:val="auto"/>
              </w:rPr>
            </w:pPr>
          </w:p>
        </w:tc>
      </w:tr>
      <w:tr>
        <w:trPr>
          <w:trHeight w:val="239"/>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Accounts receivable</w:t>
            </w:r>
          </w:p>
        </w:tc>
        <w:tc>
          <w:tcPr>
            <w:tcW w:w="2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5,394</w:t>
            </w:r>
          </w:p>
        </w:tc>
        <w:tc>
          <w:tcPr>
            <w:tcW w:w="80" w:type="dxa"/>
            <w:vAlign w:val="bottom"/>
          </w:tcPr>
          <w:p>
            <w:pPr>
              <w:spacing w:after="0"/>
              <w:rPr>
                <w:sz w:val="20"/>
                <w:szCs w:val="20"/>
                <w:color w:val="auto"/>
              </w:rPr>
            </w:pPr>
          </w:p>
        </w:tc>
      </w:tr>
      <w:tr>
        <w:trPr>
          <w:trHeight w:val="247"/>
        </w:trPr>
        <w:tc>
          <w:tcPr>
            <w:tcW w:w="7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current and noncurrent assets</w:t>
            </w:r>
          </w:p>
        </w:tc>
        <w:tc>
          <w:tcPr>
            <w:tcW w:w="22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3,468</w:t>
            </w:r>
          </w:p>
        </w:tc>
        <w:tc>
          <w:tcPr>
            <w:tcW w:w="80" w:type="dxa"/>
            <w:vAlign w:val="bottom"/>
            <w:shd w:val="clear" w:color="auto" w:fill="CFF0FC"/>
          </w:tcPr>
          <w:p>
            <w:pPr>
              <w:spacing w:after="0"/>
              <w:rPr>
                <w:sz w:val="21"/>
                <w:szCs w:val="21"/>
                <w:color w:val="auto"/>
              </w:rPr>
            </w:pPr>
          </w:p>
        </w:tc>
      </w:tr>
      <w:tr>
        <w:trPr>
          <w:trHeight w:val="239"/>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Acquired technology</w:t>
            </w:r>
          </w:p>
        </w:tc>
        <w:tc>
          <w:tcPr>
            <w:tcW w:w="2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28,900</w:t>
            </w:r>
          </w:p>
        </w:tc>
        <w:tc>
          <w:tcPr>
            <w:tcW w:w="80" w:type="dxa"/>
            <w:vAlign w:val="bottom"/>
          </w:tcPr>
          <w:p>
            <w:pPr>
              <w:spacing w:after="0"/>
              <w:rPr>
                <w:sz w:val="20"/>
                <w:szCs w:val="20"/>
                <w:color w:val="auto"/>
              </w:rPr>
            </w:pPr>
          </w:p>
        </w:tc>
      </w:tr>
      <w:tr>
        <w:trPr>
          <w:trHeight w:val="247"/>
        </w:trPr>
        <w:tc>
          <w:tcPr>
            <w:tcW w:w="7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Sublease asset</w:t>
            </w:r>
          </w:p>
        </w:tc>
        <w:tc>
          <w:tcPr>
            <w:tcW w:w="22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980</w:t>
            </w:r>
          </w:p>
        </w:tc>
        <w:tc>
          <w:tcPr>
            <w:tcW w:w="80" w:type="dxa"/>
            <w:vAlign w:val="bottom"/>
            <w:shd w:val="clear" w:color="auto" w:fill="CFF0FC"/>
          </w:tcPr>
          <w:p>
            <w:pPr>
              <w:spacing w:after="0"/>
              <w:rPr>
                <w:sz w:val="21"/>
                <w:szCs w:val="21"/>
                <w:color w:val="auto"/>
              </w:rPr>
            </w:pPr>
          </w:p>
        </w:tc>
      </w:tr>
      <w:tr>
        <w:trPr>
          <w:trHeight w:val="239"/>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2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127,094</w:t>
            </w:r>
          </w:p>
        </w:tc>
        <w:tc>
          <w:tcPr>
            <w:tcW w:w="80" w:type="dxa"/>
            <w:vAlign w:val="bottom"/>
          </w:tcPr>
          <w:p>
            <w:pPr>
              <w:spacing w:after="0"/>
              <w:rPr>
                <w:sz w:val="20"/>
                <w:szCs w:val="20"/>
                <w:color w:val="auto"/>
              </w:rPr>
            </w:pPr>
          </w:p>
        </w:tc>
      </w:tr>
      <w:tr>
        <w:trPr>
          <w:trHeight w:val="247"/>
        </w:trPr>
        <w:tc>
          <w:tcPr>
            <w:tcW w:w="7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Accounts payable, accrued expenses, and other liabilities</w:t>
            </w:r>
          </w:p>
        </w:tc>
        <w:tc>
          <w:tcPr>
            <w:tcW w:w="220" w:type="dxa"/>
            <w:vAlign w:val="bottom"/>
            <w:shd w:val="clear" w:color="auto" w:fill="CFF0FC"/>
          </w:tcPr>
          <w:p>
            <w:pPr>
              <w:spacing w:after="0"/>
              <w:rPr>
                <w:sz w:val="21"/>
                <w:szCs w:val="21"/>
                <w:color w:val="auto"/>
              </w:rPr>
            </w:pPr>
          </w:p>
        </w:tc>
        <w:tc>
          <w:tcPr>
            <w:tcW w:w="14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(10,345 )</w:t>
            </w:r>
          </w:p>
        </w:tc>
      </w:tr>
      <w:tr>
        <w:trPr>
          <w:trHeight w:val="243"/>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Deferred revenue</w:t>
            </w:r>
          </w:p>
        </w:tc>
        <w:tc>
          <w:tcPr>
            <w:tcW w:w="220" w:type="dxa"/>
            <w:vAlign w:val="bottom"/>
          </w:tcPr>
          <w:p>
            <w:pPr>
              <w:spacing w:after="0"/>
              <w:rPr>
                <w:sz w:val="21"/>
                <w:szCs w:val="21"/>
                <w:color w:val="auto"/>
              </w:rPr>
            </w:pPr>
          </w:p>
        </w:tc>
        <w:tc>
          <w:tcPr>
            <w:tcW w:w="1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(15,121 )</w:t>
            </w:r>
          </w:p>
        </w:tc>
      </w:tr>
      <w:tr>
        <w:trPr>
          <w:trHeight w:val="277"/>
        </w:trPr>
        <w:tc>
          <w:tcPr>
            <w:tcW w:w="732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Total purchase price</w:t>
            </w: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146,790</w:t>
            </w:r>
          </w:p>
        </w:tc>
        <w:tc>
          <w:tcPr>
            <w:tcW w:w="8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6374130</wp:posOffset>
            </wp:positionH>
            <wp:positionV relativeFrom="paragraph">
              <wp:posOffset>-24765</wp:posOffset>
            </wp:positionV>
            <wp:extent cx="51435" cy="82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-7620</wp:posOffset>
            </wp:positionV>
            <wp:extent cx="51435"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37"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The excess of the purchase consideration over the fair value of net tangible and identifiable intangible assets and liabilities acquired was recorded as goodwill. The Company expects to derive value from the combination of Clearbit's data asset and HubSpot's AI-powered Smart CRM, as well as through other synergies. The goodwill recognized is not deductible for U.S. income tax purposes.</w:t>
      </w:r>
    </w:p>
    <w:p>
      <w:pPr>
        <w:spacing w:after="0" w:line="14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primary intangible asset acquired in the business combination was developed technology and the fair value of the developed technology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$28.9 million was determined based on the estimated present value of expected after-tax cash flows attributable to the technology using an excess earnings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method. The Company applied significant estimates and assumptions with respect to forecasted revenue growth rates, the revenue attributable to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acquired intangible asset over its estimated economic life, and the discount rate. The fair values assigned to the other tangible and identifiable intangible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assets acquired and liabilities assumed as part of the business combination were based on management’s estimates and assumptions and may be subject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 as additional information is received. The Company began amortizing the acquired technology on the date of acquisition over a period of five years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based on expected future cash flow attributable to the technology. The amortization expense is recorded to cost of subscription revenue in the consolidated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statements of operations.</w:t>
      </w:r>
    </w:p>
    <w:p>
      <w:pPr>
        <w:spacing w:after="0" w:line="166"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The Company has included the operating results of Clearbit in its consolidated financial statements since the date of the acquisition. The acquisition did not have a material effect on the revenue or earnings in the consolidated income statement for the reporting periods presented. The pro forma results of the Company as if the acquisition had taken place on the first day of 2022 were not materially different from the amounts reflected in the accompanying consolidated financial statements.</w:t>
      </w:r>
    </w:p>
    <w:p>
      <w:pPr>
        <w:spacing w:after="0" w:line="135" w:lineRule="exact"/>
        <w:rPr>
          <w:sz w:val="20"/>
          <w:szCs w:val="20"/>
          <w:color w:val="auto"/>
        </w:rPr>
      </w:pPr>
    </w:p>
    <w:p>
      <w:pPr>
        <w:ind w:left="520" w:right="8660" w:hanging="512"/>
        <w:spacing w:after="0" w:line="464" w:lineRule="auto"/>
        <w:tabs>
          <w:tab w:leader="none" w:pos="191"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Intangible Assets and Goodwill </w:t>
      </w:r>
      <w:r>
        <w:rPr>
          <w:rFonts w:ascii="Times New Roman" w:cs="Times New Roman" w:eastAsia="Times New Roman" w:hAnsi="Times New Roman"/>
          <w:sz w:val="18"/>
          <w:szCs w:val="18"/>
          <w:b w:val="1"/>
          <w:bCs w:val="1"/>
          <w:i w:val="1"/>
          <w:iCs w:val="1"/>
          <w:color w:val="auto"/>
        </w:rPr>
        <w:t>Intangible assets</w:t>
      </w:r>
    </w:p>
    <w:p>
      <w:pPr>
        <w:ind w:left="5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Intangible assets as of December 31, 2023 and 2022 consist of the following:</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00" w:type="dxa"/>
            <w:vAlign w:val="bottom"/>
          </w:tcPr>
          <w:p>
            <w:pPr>
              <w:spacing w:after="0"/>
              <w:rPr>
                <w:sz w:val="13"/>
                <w:szCs w:val="13"/>
                <w:color w:val="auto"/>
              </w:rPr>
            </w:pPr>
          </w:p>
        </w:tc>
        <w:tc>
          <w:tcPr>
            <w:tcW w:w="288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70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3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0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3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70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3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Useful Life (in</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60" w:type="dxa"/>
            <w:vAlign w:val="bottom"/>
            <w:gridSpan w:val="6"/>
            <w:vMerge w:val="restart"/>
          </w:tcPr>
          <w:p>
            <w:pPr>
              <w:ind w:left="3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87"/>
        </w:trPr>
        <w:tc>
          <w:tcPr>
            <w:tcW w:w="1700" w:type="dxa"/>
            <w:vAlign w:val="bottom"/>
          </w:tcPr>
          <w:p>
            <w:pPr>
              <w:spacing w:after="0"/>
              <w:rPr>
                <w:sz w:val="16"/>
                <w:szCs w:val="16"/>
                <w:color w:val="auto"/>
              </w:rPr>
            </w:pPr>
          </w:p>
        </w:tc>
        <w:tc>
          <w:tcPr>
            <w:tcW w:w="28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Years)</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460" w:type="dxa"/>
            <w:vAlign w:val="bottom"/>
            <w:gridSpan w:val="6"/>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170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3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680" w:type="dxa"/>
            <w:vAlign w:val="bottom"/>
            <w:tcBorders>
              <w:top w:val="single" w:sz="8" w:color="auto"/>
              <w:bottom w:val="single" w:sz="8" w:color="auto"/>
            </w:tcBorders>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Borders>
              <w:top w:val="single" w:sz="8" w:color="auto"/>
            </w:tcBorders>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660" w:type="dxa"/>
            <w:vAlign w:val="bottom"/>
            <w:tcBorders>
              <w:top w:val="single" w:sz="8" w:color="auto"/>
              <w:bottom w:val="single" w:sz="8" w:color="auto"/>
            </w:tcBorders>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70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(in</w:t>
            </w:r>
          </w:p>
        </w:tc>
        <w:tc>
          <w:tcPr>
            <w:tcW w:w="1020" w:type="dxa"/>
            <w:vAlign w:val="bottom"/>
            <w:gridSpan w:val="3"/>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w w:val="73"/>
              </w:rPr>
              <w:t>thousands)</w:t>
            </w:r>
          </w:p>
        </w:tc>
        <w:tc>
          <w:tcPr>
            <w:tcW w:w="176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1700" w:type="dxa"/>
            <w:vAlign w:val="bottom"/>
          </w:tcPr>
          <w:p>
            <w:pPr>
              <w:spacing w:after="0"/>
              <w:rPr>
                <w:sz w:val="21"/>
                <w:szCs w:val="21"/>
                <w:color w:val="auto"/>
              </w:rPr>
            </w:pPr>
          </w:p>
        </w:tc>
        <w:tc>
          <w:tcPr>
            <w:tcW w:w="2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Acquired technology</w:t>
            </w:r>
          </w:p>
        </w:tc>
        <w:tc>
          <w:tcPr>
            <w:tcW w:w="2880" w:type="dxa"/>
            <w:vAlign w:val="bottom"/>
            <w:gridSpan w:val="2"/>
            <w:shd w:val="clear" w:color="auto" w:fill="CFF0FC"/>
          </w:tcPr>
          <w:p>
            <w:pPr>
              <w:jc w:val="center"/>
              <w:ind w:left="1490"/>
              <w:spacing w:after="0"/>
              <w:rPr>
                <w:sz w:val="20"/>
                <w:szCs w:val="20"/>
                <w:color w:val="auto"/>
              </w:rPr>
            </w:pPr>
            <w:r>
              <w:rPr>
                <w:rFonts w:ascii="Times New Roman" w:cs="Times New Roman" w:eastAsia="Times New Roman" w:hAnsi="Times New Roman"/>
                <w:sz w:val="18"/>
                <w:szCs w:val="18"/>
                <w:color w:val="auto"/>
                <w:w w:val="97"/>
              </w:rPr>
              <w:t>4.6</w:t>
            </w:r>
          </w:p>
        </w:tc>
        <w:tc>
          <w:tcPr>
            <w:tcW w:w="32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46,362</w:t>
            </w:r>
          </w:p>
        </w:tc>
        <w:tc>
          <w:tcPr>
            <w:tcW w:w="160" w:type="dxa"/>
            <w:vAlign w:val="bottom"/>
            <w:shd w:val="clear" w:color="auto" w:fill="CFF0FC"/>
          </w:tcPr>
          <w:p>
            <w:pPr>
              <w:spacing w:after="0"/>
              <w:rPr>
                <w:sz w:val="21"/>
                <w:szCs w:val="21"/>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17,009</w:t>
            </w:r>
          </w:p>
        </w:tc>
        <w:tc>
          <w:tcPr>
            <w:tcW w:w="80" w:type="dxa"/>
            <w:vAlign w:val="bottom"/>
            <w:shd w:val="clear" w:color="auto" w:fill="CFF0FC"/>
          </w:tcPr>
          <w:p>
            <w:pPr>
              <w:spacing w:after="0"/>
              <w:rPr>
                <w:sz w:val="21"/>
                <w:szCs w:val="21"/>
                <w:color w:val="auto"/>
              </w:rPr>
            </w:pPr>
          </w:p>
        </w:tc>
        <w:tc>
          <w:tcPr>
            <w:tcW w:w="1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1700" w:type="dxa"/>
            <w:vAlign w:val="bottom"/>
          </w:tcPr>
          <w:p>
            <w:pPr>
              <w:spacing w:after="0"/>
              <w:rPr>
                <w:sz w:val="20"/>
                <w:szCs w:val="20"/>
                <w:color w:val="auto"/>
              </w:rPr>
            </w:pPr>
          </w:p>
        </w:tc>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Domain name</w:t>
            </w:r>
          </w:p>
        </w:tc>
        <w:tc>
          <w:tcPr>
            <w:tcW w:w="2880" w:type="dxa"/>
            <w:vAlign w:val="bottom"/>
            <w:gridSpan w:val="2"/>
          </w:tcPr>
          <w:p>
            <w:pPr>
              <w:jc w:val="center"/>
              <w:ind w:left="1490"/>
              <w:spacing w:after="0"/>
              <w:rPr>
                <w:sz w:val="20"/>
                <w:szCs w:val="20"/>
                <w:color w:val="auto"/>
              </w:rPr>
            </w:pPr>
            <w:r>
              <w:rPr>
                <w:rFonts w:ascii="Times New Roman" w:cs="Times New Roman" w:eastAsia="Times New Roman" w:hAnsi="Times New Roman"/>
                <w:sz w:val="18"/>
                <w:szCs w:val="18"/>
                <w:color w:val="auto"/>
                <w:w w:val="97"/>
              </w:rPr>
              <w:t>5.3</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1700" w:type="dxa"/>
            <w:vAlign w:val="bottom"/>
          </w:tcPr>
          <w:p>
            <w:pPr>
              <w:spacing w:after="0"/>
              <w:rPr>
                <w:sz w:val="21"/>
                <w:szCs w:val="21"/>
                <w:color w:val="auto"/>
              </w:rPr>
            </w:pPr>
          </w:p>
        </w:tc>
        <w:tc>
          <w:tcPr>
            <w:tcW w:w="2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Sublease asset</w:t>
            </w:r>
          </w:p>
        </w:tc>
        <w:tc>
          <w:tcPr>
            <w:tcW w:w="2880" w:type="dxa"/>
            <w:vAlign w:val="bottom"/>
            <w:gridSpan w:val="2"/>
            <w:shd w:val="clear" w:color="auto" w:fill="CFF0FC"/>
          </w:tcPr>
          <w:p>
            <w:pPr>
              <w:jc w:val="center"/>
              <w:ind w:left="1490"/>
              <w:spacing w:after="0"/>
              <w:rPr>
                <w:sz w:val="20"/>
                <w:szCs w:val="20"/>
                <w:color w:val="auto"/>
              </w:rPr>
            </w:pPr>
            <w:r>
              <w:rPr>
                <w:rFonts w:ascii="Times New Roman" w:cs="Times New Roman" w:eastAsia="Times New Roman" w:hAnsi="Times New Roman"/>
                <w:sz w:val="18"/>
                <w:szCs w:val="18"/>
                <w:color w:val="auto"/>
                <w:w w:val="97"/>
              </w:rPr>
              <w:t>2.3</w:t>
            </w:r>
          </w:p>
        </w:tc>
        <w:tc>
          <w:tcPr>
            <w:tcW w:w="1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980</w:t>
            </w:r>
          </w:p>
        </w:tc>
        <w:tc>
          <w:tcPr>
            <w:tcW w:w="1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7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1700" w:type="dxa"/>
            <w:vAlign w:val="bottom"/>
          </w:tcPr>
          <w:p>
            <w:pPr>
              <w:spacing w:after="0"/>
              <w:rPr>
                <w:sz w:val="20"/>
                <w:szCs w:val="20"/>
                <w:color w:val="auto"/>
              </w:rPr>
            </w:pPr>
          </w:p>
        </w:tc>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Trade name</w:t>
            </w:r>
          </w:p>
        </w:tc>
        <w:tc>
          <w:tcPr>
            <w:tcW w:w="15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1700" w:type="dxa"/>
            <w:vAlign w:val="bottom"/>
          </w:tcPr>
          <w:p>
            <w:pPr>
              <w:spacing w:after="0"/>
              <w:rPr>
                <w:sz w:val="21"/>
                <w:szCs w:val="21"/>
                <w:color w:val="auto"/>
              </w:rPr>
            </w:pPr>
          </w:p>
        </w:tc>
        <w:tc>
          <w:tcPr>
            <w:tcW w:w="2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1580" w:type="dxa"/>
            <w:vAlign w:val="bottom"/>
            <w:shd w:val="clear" w:color="auto" w:fill="CFF0FC"/>
          </w:tcPr>
          <w:p>
            <w:pPr>
              <w:spacing w:after="0"/>
              <w:rPr>
                <w:sz w:val="21"/>
                <w:szCs w:val="21"/>
                <w:color w:val="auto"/>
              </w:rPr>
            </w:pPr>
          </w:p>
        </w:tc>
        <w:tc>
          <w:tcPr>
            <w:tcW w:w="13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2,448</w:t>
            </w:r>
          </w:p>
        </w:tc>
        <w:tc>
          <w:tcPr>
            <w:tcW w:w="80" w:type="dxa"/>
            <w:vAlign w:val="bottom"/>
            <w:shd w:val="clear" w:color="auto" w:fill="CFF0FC"/>
          </w:tcPr>
          <w:p>
            <w:pPr>
              <w:spacing w:after="0"/>
              <w:rPr>
                <w:sz w:val="21"/>
                <w:szCs w:val="21"/>
                <w:color w:val="auto"/>
              </w:rPr>
            </w:pPr>
          </w:p>
        </w:tc>
        <w:tc>
          <w:tcPr>
            <w:tcW w:w="1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700" w:type="dxa"/>
            <w:vAlign w:val="bottom"/>
          </w:tcPr>
          <w:p>
            <w:pPr>
              <w:spacing w:after="0"/>
              <w:rPr>
                <w:sz w:val="21"/>
                <w:szCs w:val="21"/>
                <w:color w:val="auto"/>
              </w:rPr>
            </w:pPr>
          </w:p>
        </w:tc>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Accumulated amortization</w:t>
            </w:r>
          </w:p>
        </w:tc>
        <w:tc>
          <w:tcPr>
            <w:tcW w:w="15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(15,095 )</w:t>
            </w:r>
          </w:p>
        </w:tc>
        <w:tc>
          <w:tcPr>
            <w:tcW w:w="200" w:type="dxa"/>
            <w:vAlign w:val="bottom"/>
          </w:tcPr>
          <w:p>
            <w:pPr>
              <w:spacing w:after="0"/>
              <w:rPr>
                <w:sz w:val="21"/>
                <w:szCs w:val="21"/>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(12,030 )</w:t>
            </w:r>
          </w:p>
        </w:tc>
        <w:tc>
          <w:tcPr>
            <w:tcW w:w="1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1700" w:type="dxa"/>
            <w:vAlign w:val="bottom"/>
          </w:tcPr>
          <w:p>
            <w:pPr>
              <w:spacing w:after="0"/>
              <w:rPr>
                <w:sz w:val="24"/>
                <w:szCs w:val="24"/>
                <w:color w:val="auto"/>
              </w:rPr>
            </w:pPr>
          </w:p>
        </w:tc>
        <w:tc>
          <w:tcPr>
            <w:tcW w:w="2880" w:type="dxa"/>
            <w:vAlign w:val="bottom"/>
            <w:tcBorders>
              <w:bottom w:val="single" w:sz="8" w:color="CFF0FC"/>
            </w:tcBorders>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Total</w:t>
            </w:r>
          </w:p>
        </w:tc>
        <w:tc>
          <w:tcPr>
            <w:tcW w:w="1580" w:type="dxa"/>
            <w:vAlign w:val="bottom"/>
            <w:tcBorders>
              <w:bottom w:val="single" w:sz="8" w:color="CFF0FC"/>
            </w:tcBorders>
            <w:shd w:val="clear" w:color="auto" w:fill="CFF0FC"/>
          </w:tcPr>
          <w:p>
            <w:pPr>
              <w:spacing w:after="0"/>
              <w:rPr>
                <w:sz w:val="24"/>
                <w:szCs w:val="24"/>
                <w:color w:val="auto"/>
              </w:rPr>
            </w:pPr>
          </w:p>
        </w:tc>
        <w:tc>
          <w:tcPr>
            <w:tcW w:w="1300" w:type="dxa"/>
            <w:vAlign w:val="bottom"/>
            <w:tcBorders>
              <w:bottom w:val="single" w:sz="8" w:color="CFF0FC"/>
            </w:tcBorders>
            <w:shd w:val="clear" w:color="auto" w:fill="CFF0FC"/>
          </w:tcPr>
          <w:p>
            <w:pPr>
              <w:spacing w:after="0"/>
              <w:rPr>
                <w:sz w:val="24"/>
                <w:szCs w:val="24"/>
                <w:color w:val="auto"/>
              </w:rPr>
            </w:pPr>
          </w:p>
        </w:tc>
        <w:tc>
          <w:tcPr>
            <w:tcW w:w="10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42,316</w:t>
            </w:r>
          </w:p>
        </w:tc>
        <w:tc>
          <w:tcPr>
            <w:tcW w:w="16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17,446</w:t>
            </w:r>
          </w:p>
        </w:tc>
        <w:tc>
          <w:tcPr>
            <w:tcW w:w="80" w:type="dxa"/>
            <w:vAlign w:val="bottom"/>
            <w:tcBorders>
              <w:bottom w:val="single" w:sz="8" w:color="CFF0FC"/>
            </w:tcBorders>
            <w:shd w:val="clear" w:color="auto" w:fill="CFF0FC"/>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28"/>
        </w:trPr>
        <w:tc>
          <w:tcPr>
            <w:tcW w:w="170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158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86</w:t>
            </w: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50"/>
        </w:trPr>
        <w:tc>
          <w:tcPr>
            <w:tcW w:w="1700" w:type="dxa"/>
            <w:vAlign w:val="bottom"/>
            <w:tcBorders>
              <w:bottom w:val="single" w:sz="8" w:color="9A9A9A"/>
            </w:tcBorders>
          </w:tcPr>
          <w:p>
            <w:pPr>
              <w:spacing w:after="0"/>
              <w:rPr>
                <w:sz w:val="24"/>
                <w:szCs w:val="24"/>
                <w:color w:val="auto"/>
              </w:rPr>
            </w:pPr>
          </w:p>
        </w:tc>
        <w:tc>
          <w:tcPr>
            <w:tcW w:w="2880" w:type="dxa"/>
            <w:vAlign w:val="bottom"/>
            <w:tcBorders>
              <w:bottom w:val="single" w:sz="8" w:color="9A9A9A"/>
            </w:tcBorders>
          </w:tcPr>
          <w:p>
            <w:pPr>
              <w:spacing w:after="0"/>
              <w:rPr>
                <w:sz w:val="24"/>
                <w:szCs w:val="24"/>
                <w:color w:val="auto"/>
              </w:rPr>
            </w:pPr>
          </w:p>
        </w:tc>
        <w:tc>
          <w:tcPr>
            <w:tcW w:w="158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5371465</wp:posOffset>
            </wp:positionH>
            <wp:positionV relativeFrom="paragraph">
              <wp:posOffset>-925195</wp:posOffset>
            </wp:positionV>
            <wp:extent cx="43180" cy="889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-908050</wp:posOffset>
            </wp:positionV>
            <wp:extent cx="43180" cy="889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-925195</wp:posOffset>
            </wp:positionV>
            <wp:extent cx="43180" cy="889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-908050</wp:posOffset>
            </wp:positionV>
            <wp:extent cx="43180" cy="889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86" w:name="page87"/>
    <w:bookmarkEnd w:id="86"/>
    <w:p>
      <w:pPr>
        <w:ind w:firstLine="509"/>
        <w:spacing w:after="0" w:line="282" w:lineRule="auto"/>
        <w:rPr>
          <w:sz w:val="20"/>
          <w:szCs w:val="20"/>
          <w:color w:val="auto"/>
        </w:rPr>
      </w:pPr>
      <w:r>
        <w:rPr>
          <w:rFonts w:ascii="Times New Roman" w:cs="Times New Roman" w:eastAsia="Times New Roman" w:hAnsi="Times New Roman"/>
          <w:sz w:val="18"/>
          <w:szCs w:val="18"/>
          <w:color w:val="auto"/>
        </w:rPr>
        <w:t>In April 2022, the Company purchased the rights to the domain name "connect.com" for $10.0 million. The domain will be used to host a networked community for customers, Solutions Partners, and prospects. The cost is amortized on a straight-line basis over its estimated useful life of seven years.</w:t>
      </w:r>
    </w:p>
    <w:p>
      <w:pPr>
        <w:spacing w:after="0" w:line="135" w:lineRule="exact"/>
        <w:rPr>
          <w:sz w:val="20"/>
          <w:szCs w:val="20"/>
          <w:color w:val="auto"/>
        </w:rPr>
      </w:pPr>
    </w:p>
    <w:p>
      <w:pPr>
        <w:ind w:right="200" w:firstLine="509"/>
        <w:spacing w:after="0" w:line="266" w:lineRule="auto"/>
        <w:rPr>
          <w:sz w:val="20"/>
          <w:szCs w:val="20"/>
          <w:color w:val="auto"/>
        </w:rPr>
      </w:pPr>
      <w:r>
        <w:rPr>
          <w:rFonts w:ascii="Times New Roman" w:cs="Times New Roman" w:eastAsia="Times New Roman" w:hAnsi="Times New Roman"/>
          <w:sz w:val="18"/>
          <w:szCs w:val="18"/>
          <w:color w:val="auto"/>
        </w:rPr>
        <w:t>The Company also has intangible assets acquired through business acquisitions. The estimated useful life of acquired technology is two to seven years and the estimated useful life of sublease assets is two years. The Company evaluates the useful lives of these assets on an annual basis and tests for impairment whenever events or changes in circumstances occur that could impact the recoverability of these assets.</w:t>
      </w:r>
    </w:p>
    <w:p>
      <w:pPr>
        <w:spacing w:after="0" w:line="135"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Amortization expense related to intangible assets was $5.3 million in 2023, $2.6 million in 2022, and $1.3 million in 2021. Amortization expense of acquired technology is included in cost of subscription revenue and amortization expense of customer relationships and the domain name is included in sales and marketing expense in the consolidated statements of operations.</w:t>
      </w:r>
    </w:p>
    <w:p>
      <w:pPr>
        <w:spacing w:after="0" w:line="13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Estimated future amortization expense for intangible assets as of December 31, 2023 is as follows:</w:t>
      </w:r>
    </w:p>
    <w:p>
      <w:pPr>
        <w:spacing w:after="0" w:line="220"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8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4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Amortization</w:t>
            </w:r>
          </w:p>
        </w:tc>
      </w:tr>
      <w:tr>
        <w:trPr>
          <w:trHeight w:val="180"/>
        </w:trPr>
        <w:tc>
          <w:tcPr>
            <w:tcW w:w="60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260" w:type="dxa"/>
            <w:vAlign w:val="bottom"/>
          </w:tcPr>
          <w:p>
            <w:pPr>
              <w:spacing w:after="0"/>
              <w:rPr>
                <w:sz w:val="15"/>
                <w:szCs w:val="15"/>
                <w:color w:val="auto"/>
              </w:rPr>
            </w:pPr>
          </w:p>
        </w:tc>
        <w:tc>
          <w:tcPr>
            <w:tcW w:w="15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Expense</w:t>
            </w:r>
          </w:p>
        </w:tc>
      </w:tr>
      <w:tr>
        <w:trPr>
          <w:trHeight w:val="175"/>
        </w:trPr>
        <w:tc>
          <w:tcPr>
            <w:tcW w:w="800" w:type="dxa"/>
            <w:vAlign w:val="bottom"/>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444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1440" w:type="dxa"/>
            <w:vAlign w:val="bottom"/>
            <w:tcBorders>
              <w:top w:val="single" w:sz="8" w:color="auto"/>
            </w:tcBorders>
          </w:tcPr>
          <w:p>
            <w:pPr>
              <w:jc w:val="center"/>
              <w:ind w:right="155"/>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0" w:type="dxa"/>
            <w:vAlign w:val="bottom"/>
          </w:tcPr>
          <w:p>
            <w:pPr>
              <w:spacing w:after="0"/>
              <w:rPr>
                <w:sz w:val="15"/>
                <w:szCs w:val="15"/>
                <w:color w:val="auto"/>
              </w:rPr>
            </w:pPr>
          </w:p>
        </w:tc>
      </w:tr>
      <w:tr>
        <w:trPr>
          <w:trHeight w:val="243"/>
        </w:trPr>
        <w:tc>
          <w:tcPr>
            <w:tcW w:w="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2024</w:t>
            </w:r>
          </w:p>
        </w:tc>
        <w:tc>
          <w:tcPr>
            <w:tcW w:w="840" w:type="dxa"/>
            <w:vAlign w:val="bottom"/>
            <w:shd w:val="clear" w:color="auto" w:fill="CFF0FC"/>
          </w:tcPr>
          <w:p>
            <w:pPr>
              <w:spacing w:after="0"/>
              <w:rPr>
                <w:sz w:val="21"/>
                <w:szCs w:val="21"/>
                <w:color w:val="auto"/>
              </w:rPr>
            </w:pPr>
          </w:p>
        </w:tc>
        <w:tc>
          <w:tcPr>
            <w:tcW w:w="4440" w:type="dxa"/>
            <w:vAlign w:val="bottom"/>
            <w:shd w:val="clear" w:color="auto" w:fill="CFF0FC"/>
          </w:tcPr>
          <w:p>
            <w:pPr>
              <w:spacing w:after="0"/>
              <w:rPr>
                <w:sz w:val="21"/>
                <w:szCs w:val="21"/>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9,402</w:t>
            </w:r>
          </w:p>
        </w:tc>
        <w:tc>
          <w:tcPr>
            <w:tcW w:w="80" w:type="dxa"/>
            <w:vAlign w:val="bottom"/>
            <w:shd w:val="clear" w:color="auto" w:fill="CFF0FC"/>
          </w:tcPr>
          <w:p>
            <w:pPr>
              <w:spacing w:after="0"/>
              <w:rPr>
                <w:sz w:val="21"/>
                <w:szCs w:val="21"/>
                <w:color w:val="auto"/>
              </w:rPr>
            </w:pPr>
          </w:p>
        </w:tc>
      </w:tr>
      <w:tr>
        <w:trPr>
          <w:trHeight w:val="239"/>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840" w:type="dxa"/>
            <w:vAlign w:val="bottom"/>
          </w:tcPr>
          <w:p>
            <w:pPr>
              <w:spacing w:after="0"/>
              <w:rPr>
                <w:sz w:val="20"/>
                <w:szCs w:val="20"/>
                <w:color w:val="auto"/>
              </w:rPr>
            </w:pPr>
          </w:p>
        </w:tc>
        <w:tc>
          <w:tcPr>
            <w:tcW w:w="4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9,402</w:t>
            </w:r>
          </w:p>
        </w:tc>
        <w:tc>
          <w:tcPr>
            <w:tcW w:w="80" w:type="dxa"/>
            <w:vAlign w:val="bottom"/>
          </w:tcPr>
          <w:p>
            <w:pPr>
              <w:spacing w:after="0"/>
              <w:rPr>
                <w:sz w:val="20"/>
                <w:szCs w:val="20"/>
                <w:color w:val="auto"/>
              </w:rPr>
            </w:pPr>
          </w:p>
        </w:tc>
      </w:tr>
      <w:tr>
        <w:trPr>
          <w:trHeight w:val="247"/>
        </w:trPr>
        <w:tc>
          <w:tcPr>
            <w:tcW w:w="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2026</w:t>
            </w:r>
          </w:p>
        </w:tc>
        <w:tc>
          <w:tcPr>
            <w:tcW w:w="840" w:type="dxa"/>
            <w:vAlign w:val="bottom"/>
            <w:shd w:val="clear" w:color="auto" w:fill="CFF0FC"/>
          </w:tcPr>
          <w:p>
            <w:pPr>
              <w:spacing w:after="0"/>
              <w:rPr>
                <w:sz w:val="21"/>
                <w:szCs w:val="21"/>
                <w:color w:val="auto"/>
              </w:rPr>
            </w:pPr>
          </w:p>
        </w:tc>
        <w:tc>
          <w:tcPr>
            <w:tcW w:w="44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9,087</w:t>
            </w:r>
          </w:p>
        </w:tc>
        <w:tc>
          <w:tcPr>
            <w:tcW w:w="80" w:type="dxa"/>
            <w:vAlign w:val="bottom"/>
            <w:shd w:val="clear" w:color="auto" w:fill="CFF0FC"/>
          </w:tcPr>
          <w:p>
            <w:pPr>
              <w:spacing w:after="0"/>
              <w:rPr>
                <w:sz w:val="21"/>
                <w:szCs w:val="21"/>
                <w:color w:val="auto"/>
              </w:rPr>
            </w:pPr>
          </w:p>
        </w:tc>
      </w:tr>
      <w:tr>
        <w:trPr>
          <w:trHeight w:val="239"/>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840" w:type="dxa"/>
            <w:vAlign w:val="bottom"/>
          </w:tcPr>
          <w:p>
            <w:pPr>
              <w:spacing w:after="0"/>
              <w:rPr>
                <w:sz w:val="20"/>
                <w:szCs w:val="20"/>
                <w:color w:val="auto"/>
              </w:rPr>
            </w:pPr>
          </w:p>
        </w:tc>
        <w:tc>
          <w:tcPr>
            <w:tcW w:w="4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7,209</w:t>
            </w:r>
          </w:p>
        </w:tc>
        <w:tc>
          <w:tcPr>
            <w:tcW w:w="80" w:type="dxa"/>
            <w:vAlign w:val="bottom"/>
          </w:tcPr>
          <w:p>
            <w:pPr>
              <w:spacing w:after="0"/>
              <w:rPr>
                <w:sz w:val="20"/>
                <w:szCs w:val="20"/>
                <w:color w:val="auto"/>
              </w:rPr>
            </w:pPr>
          </w:p>
        </w:tc>
      </w:tr>
      <w:tr>
        <w:trPr>
          <w:trHeight w:val="247"/>
        </w:trPr>
        <w:tc>
          <w:tcPr>
            <w:tcW w:w="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2028</w:t>
            </w:r>
          </w:p>
        </w:tc>
        <w:tc>
          <w:tcPr>
            <w:tcW w:w="840" w:type="dxa"/>
            <w:vAlign w:val="bottom"/>
            <w:shd w:val="clear" w:color="auto" w:fill="CFF0FC"/>
          </w:tcPr>
          <w:p>
            <w:pPr>
              <w:spacing w:after="0"/>
              <w:rPr>
                <w:sz w:val="21"/>
                <w:szCs w:val="21"/>
                <w:color w:val="auto"/>
              </w:rPr>
            </w:pPr>
          </w:p>
        </w:tc>
        <w:tc>
          <w:tcPr>
            <w:tcW w:w="44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6,727</w:t>
            </w:r>
          </w:p>
        </w:tc>
        <w:tc>
          <w:tcPr>
            <w:tcW w:w="80" w:type="dxa"/>
            <w:vAlign w:val="bottom"/>
            <w:shd w:val="clear" w:color="auto" w:fill="CFF0FC"/>
          </w:tcPr>
          <w:p>
            <w:pPr>
              <w:spacing w:after="0"/>
              <w:rPr>
                <w:sz w:val="21"/>
                <w:szCs w:val="21"/>
                <w:color w:val="auto"/>
              </w:rPr>
            </w:pPr>
          </w:p>
        </w:tc>
      </w:tr>
      <w:tr>
        <w:trPr>
          <w:trHeight w:val="243"/>
        </w:trPr>
        <w:tc>
          <w:tcPr>
            <w:tcW w:w="6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Thereafter</w:t>
            </w:r>
          </w:p>
        </w:tc>
        <w:tc>
          <w:tcPr>
            <w:tcW w:w="26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489</w:t>
            </w:r>
          </w:p>
        </w:tc>
        <w:tc>
          <w:tcPr>
            <w:tcW w:w="80" w:type="dxa"/>
            <w:vAlign w:val="bottom"/>
          </w:tcPr>
          <w:p>
            <w:pPr>
              <w:spacing w:after="0"/>
              <w:rPr>
                <w:sz w:val="21"/>
                <w:szCs w:val="21"/>
                <w:color w:val="auto"/>
              </w:rPr>
            </w:pPr>
          </w:p>
        </w:tc>
      </w:tr>
      <w:tr>
        <w:trPr>
          <w:trHeight w:val="277"/>
        </w:trPr>
        <w:tc>
          <w:tcPr>
            <w:tcW w:w="6080" w:type="dxa"/>
            <w:vAlign w:val="bottom"/>
            <w:tcBorders>
              <w:bottom w:val="single" w:sz="8" w:color="CFF0FC"/>
            </w:tcBorders>
            <w:gridSpan w:val="3"/>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42,316</w:t>
            </w:r>
          </w:p>
        </w:tc>
        <w:tc>
          <w:tcPr>
            <w:tcW w:w="8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6022975</wp:posOffset>
            </wp:positionH>
            <wp:positionV relativeFrom="paragraph">
              <wp:posOffset>-24765</wp:posOffset>
            </wp:positionV>
            <wp:extent cx="43180" cy="82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-7620</wp:posOffset>
            </wp:positionV>
            <wp:extent cx="43180" cy="82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14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189" w:lineRule="exact"/>
        <w:rPr>
          <w:sz w:val="20"/>
          <w:szCs w:val="20"/>
          <w:color w:val="auto"/>
        </w:rPr>
      </w:pPr>
    </w:p>
    <w:p>
      <w:pPr>
        <w:ind w:right="600" w:firstLine="509"/>
        <w:spacing w:after="0" w:line="282" w:lineRule="auto"/>
        <w:rPr>
          <w:sz w:val="20"/>
          <w:szCs w:val="20"/>
          <w:color w:val="auto"/>
        </w:rPr>
      </w:pPr>
      <w:r>
        <w:rPr>
          <w:rFonts w:ascii="Times New Roman" w:cs="Times New Roman" w:eastAsia="Times New Roman" w:hAnsi="Times New Roman"/>
          <w:sz w:val="18"/>
          <w:szCs w:val="18"/>
          <w:color w:val="auto"/>
        </w:rPr>
        <w:t>Goodwill represents the excess of the purchase price in a business combination over the fair value of net assets acquired and is generally not deductible for tax purposes. Goodwill amounts are not amortized, but rather tested for impairment annually.</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changes in the carrying amounts of goodwill consist of the following:</w:t>
      </w:r>
    </w:p>
    <w:p>
      <w:pPr>
        <w:spacing w:after="0" w:line="232" w:lineRule="exact"/>
        <w:rPr>
          <w:sz w:val="20"/>
          <w:szCs w:val="20"/>
          <w:color w:val="auto"/>
        </w:rPr>
      </w:pPr>
    </w:p>
    <w:tbl>
      <w:tblPr>
        <w:tblLayout w:type="fixed"/>
        <w:tblInd w:w="1700" w:type="dxa"/>
        <w:tblCellMar>
          <w:top w:w="0" w:type="dxa"/>
          <w:left w:w="0" w:type="dxa"/>
          <w:bottom w:w="0" w:type="dxa"/>
          <w:right w:w="0" w:type="dxa"/>
        </w:tblCellMar>
      </w:tblPr>
      <w:tr>
        <w:trPr>
          <w:trHeight w:val="187"/>
        </w:trPr>
        <w:tc>
          <w:tcPr>
            <w:tcW w:w="5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2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37"/>
        </w:trPr>
        <w:tc>
          <w:tcPr>
            <w:tcW w:w="5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as of December 31, 2021</w:t>
            </w:r>
          </w:p>
        </w:tc>
        <w:tc>
          <w:tcPr>
            <w:tcW w:w="140" w:type="dxa"/>
            <w:vAlign w:val="bottom"/>
          </w:tcPr>
          <w:p>
            <w:pPr>
              <w:spacing w:after="0"/>
              <w:rPr>
                <w:sz w:val="20"/>
                <w:szCs w:val="20"/>
                <w:color w:val="auto"/>
              </w:rPr>
            </w:pPr>
          </w:p>
        </w:tc>
        <w:tc>
          <w:tcPr>
            <w:tcW w:w="300" w:type="dxa"/>
            <w:vAlign w:val="bottom"/>
            <w:tcBorders>
              <w:top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47,075</w:t>
            </w:r>
          </w:p>
        </w:tc>
        <w:tc>
          <w:tcPr>
            <w:tcW w:w="80" w:type="dxa"/>
            <w:vAlign w:val="bottom"/>
            <w:shd w:val="clear" w:color="auto" w:fill="CFF0FC"/>
          </w:tcPr>
          <w:p>
            <w:pPr>
              <w:spacing w:after="0"/>
              <w:rPr>
                <w:sz w:val="20"/>
                <w:szCs w:val="20"/>
                <w:color w:val="auto"/>
              </w:rPr>
            </w:pPr>
          </w:p>
        </w:tc>
      </w:tr>
      <w:tr>
        <w:trPr>
          <w:trHeight w:val="243"/>
        </w:trPr>
        <w:tc>
          <w:tcPr>
            <w:tcW w:w="59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Effect of foreign currency translation</w:t>
            </w:r>
          </w:p>
        </w:tc>
        <w:tc>
          <w:tcPr>
            <w:tcW w:w="300" w:type="dxa"/>
            <w:vAlign w:val="bottom"/>
          </w:tcPr>
          <w:p>
            <w:pPr>
              <w:spacing w:after="0"/>
              <w:rPr>
                <w:sz w:val="21"/>
                <w:szCs w:val="21"/>
                <w:color w:val="auto"/>
              </w:rPr>
            </w:pP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(848 )</w:t>
            </w:r>
          </w:p>
        </w:tc>
      </w:tr>
      <w:tr>
        <w:trPr>
          <w:trHeight w:val="236"/>
        </w:trPr>
        <w:tc>
          <w:tcPr>
            <w:tcW w:w="5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as of December 31, 2022</w:t>
            </w:r>
          </w:p>
        </w:tc>
        <w:tc>
          <w:tcPr>
            <w:tcW w:w="140" w:type="dxa"/>
            <w:vAlign w:val="bottom"/>
          </w:tcPr>
          <w:p>
            <w:pPr>
              <w:spacing w:after="0"/>
              <w:rPr>
                <w:sz w:val="20"/>
                <w:szCs w:val="20"/>
                <w:color w:val="auto"/>
              </w:rPr>
            </w:pPr>
          </w:p>
        </w:tc>
        <w:tc>
          <w:tcPr>
            <w:tcW w:w="300" w:type="dxa"/>
            <w:vAlign w:val="bottom"/>
            <w:tcBorders>
              <w:top w:val="single" w:sz="8" w:color="auto"/>
            </w:tcBorders>
            <w:shd w:val="clear" w:color="auto" w:fill="CFF0FC"/>
          </w:tcPr>
          <w:p>
            <w:pPr>
              <w:spacing w:after="0"/>
              <w:rPr>
                <w:sz w:val="20"/>
                <w:szCs w:val="20"/>
                <w:color w:val="auto"/>
              </w:rPr>
            </w:pPr>
          </w:p>
        </w:tc>
        <w:tc>
          <w:tcPr>
            <w:tcW w:w="15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46,227</w:t>
            </w:r>
          </w:p>
        </w:tc>
        <w:tc>
          <w:tcPr>
            <w:tcW w:w="80" w:type="dxa"/>
            <w:vAlign w:val="bottom"/>
            <w:shd w:val="clear" w:color="auto" w:fill="CFF0FC"/>
          </w:tcPr>
          <w:p>
            <w:pPr>
              <w:spacing w:after="0"/>
              <w:rPr>
                <w:sz w:val="20"/>
                <w:szCs w:val="20"/>
                <w:color w:val="auto"/>
              </w:rPr>
            </w:pPr>
          </w:p>
        </w:tc>
      </w:tr>
      <w:tr>
        <w:trPr>
          <w:trHeight w:val="239"/>
        </w:trPr>
        <w:tc>
          <w:tcPr>
            <w:tcW w:w="5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Effect of foreign currency translation</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w:t>
            </w:r>
          </w:p>
        </w:tc>
        <w:tc>
          <w:tcPr>
            <w:tcW w:w="80" w:type="dxa"/>
            <w:vAlign w:val="bottom"/>
          </w:tcPr>
          <w:p>
            <w:pPr>
              <w:spacing w:after="0"/>
              <w:rPr>
                <w:sz w:val="20"/>
                <w:szCs w:val="20"/>
                <w:color w:val="auto"/>
              </w:rPr>
            </w:pPr>
          </w:p>
        </w:tc>
      </w:tr>
      <w:tr>
        <w:trPr>
          <w:trHeight w:val="247"/>
        </w:trPr>
        <w:tc>
          <w:tcPr>
            <w:tcW w:w="5940" w:type="dxa"/>
            <w:vAlign w:val="bottom"/>
            <w:tcBorders>
              <w:bottom w:val="single" w:sz="8" w:color="CFF0FC"/>
            </w:tcBorders>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Acquisition of Clearbit</w:t>
            </w:r>
          </w:p>
        </w:tc>
        <w:tc>
          <w:tcPr>
            <w:tcW w:w="300" w:type="dxa"/>
            <w:vAlign w:val="bottom"/>
            <w:tcBorders>
              <w:bottom w:val="single" w:sz="8" w:color="auto"/>
            </w:tcBorders>
            <w:shd w:val="clear" w:color="auto" w:fill="CFF0FC"/>
          </w:tcPr>
          <w:p>
            <w:pPr>
              <w:spacing w:after="0"/>
              <w:rPr>
                <w:sz w:val="21"/>
                <w:szCs w:val="21"/>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127,094</w:t>
            </w:r>
          </w:p>
        </w:tc>
        <w:tc>
          <w:tcPr>
            <w:tcW w:w="80" w:type="dxa"/>
            <w:vAlign w:val="bottom"/>
            <w:tcBorders>
              <w:bottom w:val="single" w:sz="8" w:color="CFF0FC"/>
            </w:tcBorders>
            <w:shd w:val="clear" w:color="auto" w:fill="CFF0FC"/>
          </w:tcPr>
          <w:p>
            <w:pPr>
              <w:spacing w:after="0"/>
              <w:rPr>
                <w:sz w:val="21"/>
                <w:szCs w:val="21"/>
                <w:color w:val="auto"/>
              </w:rPr>
            </w:pPr>
          </w:p>
        </w:tc>
      </w:tr>
      <w:tr>
        <w:trPr>
          <w:trHeight w:val="236"/>
        </w:trPr>
        <w:tc>
          <w:tcPr>
            <w:tcW w:w="5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Balance as of December 31, 2023</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173,761</w:t>
            </w:r>
          </w:p>
        </w:tc>
        <w:tc>
          <w:tcPr>
            <w:tcW w:w="80" w:type="dxa"/>
            <w:vAlign w:val="bottom"/>
          </w:tcPr>
          <w:p>
            <w:pPr>
              <w:spacing w:after="0"/>
              <w:rPr>
                <w:sz w:val="20"/>
                <w:szCs w:val="20"/>
                <w:color w:val="auto"/>
              </w:rPr>
            </w:pPr>
          </w:p>
        </w:tc>
      </w:tr>
      <w:tr>
        <w:trPr>
          <w:trHeight w:val="20"/>
        </w:trPr>
        <w:tc>
          <w:tcPr>
            <w:tcW w:w="5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6022975</wp:posOffset>
            </wp:positionH>
            <wp:positionV relativeFrom="paragraph">
              <wp:posOffset>-187960</wp:posOffset>
            </wp:positionV>
            <wp:extent cx="43180" cy="825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Convertible Senior Notes</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Adoption of Updated Debt Guidance in 2022</w:t>
      </w:r>
    </w:p>
    <w:p>
      <w:pPr>
        <w:spacing w:after="0" w:line="229" w:lineRule="exact"/>
        <w:rPr>
          <w:sz w:val="20"/>
          <w:szCs w:val="20"/>
          <w:color w:val="auto"/>
        </w:rPr>
      </w:pPr>
    </w:p>
    <w:p>
      <w:pPr>
        <w:ind w:right="160" w:firstLine="509"/>
        <w:spacing w:after="0" w:line="266" w:lineRule="auto"/>
        <w:rPr>
          <w:sz w:val="20"/>
          <w:szCs w:val="20"/>
          <w:color w:val="auto"/>
        </w:rPr>
      </w:pPr>
      <w:r>
        <w:rPr>
          <w:rFonts w:ascii="Times New Roman" w:cs="Times New Roman" w:eastAsia="Times New Roman" w:hAnsi="Times New Roman"/>
          <w:sz w:val="18"/>
          <w:szCs w:val="18"/>
          <w:color w:val="auto"/>
        </w:rPr>
        <w:t>On January 1, 2022, the Company adopted the new guidance for convertible instruments using a modified retrospective method. Results for reporting periods beginning after December 31, 2021 are presented under the new guidance, while prior period comparative amounts are not adjusted and continue to be reported in accordance with historical guidance.</w:t>
      </w:r>
    </w:p>
    <w:p>
      <w:pPr>
        <w:spacing w:after="0" w:line="176"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The new guidance eliminates the bifurcation and separate recognition of the embedded cash conversion feature from the host contract and allows for the entire amount attributable to the debt to be presented as a liability. The carrying amount of the debt liability will be reduced by the issuance costs associated with the debt issuance as a contra-liability. As there is no longer an equity component of the convertible debt, the discount created by accretion of a component of the convertible debt in equity is eliminated and interest expense is reduced. The deferred tax liability recognized as a result of a difference between the carrying amount and tax basis of the 2022 Notes that was recorded to additional paid-in capital as a component of equity was also reversed. There is no change in the</w:t>
      </w:r>
    </w:p>
    <w:p>
      <w:pPr>
        <w:spacing w:after="0" w:line="1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467360</wp:posOffset>
            </wp:positionV>
            <wp:extent cx="7157720" cy="4254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61" w:right="35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color w:val="auto"/>
        </w:rPr>
        <w:t>accounting for the Capped Call Options, Warrants, or Convertible Note Hedges as they are classified as equity under both the historical and new guidance.</w:t>
      </w:r>
    </w:p>
    <w:p>
      <w:pPr>
        <w:spacing w:after="0" w:line="225"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As a result of the impact of applying the new guidance, the Company recorded an increase to opening accumulated deficit of $31.4 million as of January 1, 2022, related to the difference in interest expense due to the amortization of the convertible debt discount and reversal of the deferred tax liability under the historical guidance. The resulting impact on the consolidated balance sheet to derecognize the debt issuance cost and conversion option that was allocated to the equity component and to derecognize the remaining convertible debt discount was an increase to debt liability of $69.8 million, of which $0.5 million was recorded to short term debt and $69.3 million was recorded to long-term debt, and a decrease in additional paid-in capital of $101.2 million.</w:t>
      </w:r>
    </w:p>
    <w:p>
      <w:pPr>
        <w:spacing w:after="0" w:line="1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2025 Convertible Senior Notes and Capped Call Options</w:t>
      </w:r>
    </w:p>
    <w:p>
      <w:pPr>
        <w:spacing w:after="0" w:line="229"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In June 2020, the Company issued $400 million aggregate principal amount of 0.375% convertible senior notes due June 1, 2025 (the “2025 Notes”) in a private offering and an additional $60 million aggregate principal amount of the 2025 Notes pursuant to the exercise in full of the over-allotment options of the initial purchasers. The interest rate is fixed at 0.375% per annum and is payable semi-annually in arrears on June 1 and December 1 of each year. The total net proceeds from the debt offering, after deducting initial purchase discounts and debt issuance costs, were approximately $450.1 million.</w:t>
      </w:r>
    </w:p>
    <w:p>
      <w:pPr>
        <w:spacing w:after="0" w:line="180"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Each $1,000 of principal amount of the 2025 Notes will initially be convertible into 3.5396 shares of the Company’s common stock (the “Conversion Option of the 2025 Notes”), which is equivalent to an initial conversion price of approximately $282.52 per share, subject to adjustment upon the occurrence of certain specified events. On or after March 1, 2025 until the close of business on the second scheduled trading day immediately preceding the maturity date, holders may convert their 2025 Notes at any time. The 2025 Notes will be convertible at the option of the holders prior to the close of business on the business day immediately preceding March 1, 2025 under certain circumstances as described in the indenture governing the 2025 Notes (the “Indenture”). Upon conversion, the Company will pay or deliver, as the case may be, cash, shares of the Company’s common stock or a combination of cash and shares of the Company’s common stock, at the Company’s election. The Company expects to settle the principal amount of the 2025 Notes in cash. Because the last reported sale price of the Company’s common stock for at least 20 trading days during the period of 30 consecutive trading days ending on the last trading day of the calendar quarter ended December 31, 2023 was equal to or greater than 130% of the applicable conversion price on each applicable trading day, the 2025 Notes are convertible at the option of the holders thereof during the calendar quarter ending March 31, 2024. As of February 9, 2024, the Company has not received any material conversion notices.</w:t>
      </w:r>
    </w:p>
    <w:p>
      <w:pPr>
        <w:spacing w:after="0" w:line="192" w:lineRule="exact"/>
        <w:rPr>
          <w:sz w:val="20"/>
          <w:szCs w:val="20"/>
          <w:color w:val="auto"/>
        </w:rPr>
      </w:pPr>
    </w:p>
    <w:p>
      <w:pPr>
        <w:ind w:right="160" w:firstLine="509"/>
        <w:spacing w:after="0" w:line="258" w:lineRule="auto"/>
        <w:rPr>
          <w:sz w:val="20"/>
          <w:szCs w:val="20"/>
          <w:color w:val="auto"/>
        </w:rPr>
      </w:pPr>
      <w:r>
        <w:rPr>
          <w:rFonts w:ascii="Times New Roman" w:cs="Times New Roman" w:eastAsia="Times New Roman" w:hAnsi="Times New Roman"/>
          <w:sz w:val="18"/>
          <w:szCs w:val="18"/>
          <w:color w:val="auto"/>
        </w:rPr>
        <w:t>In accordance with GAAP relating to the embedded conversion feature, the Company bifurcated the conversion feature associated with the 2025 Notes and recorded $96.6 million to additional paid-in capital for the conversion feature and the resulting debt discount was being amortized to interest expense. As there is no longer an equity component of the convertible debt under the new standard, the debt issuance cost and conversion option that was allocated to the equity component was derecognized through an adjustment to opening retained earnings upon adoption of the new standard on January 1, 2022.</w:t>
      </w:r>
    </w:p>
    <w:p>
      <w:pPr>
        <w:spacing w:after="0" w:line="1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net carrying amount of the liability component of the 2025 Notes is as follows:</w:t>
      </w:r>
    </w:p>
    <w:p>
      <w:pPr>
        <w:spacing w:after="0" w:line="220" w:lineRule="exact"/>
        <w:rPr>
          <w:sz w:val="20"/>
          <w:szCs w:val="20"/>
          <w:color w:val="auto"/>
        </w:rPr>
      </w:pPr>
    </w:p>
    <w:tbl>
      <w:tblPr>
        <w:tblLayout w:type="fixed"/>
        <w:tblInd w:w="520" w:type="dxa"/>
        <w:tblCellMar>
          <w:top w:w="0" w:type="dxa"/>
          <w:left w:w="0" w:type="dxa"/>
          <w:bottom w:w="0" w:type="dxa"/>
          <w:right w:w="0" w:type="dxa"/>
        </w:tblCellMar>
      </w:tblPr>
      <w:tr>
        <w:trPr>
          <w:trHeight w:val="161"/>
        </w:trPr>
        <w:tc>
          <w:tcPr>
            <w:tcW w:w="620" w:type="dxa"/>
            <w:vAlign w:val="bottom"/>
          </w:tcPr>
          <w:p>
            <w:pPr>
              <w:spacing w:after="0"/>
              <w:rPr>
                <w:sz w:val="13"/>
                <w:szCs w:val="13"/>
                <w:color w:val="auto"/>
              </w:rPr>
            </w:pPr>
          </w:p>
        </w:tc>
        <w:tc>
          <w:tcPr>
            <w:tcW w:w="45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680" w:type="dxa"/>
            <w:vAlign w:val="bottom"/>
            <w:gridSpan w:val="4"/>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160" w:type="dxa"/>
            <w:vAlign w:val="bottom"/>
          </w:tcPr>
          <w:p>
            <w:pPr>
              <w:spacing w:after="0"/>
              <w:rPr>
                <w:sz w:val="13"/>
                <w:szCs w:val="13"/>
                <w:color w:val="auto"/>
              </w:rPr>
            </w:pPr>
          </w:p>
        </w:tc>
        <w:tc>
          <w:tcPr>
            <w:tcW w:w="1720" w:type="dxa"/>
            <w:vAlign w:val="bottom"/>
            <w:gridSpan w:val="5"/>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As of December 31,</w:t>
            </w:r>
          </w:p>
        </w:tc>
      </w:tr>
      <w:tr>
        <w:trPr>
          <w:trHeight w:val="187"/>
        </w:trPr>
        <w:tc>
          <w:tcPr>
            <w:tcW w:w="620" w:type="dxa"/>
            <w:vAlign w:val="bottom"/>
          </w:tcPr>
          <w:p>
            <w:pPr>
              <w:spacing w:after="0"/>
              <w:rPr>
                <w:sz w:val="16"/>
                <w:szCs w:val="16"/>
                <w:color w:val="auto"/>
              </w:rPr>
            </w:pPr>
          </w:p>
        </w:tc>
        <w:tc>
          <w:tcPr>
            <w:tcW w:w="45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jc w:val="center"/>
              <w:ind w:right="448"/>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594"/>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6"/>
                <w:szCs w:val="16"/>
                <w:color w:val="auto"/>
              </w:rPr>
            </w:pPr>
          </w:p>
        </w:tc>
      </w:tr>
      <w:tr>
        <w:trPr>
          <w:trHeight w:val="169"/>
        </w:trPr>
        <w:tc>
          <w:tcPr>
            <w:tcW w:w="62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(in</w:t>
            </w:r>
          </w:p>
        </w:tc>
        <w:tc>
          <w:tcPr>
            <w:tcW w:w="74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thousands)</w:t>
            </w: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243"/>
        </w:trPr>
        <w:tc>
          <w:tcPr>
            <w:tcW w:w="620" w:type="dxa"/>
            <w:vAlign w:val="bottom"/>
          </w:tcPr>
          <w:p>
            <w:pPr>
              <w:spacing w:after="0"/>
              <w:rPr>
                <w:sz w:val="21"/>
                <w:szCs w:val="21"/>
                <w:color w:val="auto"/>
              </w:rPr>
            </w:pPr>
          </w:p>
        </w:tc>
        <w:tc>
          <w:tcPr>
            <w:tcW w:w="4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Principal</w:t>
            </w:r>
          </w:p>
        </w:tc>
        <w:tc>
          <w:tcPr>
            <w:tcW w:w="840" w:type="dxa"/>
            <w:vAlign w:val="bottom"/>
            <w:shd w:val="clear" w:color="auto" w:fill="CFF0FC"/>
          </w:tcPr>
          <w:p>
            <w:pPr>
              <w:spacing w:after="0"/>
              <w:rPr>
                <w:sz w:val="21"/>
                <w:szCs w:val="21"/>
                <w:color w:val="auto"/>
              </w:rPr>
            </w:pPr>
          </w:p>
        </w:tc>
        <w:tc>
          <w:tcPr>
            <w:tcW w:w="500" w:type="dxa"/>
            <w:vAlign w:val="bottom"/>
            <w:shd w:val="clear" w:color="auto" w:fill="CFF0FC"/>
          </w:tcPr>
          <w:p>
            <w:pPr>
              <w:jc w:val="right"/>
              <w:ind w:right="313"/>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459,076</w:t>
            </w:r>
          </w:p>
        </w:tc>
        <w:tc>
          <w:tcPr>
            <w:tcW w:w="80" w:type="dxa"/>
            <w:vAlign w:val="bottom"/>
            <w:shd w:val="clear" w:color="auto" w:fill="CFF0FC"/>
          </w:tcPr>
          <w:p>
            <w:pPr>
              <w:spacing w:after="0"/>
              <w:rPr>
                <w:sz w:val="21"/>
                <w:szCs w:val="21"/>
                <w:color w:val="auto"/>
              </w:rPr>
            </w:pPr>
          </w:p>
        </w:tc>
        <w:tc>
          <w:tcPr>
            <w:tcW w:w="440" w:type="dxa"/>
            <w:vAlign w:val="bottom"/>
            <w:gridSpan w:val="2"/>
            <w:shd w:val="clear" w:color="auto" w:fill="CFF0FC"/>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459,083</w:t>
            </w:r>
          </w:p>
        </w:tc>
        <w:tc>
          <w:tcPr>
            <w:tcW w:w="80" w:type="dxa"/>
            <w:vAlign w:val="bottom"/>
            <w:shd w:val="clear" w:color="auto" w:fill="CFF0FC"/>
          </w:tcPr>
          <w:p>
            <w:pPr>
              <w:spacing w:after="0"/>
              <w:rPr>
                <w:sz w:val="21"/>
                <w:szCs w:val="21"/>
                <w:color w:val="auto"/>
              </w:rPr>
            </w:pPr>
          </w:p>
        </w:tc>
      </w:tr>
      <w:tr>
        <w:trPr>
          <w:trHeight w:val="243"/>
        </w:trPr>
        <w:tc>
          <w:tcPr>
            <w:tcW w:w="620" w:type="dxa"/>
            <w:vAlign w:val="bottom"/>
          </w:tcPr>
          <w:p>
            <w:pPr>
              <w:spacing w:after="0"/>
              <w:rPr>
                <w:sz w:val="21"/>
                <w:szCs w:val="21"/>
                <w:color w:val="auto"/>
              </w:rPr>
            </w:pPr>
          </w:p>
        </w:tc>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Unamortized issuance costs</w:t>
            </w:r>
          </w:p>
        </w:tc>
        <w:tc>
          <w:tcPr>
            <w:tcW w:w="8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(2,870 )</w:t>
            </w:r>
          </w:p>
        </w:tc>
        <w:tc>
          <w:tcPr>
            <w:tcW w:w="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(4,856 )</w:t>
            </w:r>
          </w:p>
        </w:tc>
      </w:tr>
      <w:tr>
        <w:trPr>
          <w:trHeight w:val="276"/>
        </w:trPr>
        <w:tc>
          <w:tcPr>
            <w:tcW w:w="620" w:type="dxa"/>
            <w:vAlign w:val="bottom"/>
          </w:tcPr>
          <w:p>
            <w:pPr>
              <w:spacing w:after="0"/>
              <w:rPr>
                <w:sz w:val="24"/>
                <w:szCs w:val="24"/>
                <w:color w:val="auto"/>
              </w:rPr>
            </w:pPr>
          </w:p>
        </w:tc>
        <w:tc>
          <w:tcPr>
            <w:tcW w:w="4580" w:type="dxa"/>
            <w:vAlign w:val="bottom"/>
            <w:tcBorders>
              <w:bottom w:val="single" w:sz="8" w:color="CFF0FC"/>
            </w:tcBorders>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Net carrying amount</w:t>
            </w:r>
          </w:p>
        </w:tc>
        <w:tc>
          <w:tcPr>
            <w:tcW w:w="840" w:type="dxa"/>
            <w:vAlign w:val="bottom"/>
            <w:tcBorders>
              <w:bottom w:val="single" w:sz="8" w:color="CFF0FC"/>
            </w:tcBorders>
            <w:shd w:val="clear" w:color="auto" w:fill="CFF0FC"/>
          </w:tcPr>
          <w:p>
            <w:pPr>
              <w:spacing w:after="0"/>
              <w:rPr>
                <w:sz w:val="24"/>
                <w:szCs w:val="24"/>
                <w:color w:val="auto"/>
              </w:rPr>
            </w:pPr>
          </w:p>
        </w:tc>
        <w:tc>
          <w:tcPr>
            <w:tcW w:w="500" w:type="dxa"/>
            <w:vAlign w:val="bottom"/>
            <w:tcBorders>
              <w:top w:val="single" w:sz="8" w:color="auto"/>
              <w:bottom w:val="single" w:sz="8" w:color="auto"/>
            </w:tcBorders>
            <w:shd w:val="clear" w:color="auto" w:fill="CFF0FC"/>
          </w:tcPr>
          <w:p>
            <w:pPr>
              <w:jc w:val="right"/>
              <w:ind w:right="313"/>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456,206</w:t>
            </w:r>
          </w:p>
        </w:tc>
        <w:tc>
          <w:tcPr>
            <w:tcW w:w="8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top w:val="single" w:sz="8" w:color="auto"/>
              <w:bottom w:val="single" w:sz="8" w:color="auto"/>
            </w:tcBorders>
            <w:shd w:val="clear" w:color="auto" w:fill="CFF0FC"/>
          </w:tcPr>
          <w:p>
            <w:pPr>
              <w:jc w:val="right"/>
              <w:ind w:right="96"/>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top w:val="single" w:sz="8" w:color="auto"/>
              <w:bottom w:val="single" w:sz="8" w:color="auto"/>
            </w:tcBorders>
            <w:shd w:val="clear" w:color="auto" w:fill="CFF0FC"/>
          </w:tcPr>
          <w:p>
            <w:pPr>
              <w:spacing w:after="0"/>
              <w:rPr>
                <w:sz w:val="24"/>
                <w:szCs w:val="24"/>
                <w:color w:val="auto"/>
              </w:rPr>
            </w:pPr>
          </w:p>
        </w:tc>
        <w:tc>
          <w:tcPr>
            <w:tcW w:w="120" w:type="dxa"/>
            <w:vAlign w:val="bottom"/>
            <w:tcBorders>
              <w:top w:val="single" w:sz="8" w:color="auto"/>
              <w:bottom w:val="single" w:sz="8" w:color="auto"/>
            </w:tcBorders>
            <w:shd w:val="clear" w:color="auto" w:fill="CFF0FC"/>
          </w:tcPr>
          <w:p>
            <w:pPr>
              <w:spacing w:after="0"/>
              <w:rPr>
                <w:sz w:val="24"/>
                <w:szCs w:val="24"/>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454,227</w:t>
            </w:r>
          </w:p>
        </w:tc>
        <w:tc>
          <w:tcPr>
            <w:tcW w:w="80" w:type="dxa"/>
            <w:vAlign w:val="bottom"/>
            <w:tcBorders>
              <w:bottom w:val="single" w:sz="8" w:color="CFF0FC"/>
            </w:tcBorders>
            <w:shd w:val="clear" w:color="auto" w:fill="CFF0FC"/>
          </w:tcPr>
          <w:p>
            <w:pPr>
              <w:spacing w:after="0"/>
              <w:rPr>
                <w:sz w:val="24"/>
                <w:szCs w:val="24"/>
                <w:color w:val="auto"/>
              </w:rPr>
            </w:pPr>
          </w:p>
        </w:tc>
      </w:tr>
      <w:tr>
        <w:trPr>
          <w:trHeight w:val="480"/>
        </w:trPr>
        <w:tc>
          <w:tcPr>
            <w:tcW w:w="5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expense related to the 2025 Notes is as follows:</w:t>
            </w:r>
          </w:p>
        </w:tc>
        <w:tc>
          <w:tcPr>
            <w:tcW w:w="8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18"/>
        </w:trPr>
        <w:tc>
          <w:tcPr>
            <w:tcW w:w="62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gridSpan w:val="6"/>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169"/>
        </w:trPr>
        <w:tc>
          <w:tcPr>
            <w:tcW w:w="62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0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4"/>
                <w:szCs w:val="14"/>
                <w:color w:val="auto"/>
              </w:rPr>
            </w:pPr>
          </w:p>
        </w:tc>
      </w:tr>
      <w:tr>
        <w:trPr>
          <w:trHeight w:val="169"/>
        </w:trPr>
        <w:tc>
          <w:tcPr>
            <w:tcW w:w="620" w:type="dxa"/>
            <w:vAlign w:val="bottom"/>
          </w:tcPr>
          <w:p>
            <w:pPr>
              <w:spacing w:after="0"/>
              <w:rPr>
                <w:sz w:val="14"/>
                <w:szCs w:val="14"/>
                <w:color w:val="auto"/>
              </w:rPr>
            </w:pPr>
          </w:p>
        </w:tc>
        <w:tc>
          <w:tcPr>
            <w:tcW w:w="458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580" w:type="dxa"/>
            <w:vAlign w:val="bottom"/>
            <w:gridSpan w:val="5"/>
            <w:shd w:val="clear" w:color="auto" w:fill="CFF0FC"/>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r>
      <w:tr>
        <w:trPr>
          <w:trHeight w:val="239"/>
        </w:trPr>
        <w:tc>
          <w:tcPr>
            <w:tcW w:w="620" w:type="dxa"/>
            <w:vAlign w:val="bottom"/>
          </w:tcPr>
          <w:p>
            <w:pPr>
              <w:spacing w:after="0"/>
              <w:rPr>
                <w:sz w:val="20"/>
                <w:szCs w:val="20"/>
                <w:color w:val="auto"/>
              </w:rPr>
            </w:pPr>
          </w:p>
        </w:tc>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Contractual interest expense</w:t>
            </w:r>
          </w:p>
        </w:tc>
        <w:tc>
          <w:tcPr>
            <w:tcW w:w="840" w:type="dxa"/>
            <w:vAlign w:val="bottom"/>
          </w:tcPr>
          <w:p>
            <w:pPr>
              <w:jc w:val="right"/>
              <w:ind w:right="656"/>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1,722</w:t>
            </w:r>
          </w:p>
        </w:tc>
        <w:tc>
          <w:tcPr>
            <w:tcW w:w="1100" w:type="dxa"/>
            <w:vAlign w:val="bottom"/>
            <w:gridSpan w:val="2"/>
          </w:tcPr>
          <w:p>
            <w:pPr>
              <w:jc w:val="center"/>
              <w:ind w:right="428"/>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tcPr>
          <w:p>
            <w:pPr>
              <w:spacing w:after="0"/>
              <w:rPr>
                <w:sz w:val="20"/>
                <w:szCs w:val="20"/>
                <w:color w:val="auto"/>
              </w:rPr>
            </w:pP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8"/>
              </w:rPr>
              <w:t>1,722</w:t>
            </w:r>
          </w:p>
        </w:tc>
        <w:tc>
          <w:tcPr>
            <w:tcW w:w="2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1,725</w:t>
            </w:r>
          </w:p>
        </w:tc>
        <w:tc>
          <w:tcPr>
            <w:tcW w:w="80" w:type="dxa"/>
            <w:vAlign w:val="bottom"/>
          </w:tcPr>
          <w:p>
            <w:pPr>
              <w:spacing w:after="0"/>
              <w:rPr>
                <w:sz w:val="20"/>
                <w:szCs w:val="20"/>
                <w:color w:val="auto"/>
              </w:rPr>
            </w:pPr>
          </w:p>
        </w:tc>
      </w:tr>
      <w:tr>
        <w:trPr>
          <w:trHeight w:val="247"/>
        </w:trPr>
        <w:tc>
          <w:tcPr>
            <w:tcW w:w="620" w:type="dxa"/>
            <w:vAlign w:val="bottom"/>
          </w:tcPr>
          <w:p>
            <w:pPr>
              <w:spacing w:after="0"/>
              <w:rPr>
                <w:sz w:val="21"/>
                <w:szCs w:val="21"/>
                <w:color w:val="auto"/>
              </w:rPr>
            </w:pPr>
          </w:p>
        </w:tc>
        <w:tc>
          <w:tcPr>
            <w:tcW w:w="4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Amortization of debt discount</w:t>
            </w:r>
          </w:p>
        </w:tc>
        <w:tc>
          <w:tcPr>
            <w:tcW w:w="840" w:type="dxa"/>
            <w:vAlign w:val="bottom"/>
            <w:shd w:val="clear" w:color="auto" w:fill="CFF0FC"/>
          </w:tcPr>
          <w:p>
            <w:pPr>
              <w:spacing w:after="0"/>
              <w:rPr>
                <w:sz w:val="21"/>
                <w:szCs w:val="21"/>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5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18,171</w:t>
            </w:r>
          </w:p>
        </w:tc>
        <w:tc>
          <w:tcPr>
            <w:tcW w:w="80" w:type="dxa"/>
            <w:vAlign w:val="bottom"/>
            <w:shd w:val="clear" w:color="auto" w:fill="CFF0FC"/>
          </w:tcPr>
          <w:p>
            <w:pPr>
              <w:spacing w:after="0"/>
              <w:rPr>
                <w:sz w:val="21"/>
                <w:szCs w:val="21"/>
                <w:color w:val="auto"/>
              </w:rPr>
            </w:pPr>
          </w:p>
        </w:tc>
      </w:tr>
      <w:tr>
        <w:trPr>
          <w:trHeight w:val="243"/>
        </w:trPr>
        <w:tc>
          <w:tcPr>
            <w:tcW w:w="620" w:type="dxa"/>
            <w:vAlign w:val="bottom"/>
          </w:tcPr>
          <w:p>
            <w:pPr>
              <w:spacing w:after="0"/>
              <w:rPr>
                <w:sz w:val="21"/>
                <w:szCs w:val="21"/>
                <w:color w:val="auto"/>
              </w:rPr>
            </w:pPr>
          </w:p>
        </w:tc>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issuance costs</w:t>
            </w:r>
          </w:p>
        </w:tc>
        <w:tc>
          <w:tcPr>
            <w:tcW w:w="84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1,986</w:t>
            </w:r>
          </w:p>
        </w:tc>
        <w:tc>
          <w:tcPr>
            <w:tcW w:w="260" w:type="dxa"/>
            <w:vAlign w:val="bottom"/>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98"/>
              </w:rPr>
              <w:t>1,969</w:t>
            </w:r>
          </w:p>
        </w:tc>
        <w:tc>
          <w:tcPr>
            <w:tcW w:w="2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1,428</w:t>
            </w:r>
          </w:p>
        </w:tc>
        <w:tc>
          <w:tcPr>
            <w:tcW w:w="80" w:type="dxa"/>
            <w:vAlign w:val="bottom"/>
          </w:tcPr>
          <w:p>
            <w:pPr>
              <w:spacing w:after="0"/>
              <w:rPr>
                <w:sz w:val="21"/>
                <w:szCs w:val="21"/>
                <w:color w:val="auto"/>
              </w:rPr>
            </w:pPr>
          </w:p>
        </w:tc>
      </w:tr>
      <w:tr>
        <w:trPr>
          <w:trHeight w:val="256"/>
        </w:trPr>
        <w:tc>
          <w:tcPr>
            <w:tcW w:w="620" w:type="dxa"/>
            <w:vAlign w:val="bottom"/>
          </w:tcPr>
          <w:p>
            <w:pPr>
              <w:spacing w:after="0"/>
              <w:rPr>
                <w:sz w:val="22"/>
                <w:szCs w:val="22"/>
                <w:color w:val="auto"/>
              </w:rPr>
            </w:pPr>
          </w:p>
        </w:tc>
        <w:tc>
          <w:tcPr>
            <w:tcW w:w="458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Total interest expense</w:t>
            </w:r>
          </w:p>
        </w:tc>
        <w:tc>
          <w:tcPr>
            <w:tcW w:w="840" w:type="dxa"/>
            <w:vAlign w:val="bottom"/>
            <w:shd w:val="clear" w:color="auto" w:fill="CFF0FC"/>
          </w:tcPr>
          <w:p>
            <w:pPr>
              <w:jc w:val="right"/>
              <w:ind w:right="656"/>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3,708</w:t>
            </w:r>
          </w:p>
        </w:tc>
        <w:tc>
          <w:tcPr>
            <w:tcW w:w="1100" w:type="dxa"/>
            <w:vAlign w:val="bottom"/>
            <w:gridSpan w:val="2"/>
            <w:shd w:val="clear" w:color="auto" w:fill="CFF0FC"/>
          </w:tcPr>
          <w:p>
            <w:pPr>
              <w:jc w:val="center"/>
              <w:ind w:right="428"/>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shd w:val="clear" w:color="auto" w:fill="CFF0FC"/>
          </w:tcPr>
          <w:p>
            <w:pPr>
              <w:spacing w:after="0"/>
              <w:rPr>
                <w:sz w:val="22"/>
                <w:szCs w:val="22"/>
                <w:color w:val="auto"/>
              </w:rPr>
            </w:pPr>
          </w:p>
        </w:tc>
        <w:tc>
          <w:tcPr>
            <w:tcW w:w="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3,691</w:t>
            </w:r>
          </w:p>
        </w:tc>
        <w:tc>
          <w:tcPr>
            <w:tcW w:w="220" w:type="dxa"/>
            <w:vAlign w:val="bottom"/>
            <w:shd w:val="clear" w:color="auto" w:fill="CFF0FC"/>
          </w:tcPr>
          <w:p>
            <w:pPr>
              <w:spacing w:after="0"/>
              <w:rPr>
                <w:sz w:val="22"/>
                <w:szCs w:val="22"/>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21,324</w:t>
            </w:r>
          </w:p>
        </w:tc>
        <w:tc>
          <w:tcPr>
            <w:tcW w:w="80" w:type="dxa"/>
            <w:vAlign w:val="bottom"/>
            <w:shd w:val="clear" w:color="auto" w:fill="CFF0FC"/>
          </w:tcPr>
          <w:p>
            <w:pPr>
              <w:spacing w:after="0"/>
              <w:rPr>
                <w:sz w:val="22"/>
                <w:szCs w:val="22"/>
                <w:color w:val="auto"/>
              </w:rPr>
            </w:pPr>
          </w:p>
        </w:tc>
      </w:tr>
      <w:tr>
        <w:trPr>
          <w:trHeight w:val="20"/>
        </w:trPr>
        <w:tc>
          <w:tcPr>
            <w:tcW w:w="620" w:type="dxa"/>
            <w:vAlign w:val="bottom"/>
          </w:tcPr>
          <w:p>
            <w:pPr>
              <w:spacing w:after="0" w:line="20" w:lineRule="exact"/>
              <w:rPr>
                <w:sz w:val="1"/>
                <w:szCs w:val="1"/>
                <w:color w:val="auto"/>
              </w:rPr>
            </w:pPr>
          </w:p>
        </w:tc>
        <w:tc>
          <w:tcPr>
            <w:tcW w:w="4580" w:type="dxa"/>
            <w:vAlign w:val="bottom"/>
            <w:tcBorders>
              <w:top w:val="single" w:sz="8" w:color="CFF0FC"/>
            </w:tcBorders>
            <w:shd w:val="clear" w:color="auto" w:fill="CFF0FC"/>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5182870</wp:posOffset>
            </wp:positionH>
            <wp:positionV relativeFrom="paragraph">
              <wp:posOffset>-1499870</wp:posOffset>
            </wp:positionV>
            <wp:extent cx="60325" cy="889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-1482090</wp:posOffset>
            </wp:positionV>
            <wp:extent cx="60325" cy="825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-1499870</wp:posOffset>
            </wp:positionV>
            <wp:extent cx="51435" cy="889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-1482090</wp:posOffset>
            </wp:positionV>
            <wp:extent cx="51435" cy="825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-25400</wp:posOffset>
            </wp:positionV>
            <wp:extent cx="60325" cy="889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-8255</wp:posOffset>
            </wp:positionV>
            <wp:extent cx="60325" cy="889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-25400</wp:posOffset>
            </wp:positionV>
            <wp:extent cx="51435" cy="889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-8255</wp:posOffset>
            </wp:positionV>
            <wp:extent cx="51435" cy="889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-25400</wp:posOffset>
            </wp:positionV>
            <wp:extent cx="51435" cy="889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-8255</wp:posOffset>
            </wp:positionV>
            <wp:extent cx="51435" cy="889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178"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In connection with the offering of the 2025 Notes, the Company purchased capped call options (“Capped Call Options”) with respect to its common stock for $50.6 million. The Capped Call Options are purchased call options that give the Company the option</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88" w:name="page89"/>
    <w:bookmarkEnd w:id="88"/>
    <w:p>
      <w:pPr>
        <w:ind w:right="80"/>
        <w:spacing w:after="0" w:line="254" w:lineRule="auto"/>
        <w:rPr>
          <w:sz w:val="20"/>
          <w:szCs w:val="20"/>
          <w:color w:val="auto"/>
        </w:rPr>
      </w:pPr>
      <w:r>
        <w:rPr>
          <w:rFonts w:ascii="Times New Roman" w:cs="Times New Roman" w:eastAsia="Times New Roman" w:hAnsi="Times New Roman"/>
          <w:sz w:val="18"/>
          <w:szCs w:val="18"/>
          <w:color w:val="auto"/>
        </w:rPr>
        <w:t>to purchase up to approximately 1.6 million shares of its common stock for $282.52 per share, which corresponds to the approximate initial conversion price of the 2025 Notes. The Capped Call Options were purchased in order to offset potential dilution to the Company’s common stock upon any conversion of the 2025 Notes, subject to a cap of $426.44 per share, and expire concurrently with the 2025 Notes. The Capped Call Options automatically settle in components commencing on April 16, 2025 and are subject to either adjustment or termination upon the occurrence of specified extraordinary events affecting the Company, including a merger event; a tender offer; and a nationalization, insolvency or delisting involving the Company. In addition, the Capped Call Options are subject to certain specified additional disruption events that may give rise to a termination of the Capped Call Options, including changes in law, insolvency filings, and hedging disruptions. Since the transaction meets certain accounting criteria, the $50.6 million paid for the Capped Call Options is recorded in stockholders’ equity as a reduction in additional paid-in capital and are not accounted for as separate derivative financial instruments.</w:t>
      </w:r>
    </w:p>
    <w:p>
      <w:pPr>
        <w:spacing w:after="0" w:line="1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2022 Convertible Senior Notes, Convertible Note Hedge and Warrant</w:t>
      </w:r>
    </w:p>
    <w:p>
      <w:pPr>
        <w:spacing w:after="0" w:line="229" w:lineRule="exact"/>
        <w:rPr>
          <w:sz w:val="20"/>
          <w:szCs w:val="20"/>
          <w:color w:val="auto"/>
        </w:rPr>
      </w:pPr>
    </w:p>
    <w:p>
      <w:pPr>
        <w:ind w:right="240" w:firstLine="509"/>
        <w:spacing w:after="0" w:line="258" w:lineRule="auto"/>
        <w:rPr>
          <w:sz w:val="20"/>
          <w:szCs w:val="20"/>
          <w:color w:val="auto"/>
        </w:rPr>
      </w:pPr>
      <w:r>
        <w:rPr>
          <w:rFonts w:ascii="Times New Roman" w:cs="Times New Roman" w:eastAsia="Times New Roman" w:hAnsi="Times New Roman"/>
          <w:sz w:val="18"/>
          <w:szCs w:val="18"/>
          <w:color w:val="auto"/>
        </w:rPr>
        <w:t>In May 2017, the Company issued $350.0 million aggregate principal amount of 0.25% convertible senior notes due June 1, 2022 (the “2022 Notes”) in a private offering and an additional $50 million aggregate principal amount of such notes pursuant to the exercise in full of the over-allotment options of the initial purchasers of the 2022 Notes. The interest rate is fixed at 0.25% per annum and is payable semi-annually in arrears on June 1 and December 1 of each year. The total net proceeds from the debt offering, after deducting initial purchase discounts and debt issuance costs, were approximately $389.2 million.</w:t>
      </w:r>
    </w:p>
    <w:p>
      <w:pPr>
        <w:spacing w:after="0" w:line="183" w:lineRule="exact"/>
        <w:rPr>
          <w:sz w:val="20"/>
          <w:szCs w:val="20"/>
          <w:color w:val="auto"/>
        </w:rPr>
      </w:pPr>
    </w:p>
    <w:p>
      <w:pPr>
        <w:ind w:right="160" w:firstLine="509"/>
        <w:spacing w:after="0" w:line="258" w:lineRule="auto"/>
        <w:rPr>
          <w:sz w:val="20"/>
          <w:szCs w:val="20"/>
          <w:color w:val="auto"/>
        </w:rPr>
      </w:pPr>
      <w:r>
        <w:rPr>
          <w:rFonts w:ascii="Times New Roman" w:cs="Times New Roman" w:eastAsia="Times New Roman" w:hAnsi="Times New Roman"/>
          <w:sz w:val="18"/>
          <w:szCs w:val="18"/>
          <w:color w:val="auto"/>
        </w:rPr>
        <w:t>In connection with the offering of the 2022 Notes, the Company entered into convertible note hedge transactions (the “Convertible Note Hedges”) with certain counterparties in which the Company has the option to purchase (subject to adjustment for certain specified events) up to approximately 4.2 million shares of the Company’s common stock at a price of approximately $94.77 per share. In addition, the Company sold warrants (the “Warrants”) to certain bank counterparties whereby the holders of the Warrants have the option to initially purchase (subject to adjustment for certain specified events) a total of approximately 4.2 million shares of the Company’s common stock at a price of $115.8 per share.</w:t>
      </w:r>
    </w:p>
    <w:p>
      <w:pPr>
        <w:spacing w:after="0" w:line="183"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On June 1, 2022, upon the maturity of the 2022 Notes, the Company paid $19.4 million to satisfy the aggregate principal amount due and $60.4 million for the conversion premium in excess of the principal amount. The remaining Convertible Note Hedges were settled in cash and the Company received approximately $60.5 million in cash upon settlement. In addition, the remaining 1.4 million shares of Warrants were exercised in the fourth quarter of 2022, which the Company net share settled and issued 0.8 million shares of its common stock.</w:t>
      </w:r>
    </w:p>
    <w:p>
      <w:pPr>
        <w:spacing w:after="0" w:line="22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Interest expense related to the 2022 Notes is as follows:</w:t>
      </w:r>
    </w:p>
    <w:p>
      <w:pPr>
        <w:spacing w:after="0" w:line="232" w:lineRule="exact"/>
        <w:rPr>
          <w:sz w:val="20"/>
          <w:szCs w:val="20"/>
          <w:color w:val="auto"/>
        </w:rPr>
      </w:pPr>
    </w:p>
    <w:tbl>
      <w:tblPr>
        <w:tblLayout w:type="fixed"/>
        <w:tblInd w:w="1140" w:type="dxa"/>
        <w:tblCellMar>
          <w:top w:w="0" w:type="dxa"/>
          <w:left w:w="0" w:type="dxa"/>
          <w:bottom w:w="0" w:type="dxa"/>
          <w:right w:w="0" w:type="dxa"/>
        </w:tblCellMar>
      </w:tblPr>
      <w:tr>
        <w:trPr>
          <w:trHeight w:val="187"/>
        </w:trPr>
        <w:tc>
          <w:tcPr>
            <w:tcW w:w="456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169"/>
        </w:trPr>
        <w:tc>
          <w:tcPr>
            <w:tcW w:w="4560" w:type="dxa"/>
            <w:vAlign w:val="bottom"/>
          </w:tcPr>
          <w:p>
            <w:pPr>
              <w:spacing w:after="0"/>
              <w:rPr>
                <w:sz w:val="14"/>
                <w:szCs w:val="14"/>
                <w:color w:val="auto"/>
              </w:rPr>
            </w:pPr>
          </w:p>
        </w:tc>
        <w:tc>
          <w:tcPr>
            <w:tcW w:w="98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2023</w:t>
            </w:r>
          </w:p>
        </w:tc>
        <w:tc>
          <w:tcPr>
            <w:tcW w:w="3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4"/>
                <w:szCs w:val="14"/>
                <w:color w:val="auto"/>
              </w:rPr>
            </w:pPr>
          </w:p>
        </w:tc>
      </w:tr>
      <w:tr>
        <w:trPr>
          <w:trHeight w:val="169"/>
        </w:trPr>
        <w:tc>
          <w:tcPr>
            <w:tcW w:w="456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80" w:type="dxa"/>
            <w:vAlign w:val="bottom"/>
            <w:shd w:val="clear" w:color="auto" w:fill="CFF0FC"/>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r>
      <w:tr>
        <w:trPr>
          <w:trHeight w:val="239"/>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Contractual interest expense</w:t>
            </w:r>
          </w:p>
        </w:tc>
        <w:tc>
          <w:tcPr>
            <w:tcW w:w="980" w:type="dxa"/>
            <w:vAlign w:val="bottom"/>
          </w:tcPr>
          <w:p>
            <w:pPr>
              <w:jc w:val="right"/>
              <w:ind w:right="820"/>
              <w:spacing w:after="0"/>
              <w:rPr>
                <w:sz w:val="20"/>
                <w:szCs w:val="20"/>
                <w:color w:val="auto"/>
              </w:rPr>
            </w:pPr>
            <w:r>
              <w:rPr>
                <w:rFonts w:ascii="Times New Roman" w:cs="Times New Roman" w:eastAsia="Times New Roman" w:hAnsi="Times New Roman"/>
                <w:sz w:val="17"/>
                <w:szCs w:val="17"/>
                <w:color w:val="auto"/>
                <w:w w:val="70"/>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4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80" w:type="dxa"/>
            <w:vAlign w:val="bottom"/>
          </w:tcPr>
          <w:p>
            <w:pPr>
              <w:spacing w:after="0"/>
              <w:rPr>
                <w:sz w:val="20"/>
                <w:szCs w:val="20"/>
                <w:color w:val="auto"/>
              </w:rPr>
            </w:pPr>
          </w:p>
        </w:tc>
      </w:tr>
      <w:tr>
        <w:trPr>
          <w:trHeight w:val="247"/>
        </w:trPr>
        <w:tc>
          <w:tcPr>
            <w:tcW w:w="4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Amortization of debt discount</w:t>
            </w:r>
          </w:p>
        </w:tc>
        <w:tc>
          <w:tcPr>
            <w:tcW w:w="980" w:type="dxa"/>
            <w:vAlign w:val="bottom"/>
            <w:shd w:val="clear" w:color="auto" w:fill="CFF0FC"/>
          </w:tcPr>
          <w:p>
            <w:pPr>
              <w:spacing w:after="0"/>
              <w:rPr>
                <w:sz w:val="21"/>
                <w:szCs w:val="21"/>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3,636</w:t>
            </w:r>
          </w:p>
        </w:tc>
        <w:tc>
          <w:tcPr>
            <w:tcW w:w="80" w:type="dxa"/>
            <w:vAlign w:val="bottom"/>
            <w:shd w:val="clear" w:color="auto" w:fill="CFF0FC"/>
          </w:tcPr>
          <w:p>
            <w:pPr>
              <w:spacing w:after="0"/>
              <w:rPr>
                <w:sz w:val="21"/>
                <w:szCs w:val="21"/>
                <w:color w:val="auto"/>
              </w:rPr>
            </w:pPr>
          </w:p>
        </w:tc>
      </w:tr>
      <w:tr>
        <w:trPr>
          <w:trHeight w:val="243"/>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issuance costs</w:t>
            </w:r>
          </w:p>
        </w:tc>
        <w:tc>
          <w:tcPr>
            <w:tcW w:w="98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2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80" w:type="dxa"/>
            <w:vAlign w:val="bottom"/>
          </w:tcPr>
          <w:p>
            <w:pPr>
              <w:spacing w:after="0"/>
              <w:rPr>
                <w:sz w:val="21"/>
                <w:szCs w:val="21"/>
                <w:color w:val="auto"/>
              </w:rPr>
            </w:pPr>
          </w:p>
        </w:tc>
      </w:tr>
      <w:tr>
        <w:trPr>
          <w:trHeight w:val="276"/>
        </w:trPr>
        <w:tc>
          <w:tcPr>
            <w:tcW w:w="456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Total interest expense</w:t>
            </w:r>
          </w:p>
        </w:tc>
        <w:tc>
          <w:tcPr>
            <w:tcW w:w="980" w:type="dxa"/>
            <w:vAlign w:val="bottom"/>
            <w:tcBorders>
              <w:bottom w:val="single" w:sz="8" w:color="auto"/>
            </w:tcBorders>
            <w:shd w:val="clear" w:color="auto" w:fill="CFF0FC"/>
          </w:tcPr>
          <w:p>
            <w:pPr>
              <w:jc w:val="right"/>
              <w:ind w:right="820"/>
              <w:spacing w:after="0"/>
              <w:rPr>
                <w:sz w:val="20"/>
                <w:szCs w:val="20"/>
                <w:color w:val="auto"/>
              </w:rPr>
            </w:pPr>
            <w:r>
              <w:rPr>
                <w:rFonts w:ascii="Times New Roman" w:cs="Times New Roman" w:eastAsia="Times New Roman" w:hAnsi="Times New Roman"/>
                <w:sz w:val="17"/>
                <w:szCs w:val="17"/>
                <w:color w:val="auto"/>
                <w:w w:val="70"/>
              </w:rPr>
              <w:t>$</w:t>
            </w:r>
          </w:p>
        </w:tc>
        <w:tc>
          <w:tcPr>
            <w:tcW w:w="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20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4,062</w:t>
            </w:r>
          </w:p>
        </w:tc>
        <w:tc>
          <w:tcPr>
            <w:tcW w:w="8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4479925</wp:posOffset>
            </wp:positionH>
            <wp:positionV relativeFrom="paragraph">
              <wp:posOffset>-24765</wp:posOffset>
            </wp:positionV>
            <wp:extent cx="59690" cy="825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-7620</wp:posOffset>
            </wp:positionV>
            <wp:extent cx="59690" cy="825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-24765</wp:posOffset>
            </wp:positionV>
            <wp:extent cx="51435" cy="825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-7620</wp:posOffset>
            </wp:positionV>
            <wp:extent cx="51435" cy="825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-24765</wp:posOffset>
            </wp:positionV>
            <wp:extent cx="51435" cy="825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-7620</wp:posOffset>
            </wp:positionV>
            <wp:extent cx="51435" cy="825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Segment Information and Geographic Data</w:t>
      </w:r>
    </w:p>
    <w:p>
      <w:pPr>
        <w:spacing w:after="0" w:line="121" w:lineRule="exact"/>
        <w:rPr>
          <w:sz w:val="20"/>
          <w:szCs w:val="20"/>
          <w:color w:val="auto"/>
        </w:rPr>
      </w:pPr>
    </w:p>
    <w:p>
      <w:pPr>
        <w:jc w:val="both"/>
        <w:ind w:right="60" w:firstLine="509"/>
        <w:spacing w:after="0" w:line="266" w:lineRule="auto"/>
        <w:rPr>
          <w:sz w:val="20"/>
          <w:szCs w:val="20"/>
          <w:color w:val="auto"/>
        </w:rPr>
      </w:pPr>
      <w:r>
        <w:rPr>
          <w:rFonts w:ascii="Times New Roman" w:cs="Times New Roman" w:eastAsia="Times New Roman" w:hAnsi="Times New Roman"/>
          <w:sz w:val="18"/>
          <w:szCs w:val="18"/>
          <w:color w:val="auto"/>
        </w:rPr>
        <w:t>As more fully described in the Company’s Summary of Significant Accounting Policies, the Company operates as one operating segment. Revenue and long-lived assets by geographic region, based on the physical location of the operations recording the revenue or the long-lived assets, respectively, are as follows:</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Revenues by geographical region:</w:t>
      </w:r>
    </w:p>
    <w:p>
      <w:pPr>
        <w:spacing w:after="0" w:line="286" w:lineRule="exact"/>
        <w:rPr>
          <w:sz w:val="20"/>
          <w:szCs w:val="20"/>
          <w:color w:val="auto"/>
        </w:rPr>
      </w:pPr>
    </w:p>
    <w:tbl>
      <w:tblPr>
        <w:tblLayout w:type="fixed"/>
        <w:tblInd w:w="860" w:type="dxa"/>
        <w:tblCellMar>
          <w:top w:w="0" w:type="dxa"/>
          <w:left w:w="0" w:type="dxa"/>
          <w:bottom w:w="0" w:type="dxa"/>
          <w:right w:w="0" w:type="dxa"/>
        </w:tblCellMar>
      </w:tblPr>
      <w:tr>
        <w:trPr>
          <w:trHeight w:val="187"/>
        </w:trPr>
        <w:tc>
          <w:tcPr>
            <w:tcW w:w="56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6"/>
          </w:tcPr>
          <w:p>
            <w:pPr>
              <w:jc w:val="center"/>
              <w:ind w:left="536"/>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23"/>
        </w:trPr>
        <w:tc>
          <w:tcPr>
            <w:tcW w:w="56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2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9"/>
                <w:szCs w:val="19"/>
                <w:color w:val="auto"/>
              </w:rPr>
            </w:pPr>
          </w:p>
        </w:tc>
      </w:tr>
      <w:tr>
        <w:trPr>
          <w:trHeight w:val="236"/>
        </w:trPr>
        <w:tc>
          <w:tcPr>
            <w:tcW w:w="5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jc w:val="center"/>
              <w:ind w:right="36"/>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5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Americas</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1,321,568</w:t>
            </w:r>
          </w:p>
        </w:tc>
        <w:tc>
          <w:tcPr>
            <w:tcW w:w="3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1,073,932</w:t>
            </w:r>
          </w:p>
        </w:tc>
        <w:tc>
          <w:tcPr>
            <w:tcW w:w="4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797,986</w:t>
            </w:r>
          </w:p>
        </w:tc>
        <w:tc>
          <w:tcPr>
            <w:tcW w:w="100" w:type="dxa"/>
            <w:vAlign w:val="bottom"/>
            <w:shd w:val="clear" w:color="auto" w:fill="CFF0FC"/>
          </w:tcPr>
          <w:p>
            <w:pPr>
              <w:spacing w:after="0"/>
              <w:rPr>
                <w:sz w:val="21"/>
                <w:szCs w:val="21"/>
                <w:color w:val="auto"/>
              </w:rPr>
            </w:pPr>
          </w:p>
        </w:tc>
      </w:tr>
      <w:tr>
        <w:trPr>
          <w:trHeight w:val="239"/>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Europe</w:t>
            </w: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668,263</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507,507</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390,379</w:t>
            </w:r>
          </w:p>
        </w:tc>
        <w:tc>
          <w:tcPr>
            <w:tcW w:w="100" w:type="dxa"/>
            <w:vAlign w:val="bottom"/>
          </w:tcPr>
          <w:p>
            <w:pPr>
              <w:spacing w:after="0"/>
              <w:rPr>
                <w:sz w:val="20"/>
                <w:szCs w:val="20"/>
                <w:color w:val="auto"/>
              </w:rPr>
            </w:pPr>
          </w:p>
        </w:tc>
      </w:tr>
      <w:tr>
        <w:trPr>
          <w:trHeight w:val="247"/>
        </w:trPr>
        <w:tc>
          <w:tcPr>
            <w:tcW w:w="56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Asia Pacific</w:t>
            </w:r>
          </w:p>
        </w:tc>
        <w:tc>
          <w:tcPr>
            <w:tcW w:w="24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180,399</w:t>
            </w:r>
          </w:p>
        </w:tc>
        <w:tc>
          <w:tcPr>
            <w:tcW w:w="22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149,530</w:t>
            </w:r>
          </w:p>
        </w:tc>
        <w:tc>
          <w:tcPr>
            <w:tcW w:w="20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112,293</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5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2,170,230</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1,730,969</w:t>
            </w: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1,300,658</w:t>
            </w:r>
          </w:p>
        </w:tc>
        <w:tc>
          <w:tcPr>
            <w:tcW w:w="100" w:type="dxa"/>
            <w:vAlign w:val="bottom"/>
          </w:tcPr>
          <w:p>
            <w:pPr>
              <w:spacing w:after="0"/>
              <w:rPr>
                <w:sz w:val="20"/>
                <w:szCs w:val="20"/>
                <w:color w:val="auto"/>
              </w:rPr>
            </w:pPr>
          </w:p>
        </w:tc>
      </w:tr>
      <w:tr>
        <w:trPr>
          <w:trHeight w:val="20"/>
        </w:trPr>
        <w:tc>
          <w:tcPr>
            <w:tcW w:w="56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4848225</wp:posOffset>
            </wp:positionH>
            <wp:positionV relativeFrom="paragraph">
              <wp:posOffset>-187960</wp:posOffset>
            </wp:positionV>
            <wp:extent cx="60325" cy="889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-187960</wp:posOffset>
            </wp:positionV>
            <wp:extent cx="60325" cy="889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6545580</wp:posOffset>
            </wp:positionH>
            <wp:positionV relativeFrom="paragraph">
              <wp:posOffset>-187960</wp:posOffset>
            </wp:positionV>
            <wp:extent cx="60325" cy="889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544830</wp:posOffset>
            </wp:positionH>
            <wp:positionV relativeFrom="paragraph">
              <wp:posOffset>0</wp:posOffset>
            </wp:positionV>
            <wp:extent cx="6060440" cy="29146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6060440" cy="29146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1"/>
        </w:trPr>
        <w:tc>
          <w:tcPr>
            <w:tcW w:w="492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Percentage of revenues generated outside of the</w:t>
            </w:r>
          </w:p>
        </w:tc>
        <w:tc>
          <w:tcPr>
            <w:tcW w:w="2940" w:type="dxa"/>
            <w:vAlign w:val="bottom"/>
            <w:gridSpan w:val="3"/>
            <w:vMerge w:val="restart"/>
          </w:tcPr>
          <w:p>
            <w:pPr>
              <w:jc w:val="right"/>
              <w:ind w:right="60"/>
              <w:spacing w:after="0"/>
              <w:rPr>
                <w:sz w:val="20"/>
                <w:szCs w:val="20"/>
                <w:color w:val="auto"/>
              </w:rPr>
            </w:pPr>
            <w:r>
              <w:rPr>
                <w:rFonts w:ascii="Times New Roman" w:cs="Times New Roman" w:eastAsia="Times New Roman" w:hAnsi="Times New Roman"/>
                <w:sz w:val="18"/>
                <w:szCs w:val="18"/>
                <w:color w:val="auto"/>
              </w:rPr>
              <w:t>39 %</w:t>
            </w:r>
          </w:p>
        </w:tc>
        <w:tc>
          <w:tcPr>
            <w:tcW w:w="132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8"/>
                <w:szCs w:val="18"/>
                <w:color w:val="auto"/>
              </w:rPr>
              <w:t>38 %</w:t>
            </w:r>
          </w:p>
        </w:tc>
        <w:tc>
          <w:tcPr>
            <w:tcW w:w="2060" w:type="dxa"/>
            <w:vAlign w:val="bottom"/>
            <w:gridSpan w:val="2"/>
            <w:vMerge w:val="restart"/>
          </w:tcPr>
          <w:p>
            <w:pPr>
              <w:jc w:val="right"/>
              <w:ind w:right="780"/>
              <w:spacing w:after="0"/>
              <w:rPr>
                <w:sz w:val="20"/>
                <w:szCs w:val="20"/>
                <w:color w:val="auto"/>
              </w:rPr>
            </w:pPr>
            <w:r>
              <w:rPr>
                <w:rFonts w:ascii="Times New Roman" w:cs="Times New Roman" w:eastAsia="Times New Roman" w:hAnsi="Times New Roman"/>
                <w:sz w:val="18"/>
                <w:szCs w:val="18"/>
                <w:color w:val="auto"/>
              </w:rPr>
              <w:t>39 %</w:t>
            </w:r>
          </w:p>
        </w:tc>
        <w:tc>
          <w:tcPr>
            <w:tcW w:w="0" w:type="dxa"/>
            <w:vAlign w:val="bottom"/>
          </w:tcPr>
          <w:p>
            <w:pPr>
              <w:spacing w:after="0"/>
              <w:rPr>
                <w:sz w:val="1"/>
                <w:szCs w:val="1"/>
                <w:color w:val="auto"/>
              </w:rPr>
            </w:pPr>
          </w:p>
        </w:tc>
      </w:tr>
      <w:tr>
        <w:trPr>
          <w:trHeight w:val="207"/>
        </w:trPr>
        <w:tc>
          <w:tcPr>
            <w:tcW w:w="492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Americas</w:t>
            </w:r>
          </w:p>
        </w:tc>
        <w:tc>
          <w:tcPr>
            <w:tcW w:w="2940" w:type="dxa"/>
            <w:vAlign w:val="bottom"/>
            <w:gridSpan w:val="3"/>
            <w:vMerge w:val="continue"/>
          </w:tcPr>
          <w:p>
            <w:pPr>
              <w:spacing w:after="0"/>
              <w:rPr>
                <w:sz w:val="18"/>
                <w:szCs w:val="18"/>
                <w:color w:val="auto"/>
              </w:rPr>
            </w:pPr>
          </w:p>
        </w:tc>
        <w:tc>
          <w:tcPr>
            <w:tcW w:w="1320" w:type="dxa"/>
            <w:vAlign w:val="bottom"/>
            <w:gridSpan w:val="2"/>
            <w:vMerge w:val="continue"/>
          </w:tcPr>
          <w:p>
            <w:pPr>
              <w:spacing w:after="0"/>
              <w:rPr>
                <w:sz w:val="18"/>
                <w:szCs w:val="18"/>
                <w:color w:val="auto"/>
              </w:rPr>
            </w:pPr>
          </w:p>
        </w:tc>
        <w:tc>
          <w:tcPr>
            <w:tcW w:w="20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1600" w:type="dxa"/>
            <w:vAlign w:val="bottom"/>
            <w:vMerge w:val="restart"/>
          </w:tcPr>
          <w:p>
            <w:pPr>
              <w:jc w:val="right"/>
              <w:ind w:right="710"/>
              <w:spacing w:after="0"/>
              <w:rPr>
                <w:sz w:val="20"/>
                <w:szCs w:val="20"/>
                <w:color w:val="auto"/>
              </w:rPr>
            </w:pPr>
            <w:r>
              <w:rPr>
                <w:rFonts w:ascii="Times New Roman" w:cs="Times New Roman" w:eastAsia="Times New Roman" w:hAnsi="Times New Roman"/>
                <w:sz w:val="18"/>
                <w:szCs w:val="18"/>
                <w:color w:val="auto"/>
              </w:rPr>
              <w:t>89</w:t>
            </w: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4920" w:type="dxa"/>
            <w:vAlign w:val="bottom"/>
          </w:tcPr>
          <w:p>
            <w:pPr>
              <w:spacing w:after="0"/>
              <w:rPr>
                <w:sz w:val="24"/>
                <w:szCs w:val="24"/>
                <w:color w:val="auto"/>
              </w:rPr>
            </w:pPr>
          </w:p>
        </w:tc>
        <w:tc>
          <w:tcPr>
            <w:tcW w:w="1600" w:type="dxa"/>
            <w:vAlign w:val="bottom"/>
            <w:vMerge w:val="continue"/>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36"/>
        </w:trPr>
        <w:tc>
          <w:tcPr>
            <w:tcW w:w="492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89" w:name="page90"/>
    <w:bookmarkEnd w:id="89"/>
    <w:p>
      <w:pPr>
        <w:ind w:firstLine="509"/>
        <w:spacing w:after="0" w:line="282" w:lineRule="auto"/>
        <w:rPr>
          <w:sz w:val="20"/>
          <w:szCs w:val="20"/>
          <w:color w:val="auto"/>
        </w:rPr>
      </w:pPr>
      <w:r>
        <w:rPr>
          <w:rFonts w:ascii="Times New Roman" w:cs="Times New Roman" w:eastAsia="Times New Roman" w:hAnsi="Times New Roman"/>
          <w:sz w:val="18"/>
          <w:szCs w:val="18"/>
          <w:color w:val="auto"/>
        </w:rPr>
        <w:t>Revenue derived from customers outside the United States (international) was approximately 47% of total revenue in 2023 and 46% of total revenue in 2022 and 2021.</w:t>
      </w:r>
    </w:p>
    <w:p>
      <w:pPr>
        <w:spacing w:after="0" w:line="20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Total long-lived assets by geographical region:</w:t>
      </w:r>
    </w:p>
    <w:p>
      <w:pPr>
        <w:spacing w:after="0" w:line="220"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5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74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140" w:type="dxa"/>
            <w:vAlign w:val="bottom"/>
          </w:tcPr>
          <w:p>
            <w:pPr>
              <w:spacing w:after="0"/>
              <w:rPr>
                <w:sz w:val="13"/>
                <w:szCs w:val="13"/>
                <w:color w:val="auto"/>
              </w:rPr>
            </w:pPr>
          </w:p>
        </w:tc>
        <w:tc>
          <w:tcPr>
            <w:tcW w:w="1540" w:type="dxa"/>
            <w:vAlign w:val="bottom"/>
            <w:gridSpan w:val="3"/>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0" w:type="dxa"/>
            <w:vAlign w:val="bottom"/>
          </w:tcPr>
          <w:p>
            <w:pPr>
              <w:spacing w:after="0"/>
              <w:rPr>
                <w:sz w:val="1"/>
                <w:szCs w:val="1"/>
                <w:color w:val="auto"/>
              </w:rPr>
            </w:pPr>
          </w:p>
        </w:tc>
      </w:tr>
      <w:tr>
        <w:trPr>
          <w:trHeight w:val="187"/>
        </w:trPr>
        <w:tc>
          <w:tcPr>
            <w:tcW w:w="54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ind w:right="637"/>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20" w:type="dxa"/>
            <w:vAlign w:val="bottom"/>
            <w:gridSpan w:val="6"/>
          </w:tcPr>
          <w:p>
            <w:pPr>
              <w:jc w:val="right"/>
              <w:ind w:right="14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43"/>
        </w:trPr>
        <w:tc>
          <w:tcPr>
            <w:tcW w:w="5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Americas</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235,141</w:t>
            </w:r>
          </w:p>
        </w:tc>
        <w:tc>
          <w:tcPr>
            <w:tcW w:w="200" w:type="dxa"/>
            <w:vAlign w:val="bottom"/>
            <w:shd w:val="clear" w:color="auto" w:fill="CFF0FC"/>
          </w:tcPr>
          <w:p>
            <w:pPr>
              <w:spacing w:after="0"/>
              <w:rPr>
                <w:sz w:val="21"/>
                <w:szCs w:val="21"/>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290,977</w:t>
            </w:r>
          </w:p>
        </w:tc>
        <w:tc>
          <w:tcPr>
            <w:tcW w:w="80" w:type="dxa"/>
            <w:vAlign w:val="bottom"/>
            <w:shd w:val="clear" w:color="auto" w:fill="CFF0FC"/>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Europe</w:t>
            </w:r>
          </w:p>
        </w:tc>
        <w:tc>
          <w:tcPr>
            <w:tcW w:w="18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112,176</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123,311</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4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Asia Pacific</w:t>
            </w:r>
          </w:p>
        </w:tc>
        <w:tc>
          <w:tcPr>
            <w:tcW w:w="180" w:type="dxa"/>
            <w:vAlign w:val="bottom"/>
            <w:tcBorders>
              <w:bottom w:val="single" w:sz="8" w:color="auto"/>
            </w:tcBorders>
            <w:shd w:val="clear" w:color="auto" w:fill="CFF0FC"/>
          </w:tcPr>
          <w:p>
            <w:pPr>
              <w:spacing w:after="0"/>
              <w:rPr>
                <w:sz w:val="21"/>
                <w:szCs w:val="21"/>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7,085</w:t>
            </w:r>
          </w:p>
        </w:tc>
        <w:tc>
          <w:tcPr>
            <w:tcW w:w="2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10,243</w:t>
            </w:r>
          </w:p>
        </w:tc>
        <w:tc>
          <w:tcPr>
            <w:tcW w:w="80" w:type="dxa"/>
            <w:vAlign w:val="bottom"/>
            <w:tcBorders>
              <w:bottom w:val="single" w:sz="8" w:color="CFF0FC"/>
            </w:tcBorders>
            <w:shd w:val="clear" w:color="auto" w:fill="CFF0FC"/>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4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long lived assets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354,402</w:t>
            </w:r>
          </w:p>
        </w:tc>
        <w:tc>
          <w:tcPr>
            <w:tcW w:w="20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424,531</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4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Percentage of long lived assets held outside of the</w:t>
            </w:r>
          </w:p>
        </w:tc>
        <w:tc>
          <w:tcPr>
            <w:tcW w:w="1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546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7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34 %</w:t>
            </w:r>
          </w:p>
        </w:tc>
        <w:tc>
          <w:tcPr>
            <w:tcW w:w="140" w:type="dxa"/>
            <w:vAlign w:val="bottom"/>
          </w:tcPr>
          <w:p>
            <w:pPr>
              <w:spacing w:after="0"/>
              <w:rPr>
                <w:sz w:val="16"/>
                <w:szCs w:val="16"/>
                <w:color w:val="auto"/>
              </w:rPr>
            </w:pPr>
          </w:p>
        </w:tc>
        <w:tc>
          <w:tcPr>
            <w:tcW w:w="1540" w:type="dxa"/>
            <w:vAlign w:val="bottom"/>
            <w:gridSpan w:val="3"/>
            <w:vMerge w:val="restart"/>
          </w:tcPr>
          <w:p>
            <w:pPr>
              <w:jc w:val="right"/>
              <w:spacing w:after="0"/>
              <w:rPr>
                <w:sz w:val="20"/>
                <w:szCs w:val="20"/>
                <w:color w:val="auto"/>
              </w:rPr>
            </w:pPr>
            <w:r>
              <w:rPr>
                <w:rFonts w:ascii="Times New Roman" w:cs="Times New Roman" w:eastAsia="Times New Roman" w:hAnsi="Times New Roman"/>
                <w:sz w:val="18"/>
                <w:szCs w:val="18"/>
                <w:color w:val="auto"/>
              </w:rPr>
              <w:t>31 %</w:t>
            </w:r>
          </w:p>
        </w:tc>
        <w:tc>
          <w:tcPr>
            <w:tcW w:w="0" w:type="dxa"/>
            <w:vAlign w:val="bottom"/>
          </w:tcPr>
          <w:p>
            <w:pPr>
              <w:spacing w:after="0"/>
              <w:rPr>
                <w:sz w:val="1"/>
                <w:szCs w:val="1"/>
                <w:color w:val="auto"/>
              </w:rPr>
            </w:pPr>
          </w:p>
        </w:tc>
      </w:tr>
      <w:tr>
        <w:trPr>
          <w:trHeight w:val="207"/>
        </w:trPr>
        <w:tc>
          <w:tcPr>
            <w:tcW w:w="54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Americas</w:t>
            </w:r>
          </w:p>
        </w:tc>
        <w:tc>
          <w:tcPr>
            <w:tcW w:w="180" w:type="dxa"/>
            <w:vAlign w:val="bottom"/>
          </w:tcPr>
          <w:p>
            <w:pPr>
              <w:spacing w:after="0"/>
              <w:rPr>
                <w:sz w:val="18"/>
                <w:szCs w:val="18"/>
                <w:color w:val="auto"/>
              </w:rPr>
            </w:pPr>
          </w:p>
        </w:tc>
        <w:tc>
          <w:tcPr>
            <w:tcW w:w="174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5285740</wp:posOffset>
            </wp:positionH>
            <wp:positionV relativeFrom="paragraph">
              <wp:posOffset>-479425</wp:posOffset>
            </wp:positionV>
            <wp:extent cx="60325" cy="825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-479425</wp:posOffset>
            </wp:positionV>
            <wp:extent cx="51435" cy="825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-290830</wp:posOffset>
            </wp:positionV>
            <wp:extent cx="5700395" cy="29146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5700395" cy="291465"/>
                    </a:xfrm>
                    <a:prstGeom prst="rect">
                      <a:avLst/>
                    </a:prstGeom>
                    <a:noFill/>
                  </pic:spPr>
                </pic:pic>
              </a:graphicData>
            </a:graphic>
          </wp:anchor>
        </w:drawing>
      </w:r>
    </w:p>
    <w:p>
      <w:pPr>
        <w:spacing w:after="0" w:line="201" w:lineRule="exact"/>
        <w:rPr>
          <w:sz w:val="20"/>
          <w:szCs w:val="20"/>
          <w:color w:val="auto"/>
        </w:rPr>
      </w:pPr>
    </w:p>
    <w:p>
      <w:pPr>
        <w:ind w:left="520" w:right="8400" w:hanging="512"/>
        <w:spacing w:after="0" w:line="483" w:lineRule="auto"/>
        <w:tabs>
          <w:tab w:leader="none" w:pos="271" w:val="left"/>
        </w:tabs>
        <w:numPr>
          <w:ilvl w:val="0"/>
          <w:numId w:val="2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Commitments and Contingencies </w:t>
      </w:r>
      <w:r>
        <w:rPr>
          <w:rFonts w:ascii="Times New Roman" w:cs="Times New Roman" w:eastAsia="Times New Roman" w:hAnsi="Times New Roman"/>
          <w:sz w:val="17"/>
          <w:szCs w:val="17"/>
          <w:b w:val="1"/>
          <w:bCs w:val="1"/>
          <w:i w:val="1"/>
          <w:iCs w:val="1"/>
          <w:color w:val="auto"/>
        </w:rPr>
        <w:t>Contractual Obligations</w:t>
      </w:r>
    </w:p>
    <w:p>
      <w:pPr>
        <w:ind w:right="300" w:firstLine="509"/>
        <w:spacing w:after="0" w:line="266" w:lineRule="auto"/>
        <w:rPr>
          <w:sz w:val="20"/>
          <w:szCs w:val="20"/>
          <w:color w:val="auto"/>
        </w:rPr>
      </w:pPr>
      <w:r>
        <w:rPr>
          <w:rFonts w:ascii="Times New Roman" w:cs="Times New Roman" w:eastAsia="Times New Roman" w:hAnsi="Times New Roman"/>
          <w:sz w:val="18"/>
          <w:szCs w:val="18"/>
          <w:color w:val="auto"/>
        </w:rPr>
        <w:t>The Company leases its office facilities under non-cancelable operating leases that expire at various dates through February 2035. Certain leases contain optional termination dates. The table below only includes payments up to the optional termination date. If the Company were to extend leases beyond the optional termination date the future commitments would increase by approximately $79.6 million.</w:t>
      </w:r>
    </w:p>
    <w:p>
      <w:pPr>
        <w:spacing w:after="0" w:line="149" w:lineRule="exact"/>
        <w:rPr>
          <w:sz w:val="20"/>
          <w:szCs w:val="20"/>
          <w:color w:val="auto"/>
        </w:rPr>
      </w:pPr>
    </w:p>
    <w:p>
      <w:pPr>
        <w:ind w:right="320" w:firstLine="509"/>
        <w:spacing w:after="0" w:line="282" w:lineRule="auto"/>
        <w:rPr>
          <w:sz w:val="20"/>
          <w:szCs w:val="20"/>
          <w:color w:val="auto"/>
        </w:rPr>
      </w:pPr>
      <w:r>
        <w:rPr>
          <w:rFonts w:ascii="Times New Roman" w:cs="Times New Roman" w:eastAsia="Times New Roman" w:hAnsi="Times New Roman"/>
          <w:sz w:val="18"/>
          <w:szCs w:val="18"/>
          <w:color w:val="auto"/>
        </w:rPr>
        <w:t>Included in the table below are operating lease commitments for leases that have not yet commenced of approximately $1.5 million for facilities with lease terms of approximately one to two years.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Future minimum payments under all operating lease agreements as of December 31, 2023, are as follows:</w:t>
      </w:r>
    </w:p>
    <w:p>
      <w:pPr>
        <w:spacing w:after="0" w:line="232" w:lineRule="exact"/>
        <w:rPr>
          <w:sz w:val="20"/>
          <w:szCs w:val="20"/>
          <w:color w:val="auto"/>
        </w:rPr>
      </w:pPr>
    </w:p>
    <w:tbl>
      <w:tblPr>
        <w:tblLayout w:type="fixed"/>
        <w:tblInd w:w="1700" w:type="dxa"/>
        <w:tblCellMar>
          <w:top w:w="0" w:type="dxa"/>
          <w:left w:w="0" w:type="dxa"/>
          <w:bottom w:w="0" w:type="dxa"/>
          <w:right w:w="0" w:type="dxa"/>
        </w:tblCellMar>
      </w:tblPr>
      <w:tr>
        <w:trPr>
          <w:trHeight w:val="182"/>
        </w:trPr>
        <w:tc>
          <w:tcPr>
            <w:tcW w:w="64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41"/>
        </w:trPr>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2024</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54,571</w:t>
            </w:r>
          </w:p>
        </w:tc>
        <w:tc>
          <w:tcPr>
            <w:tcW w:w="80" w:type="dxa"/>
            <w:vAlign w:val="bottom"/>
          </w:tcPr>
          <w:p>
            <w:pPr>
              <w:spacing w:after="0"/>
              <w:rPr>
                <w:sz w:val="20"/>
                <w:szCs w:val="20"/>
                <w:color w:val="auto"/>
              </w:rPr>
            </w:pPr>
          </w:p>
        </w:tc>
      </w:tr>
      <w:tr>
        <w:trPr>
          <w:trHeight w:val="250"/>
        </w:trPr>
        <w:tc>
          <w:tcPr>
            <w:tcW w:w="6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2025</w:t>
            </w:r>
          </w:p>
        </w:tc>
        <w:tc>
          <w:tcPr>
            <w:tcW w:w="16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53,855</w:t>
            </w:r>
          </w:p>
        </w:tc>
        <w:tc>
          <w:tcPr>
            <w:tcW w:w="80" w:type="dxa"/>
            <w:vAlign w:val="bottom"/>
            <w:shd w:val="clear" w:color="auto" w:fill="CFF0FC"/>
          </w:tcPr>
          <w:p>
            <w:pPr>
              <w:spacing w:after="0"/>
              <w:rPr>
                <w:sz w:val="21"/>
                <w:szCs w:val="21"/>
                <w:color w:val="auto"/>
              </w:rPr>
            </w:pPr>
          </w:p>
        </w:tc>
      </w:tr>
      <w:tr>
        <w:trPr>
          <w:trHeight w:val="239"/>
        </w:trPr>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1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51,842</w:t>
            </w:r>
          </w:p>
        </w:tc>
        <w:tc>
          <w:tcPr>
            <w:tcW w:w="80" w:type="dxa"/>
            <w:vAlign w:val="bottom"/>
          </w:tcPr>
          <w:p>
            <w:pPr>
              <w:spacing w:after="0"/>
              <w:rPr>
                <w:sz w:val="20"/>
                <w:szCs w:val="20"/>
                <w:color w:val="auto"/>
              </w:rPr>
            </w:pPr>
          </w:p>
        </w:tc>
      </w:tr>
      <w:tr>
        <w:trPr>
          <w:trHeight w:val="247"/>
        </w:trPr>
        <w:tc>
          <w:tcPr>
            <w:tcW w:w="6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2027</w:t>
            </w:r>
          </w:p>
        </w:tc>
        <w:tc>
          <w:tcPr>
            <w:tcW w:w="16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46,996</w:t>
            </w:r>
          </w:p>
        </w:tc>
        <w:tc>
          <w:tcPr>
            <w:tcW w:w="80" w:type="dxa"/>
            <w:vAlign w:val="bottom"/>
            <w:shd w:val="clear" w:color="auto" w:fill="CFF0FC"/>
          </w:tcPr>
          <w:p>
            <w:pPr>
              <w:spacing w:after="0"/>
              <w:rPr>
                <w:sz w:val="21"/>
                <w:szCs w:val="21"/>
                <w:color w:val="auto"/>
              </w:rPr>
            </w:pPr>
          </w:p>
        </w:tc>
      </w:tr>
      <w:tr>
        <w:trPr>
          <w:trHeight w:val="239"/>
        </w:trPr>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2028</w:t>
            </w:r>
          </w:p>
        </w:tc>
        <w:tc>
          <w:tcPr>
            <w:tcW w:w="1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34,511</w:t>
            </w:r>
          </w:p>
        </w:tc>
        <w:tc>
          <w:tcPr>
            <w:tcW w:w="80" w:type="dxa"/>
            <w:vAlign w:val="bottom"/>
          </w:tcPr>
          <w:p>
            <w:pPr>
              <w:spacing w:after="0"/>
              <w:rPr>
                <w:sz w:val="20"/>
                <w:szCs w:val="20"/>
                <w:color w:val="auto"/>
              </w:rPr>
            </w:pPr>
          </w:p>
        </w:tc>
      </w:tr>
      <w:tr>
        <w:trPr>
          <w:trHeight w:val="243"/>
        </w:trPr>
        <w:tc>
          <w:tcPr>
            <w:tcW w:w="64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Thereafter</w:t>
            </w:r>
          </w:p>
        </w:tc>
        <w:tc>
          <w:tcPr>
            <w:tcW w:w="160" w:type="dxa"/>
            <w:vAlign w:val="bottom"/>
            <w:tcBorders>
              <w:bottom w:val="single" w:sz="8" w:color="auto"/>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163,330</w:t>
            </w:r>
          </w:p>
        </w:tc>
        <w:tc>
          <w:tcPr>
            <w:tcW w:w="80" w:type="dxa"/>
            <w:vAlign w:val="bottom"/>
            <w:tcBorders>
              <w:bottom w:val="single" w:sz="8" w:color="CFF0FC"/>
            </w:tcBorders>
            <w:shd w:val="clear" w:color="auto" w:fill="CFF0FC"/>
          </w:tcPr>
          <w:p>
            <w:pPr>
              <w:spacing w:after="0"/>
              <w:rPr>
                <w:sz w:val="21"/>
                <w:szCs w:val="21"/>
                <w:color w:val="auto"/>
              </w:rPr>
            </w:pPr>
          </w:p>
        </w:tc>
      </w:tr>
      <w:tr>
        <w:trPr>
          <w:trHeight w:val="236"/>
        </w:trPr>
        <w:tc>
          <w:tcPr>
            <w:tcW w:w="64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405,105</w:t>
            </w:r>
          </w:p>
        </w:tc>
        <w:tc>
          <w:tcPr>
            <w:tcW w:w="80" w:type="dxa"/>
            <w:vAlign w:val="bottom"/>
          </w:tcPr>
          <w:p>
            <w:pPr>
              <w:spacing w:after="0"/>
              <w:rPr>
                <w:sz w:val="20"/>
                <w:szCs w:val="20"/>
                <w:color w:val="auto"/>
              </w:rPr>
            </w:pPr>
          </w:p>
        </w:tc>
      </w:tr>
      <w:tr>
        <w:trPr>
          <w:trHeight w:val="20"/>
        </w:trPr>
        <w:tc>
          <w:tcPr>
            <w:tcW w:w="64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6022975</wp:posOffset>
            </wp:positionH>
            <wp:positionV relativeFrom="paragraph">
              <wp:posOffset>-187960</wp:posOffset>
            </wp:positionV>
            <wp:extent cx="43180" cy="825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137" w:lineRule="exact"/>
        <w:rPr>
          <w:sz w:val="20"/>
          <w:szCs w:val="20"/>
          <w:color w:val="auto"/>
        </w:rPr>
      </w:pPr>
    </w:p>
    <w:p>
      <w:pPr>
        <w:ind w:right="700" w:firstLine="509"/>
        <w:spacing w:after="0" w:line="282" w:lineRule="auto"/>
        <w:rPr>
          <w:sz w:val="20"/>
          <w:szCs w:val="20"/>
          <w:color w:val="auto"/>
        </w:rPr>
      </w:pPr>
      <w:r>
        <w:rPr>
          <w:rFonts w:ascii="Times New Roman" w:cs="Times New Roman" w:eastAsia="Times New Roman" w:hAnsi="Times New Roman"/>
          <w:sz w:val="18"/>
          <w:szCs w:val="18"/>
          <w:color w:val="auto"/>
        </w:rPr>
        <w:t>The Company has entered into certain non-cancelable vendor commitments, which require the future purchase of goods or services. Future minimum payments under all vendor commitments as of December 31, 2023 are as follows:</w:t>
      </w:r>
    </w:p>
    <w:p>
      <w:pPr>
        <w:spacing w:after="0" w:line="169" w:lineRule="exact"/>
        <w:rPr>
          <w:sz w:val="20"/>
          <w:szCs w:val="20"/>
          <w:color w:val="auto"/>
        </w:rPr>
      </w:pPr>
    </w:p>
    <w:tbl>
      <w:tblPr>
        <w:tblLayout w:type="fixed"/>
        <w:tblInd w:w="1700" w:type="dxa"/>
        <w:tblCellMar>
          <w:top w:w="0" w:type="dxa"/>
          <w:left w:w="0" w:type="dxa"/>
          <w:bottom w:w="0" w:type="dxa"/>
          <w:right w:w="0" w:type="dxa"/>
        </w:tblCellMar>
      </w:tblPr>
      <w:tr>
        <w:trPr>
          <w:trHeight w:val="187"/>
        </w:trPr>
        <w:tc>
          <w:tcPr>
            <w:tcW w:w="6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43"/>
        </w:trPr>
        <w:tc>
          <w:tcPr>
            <w:tcW w:w="6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2024</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213,239</w:t>
            </w:r>
          </w:p>
        </w:tc>
        <w:tc>
          <w:tcPr>
            <w:tcW w:w="80" w:type="dxa"/>
            <w:vAlign w:val="bottom"/>
            <w:shd w:val="clear" w:color="auto" w:fill="CFF0FC"/>
          </w:tcPr>
          <w:p>
            <w:pPr>
              <w:spacing w:after="0"/>
              <w:rPr>
                <w:sz w:val="21"/>
                <w:szCs w:val="21"/>
                <w:color w:val="auto"/>
              </w:rPr>
            </w:pPr>
          </w:p>
        </w:tc>
      </w:tr>
      <w:tr>
        <w:trPr>
          <w:trHeight w:val="239"/>
        </w:trPr>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1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223,177</w:t>
            </w:r>
          </w:p>
        </w:tc>
        <w:tc>
          <w:tcPr>
            <w:tcW w:w="80" w:type="dxa"/>
            <w:vAlign w:val="bottom"/>
          </w:tcPr>
          <w:p>
            <w:pPr>
              <w:spacing w:after="0"/>
              <w:rPr>
                <w:sz w:val="20"/>
                <w:szCs w:val="20"/>
                <w:color w:val="auto"/>
              </w:rPr>
            </w:pPr>
          </w:p>
        </w:tc>
      </w:tr>
      <w:tr>
        <w:trPr>
          <w:trHeight w:val="247"/>
        </w:trPr>
        <w:tc>
          <w:tcPr>
            <w:tcW w:w="6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2026</w:t>
            </w:r>
          </w:p>
        </w:tc>
        <w:tc>
          <w:tcPr>
            <w:tcW w:w="16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224,210</w:t>
            </w:r>
          </w:p>
        </w:tc>
        <w:tc>
          <w:tcPr>
            <w:tcW w:w="80" w:type="dxa"/>
            <w:vAlign w:val="bottom"/>
            <w:shd w:val="clear" w:color="auto" w:fill="CFF0FC"/>
          </w:tcPr>
          <w:p>
            <w:pPr>
              <w:spacing w:after="0"/>
              <w:rPr>
                <w:sz w:val="21"/>
                <w:szCs w:val="21"/>
                <w:color w:val="auto"/>
              </w:rPr>
            </w:pPr>
          </w:p>
        </w:tc>
      </w:tr>
      <w:tr>
        <w:trPr>
          <w:trHeight w:val="239"/>
        </w:trPr>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1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187,846</w:t>
            </w:r>
          </w:p>
        </w:tc>
        <w:tc>
          <w:tcPr>
            <w:tcW w:w="80" w:type="dxa"/>
            <w:vAlign w:val="bottom"/>
          </w:tcPr>
          <w:p>
            <w:pPr>
              <w:spacing w:after="0"/>
              <w:rPr>
                <w:sz w:val="20"/>
                <w:szCs w:val="20"/>
                <w:color w:val="auto"/>
              </w:rPr>
            </w:pPr>
          </w:p>
        </w:tc>
      </w:tr>
      <w:tr>
        <w:trPr>
          <w:trHeight w:val="247"/>
        </w:trPr>
        <w:tc>
          <w:tcPr>
            <w:tcW w:w="6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2028</w:t>
            </w:r>
          </w:p>
        </w:tc>
        <w:tc>
          <w:tcPr>
            <w:tcW w:w="16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80" w:type="dxa"/>
            <w:vAlign w:val="bottom"/>
            <w:shd w:val="clear" w:color="auto" w:fill="CFF0FC"/>
          </w:tcPr>
          <w:p>
            <w:pPr>
              <w:spacing w:after="0"/>
              <w:rPr>
                <w:sz w:val="21"/>
                <w:szCs w:val="21"/>
                <w:color w:val="auto"/>
              </w:rPr>
            </w:pPr>
          </w:p>
        </w:tc>
      </w:tr>
      <w:tr>
        <w:trPr>
          <w:trHeight w:val="239"/>
        </w:trPr>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160" w:type="dxa"/>
            <w:vAlign w:val="bottom"/>
          </w:tcPr>
          <w:p>
            <w:pPr>
              <w:spacing w:after="0"/>
              <w:rPr>
                <w:sz w:val="20"/>
                <w:szCs w:val="20"/>
                <w:color w:val="auto"/>
              </w:rPr>
            </w:pP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76"/>
        </w:trPr>
        <w:tc>
          <w:tcPr>
            <w:tcW w:w="6480" w:type="dxa"/>
            <w:vAlign w:val="bottom"/>
            <w:tcBorders>
              <w:bottom w:val="single" w:sz="8" w:color="CFF0FC"/>
            </w:tcBorders>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848,656</w:t>
            </w:r>
          </w:p>
        </w:tc>
        <w:tc>
          <w:tcPr>
            <w:tcW w:w="8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6022975</wp:posOffset>
            </wp:positionH>
            <wp:positionV relativeFrom="paragraph">
              <wp:posOffset>-24765</wp:posOffset>
            </wp:positionV>
            <wp:extent cx="43180" cy="825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-8255</wp:posOffset>
            </wp:positionV>
            <wp:extent cx="43180" cy="889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43180" cy="8890"/>
                    </a:xfrm>
                    <a:prstGeom prst="rect">
                      <a:avLst/>
                    </a:prstGeom>
                    <a:noFill/>
                  </pic:spPr>
                </pic:pic>
              </a:graphicData>
            </a:graphic>
          </wp:anchor>
        </w:drawing>
      </w:r>
    </w:p>
    <w:p>
      <w:pPr>
        <w:spacing w:after="0" w:line="32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Legal Contingencies</w:t>
      </w:r>
    </w:p>
    <w:p>
      <w:pPr>
        <w:spacing w:after="0" w:line="121" w:lineRule="exact"/>
        <w:rPr>
          <w:sz w:val="20"/>
          <w:szCs w:val="20"/>
          <w:color w:val="auto"/>
        </w:rPr>
      </w:pPr>
    </w:p>
    <w:p>
      <w:pPr>
        <w:ind w:right="300" w:firstLine="509"/>
        <w:spacing w:after="0" w:line="281" w:lineRule="auto"/>
        <w:rPr>
          <w:sz w:val="20"/>
          <w:szCs w:val="20"/>
          <w:color w:val="auto"/>
        </w:rPr>
      </w:pPr>
      <w:r>
        <w:rPr>
          <w:rFonts w:ascii="Times New Roman" w:cs="Times New Roman" w:eastAsia="Times New Roman" w:hAnsi="Times New Roman"/>
          <w:sz w:val="17"/>
          <w:szCs w:val="17"/>
          <w:color w:val="auto"/>
        </w:rPr>
        <w:t>From time to time the Company may become involved in legal proceedings or be subject to claims arising in the ordinary course of its business. Although the results of litigation and claims cannot be predicted with certainty, the Company currently believes that the final outcome of these ordinary course matters will not have a material adverse effect on its business, operating results, financial condition or cash flows. Regardless of the outcome, litigation can have an adverse impact on the Company because of defense and settlement costs, diversion of management resources and other factors.</w:t>
      </w:r>
    </w:p>
    <w:p>
      <w:pPr>
        <w:spacing w:after="0" w:line="16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8" w:right="359" w:bottom="1440" w:gutter="0" w:footer="0" w:header="0"/>
        </w:sectPr>
      </w:pPr>
    </w:p>
    <w:bookmarkStart w:id="90" w:name="page91"/>
    <w:bookmarkEnd w:id="90"/>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Equity method investment</w:t>
      </w:r>
    </w:p>
    <w:p>
      <w:pPr>
        <w:spacing w:after="0" w:line="121"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The Company has made cash contributions of $8.5 million to the Black Economic Development Fund (the “Fund”) managed by the Local Initiatives Support Corporation for an aggregate of 5.0% ownership interest and income share in the Fund.</w:t>
      </w:r>
    </w:p>
    <w:p>
      <w:pPr>
        <w:spacing w:after="0" w:line="54"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The Company has commitments to contribute additional capital of $4.0 million to the Fund. Given the level of ownership interest in the Fund, which is a limited liability company, and the fact that the Fund maintains specific ownership accounts for investors, the Company accounts for this investment using the equity method of accounting. The Fund is included in other assets on the consolidated balance sheets and the Company's share of the Fund’s net earnings and impairment charges on investments are reported in the consolidated statements of operations as other income (expense), net of tax.</w:t>
      </w:r>
    </w:p>
    <w:p>
      <w:pPr>
        <w:spacing w:after="0" w:line="72"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The Company's proportionate share of the Fund's net loss was recorded as other expense, net of tax, in the consolidated statements of operations. As of December 31, 2023, the carrying amount of the Company’s investment in the Fund was $7.9 million.</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Changes in Accumulated Other Comprehensive Loss</w:t>
      </w:r>
    </w:p>
    <w:p>
      <w:pPr>
        <w:spacing w:after="0" w:line="121"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changes in accumulated other comprehensive loss, which is reported as a component of stockholders’ equity, for the years ended December 31, 2023 and 2022:</w:t>
      </w:r>
    </w:p>
    <w:p>
      <w:pPr>
        <w:spacing w:after="0" w:line="148" w:lineRule="exact"/>
        <w:rPr>
          <w:sz w:val="20"/>
          <w:szCs w:val="20"/>
          <w:color w:val="auto"/>
        </w:rPr>
      </w:pPr>
    </w:p>
    <w:tbl>
      <w:tblPr>
        <w:tblLayout w:type="fixed"/>
        <w:tblInd w:w="580" w:type="dxa"/>
        <w:tblCellMar>
          <w:top w:w="0" w:type="dxa"/>
          <w:left w:w="0" w:type="dxa"/>
          <w:bottom w:w="0" w:type="dxa"/>
          <w:right w:w="0" w:type="dxa"/>
        </w:tblCellMar>
      </w:tblPr>
      <w:tr>
        <w:trPr>
          <w:trHeight w:val="172"/>
        </w:trPr>
        <w:tc>
          <w:tcPr>
            <w:tcW w:w="5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gridSpan w:val="2"/>
          </w:tcPr>
          <w:p>
            <w:pPr>
              <w:jc w:val="right"/>
              <w:ind w:right="460"/>
              <w:spacing w:after="0"/>
              <w:rPr>
                <w:sz w:val="20"/>
                <w:szCs w:val="20"/>
                <w:color w:val="auto"/>
              </w:rPr>
            </w:pPr>
            <w:r>
              <w:rPr>
                <w:rFonts w:ascii="Times New Roman" w:cs="Times New Roman" w:eastAsia="Times New Roman" w:hAnsi="Times New Roman"/>
                <w:sz w:val="15"/>
                <w:szCs w:val="15"/>
                <w:b w:val="1"/>
                <w:bCs w:val="1"/>
                <w:color w:val="auto"/>
              </w:rPr>
              <w:t>Cumulative</w:t>
            </w:r>
          </w:p>
        </w:tc>
        <w:tc>
          <w:tcPr>
            <w:tcW w:w="160" w:type="dxa"/>
            <w:vAlign w:val="bottom"/>
          </w:tcPr>
          <w:p>
            <w:pPr>
              <w:spacing w:after="0"/>
              <w:rPr>
                <w:sz w:val="15"/>
                <w:szCs w:val="15"/>
                <w:color w:val="auto"/>
              </w:rPr>
            </w:pPr>
          </w:p>
        </w:tc>
        <w:tc>
          <w:tcPr>
            <w:tcW w:w="1560" w:type="dxa"/>
            <w:vAlign w:val="bottom"/>
            <w:gridSpan w:val="2"/>
          </w:tcPr>
          <w:p>
            <w:pPr>
              <w:jc w:val="center"/>
              <w:ind w:right="400"/>
              <w:spacing w:after="0"/>
              <w:rPr>
                <w:sz w:val="20"/>
                <w:szCs w:val="20"/>
                <w:color w:val="auto"/>
              </w:rPr>
            </w:pPr>
            <w:r>
              <w:rPr>
                <w:rFonts w:ascii="Times New Roman" w:cs="Times New Roman" w:eastAsia="Times New Roman" w:hAnsi="Times New Roman"/>
                <w:sz w:val="15"/>
                <w:szCs w:val="15"/>
                <w:b w:val="1"/>
                <w:bCs w:val="1"/>
                <w:color w:val="auto"/>
              </w:rPr>
              <w:t>Unrealized Gain</w:t>
            </w: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62"/>
        </w:trPr>
        <w:tc>
          <w:tcPr>
            <w:tcW w:w="5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gridSpan w:val="2"/>
          </w:tcPr>
          <w:p>
            <w:pPr>
              <w:jc w:val="right"/>
              <w:ind w:right="460"/>
              <w:spacing w:after="0" w:line="162" w:lineRule="exact"/>
              <w:rPr>
                <w:sz w:val="20"/>
                <w:szCs w:val="20"/>
                <w:color w:val="auto"/>
              </w:rPr>
            </w:pPr>
            <w:r>
              <w:rPr>
                <w:rFonts w:ascii="Times New Roman" w:cs="Times New Roman" w:eastAsia="Times New Roman" w:hAnsi="Times New Roman"/>
                <w:sz w:val="15"/>
                <w:szCs w:val="15"/>
                <w:b w:val="1"/>
                <w:bCs w:val="1"/>
                <w:color w:val="auto"/>
              </w:rPr>
              <w:t>Translation</w:t>
            </w:r>
          </w:p>
        </w:tc>
        <w:tc>
          <w:tcPr>
            <w:tcW w:w="160" w:type="dxa"/>
            <w:vAlign w:val="bottom"/>
          </w:tcPr>
          <w:p>
            <w:pPr>
              <w:spacing w:after="0"/>
              <w:rPr>
                <w:sz w:val="14"/>
                <w:szCs w:val="14"/>
                <w:color w:val="auto"/>
              </w:rPr>
            </w:pPr>
          </w:p>
        </w:tc>
        <w:tc>
          <w:tcPr>
            <w:tcW w:w="1560" w:type="dxa"/>
            <w:vAlign w:val="bottom"/>
            <w:gridSpan w:val="2"/>
          </w:tcPr>
          <w:p>
            <w:pPr>
              <w:jc w:val="center"/>
              <w:ind w:right="400"/>
              <w:spacing w:after="0" w:line="162" w:lineRule="exact"/>
              <w:rPr>
                <w:sz w:val="20"/>
                <w:szCs w:val="20"/>
                <w:color w:val="auto"/>
              </w:rPr>
            </w:pPr>
            <w:r>
              <w:rPr>
                <w:rFonts w:ascii="Times New Roman" w:cs="Times New Roman" w:eastAsia="Times New Roman" w:hAnsi="Times New Roman"/>
                <w:sz w:val="15"/>
                <w:szCs w:val="15"/>
                <w:b w:val="1"/>
                <w:bCs w:val="1"/>
                <w:color w:val="auto"/>
              </w:rPr>
              <w:t>(Loss) on</w:t>
            </w: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97"/>
        </w:trPr>
        <w:tc>
          <w:tcPr>
            <w:tcW w:w="5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gridSpan w:val="2"/>
          </w:tcPr>
          <w:p>
            <w:pPr>
              <w:jc w:val="right"/>
              <w:ind w:right="440"/>
              <w:spacing w:after="0"/>
              <w:rPr>
                <w:sz w:val="20"/>
                <w:szCs w:val="20"/>
                <w:color w:val="auto"/>
              </w:rPr>
            </w:pPr>
            <w:r>
              <w:rPr>
                <w:rFonts w:ascii="Times New Roman" w:cs="Times New Roman" w:eastAsia="Times New Roman" w:hAnsi="Times New Roman"/>
                <w:sz w:val="15"/>
                <w:szCs w:val="15"/>
                <w:b w:val="1"/>
                <w:bCs w:val="1"/>
                <w:color w:val="auto"/>
              </w:rPr>
              <w:t>Adjustment</w:t>
            </w:r>
          </w:p>
        </w:tc>
        <w:tc>
          <w:tcPr>
            <w:tcW w:w="160" w:type="dxa"/>
            <w:vAlign w:val="bottom"/>
          </w:tcPr>
          <w:p>
            <w:pPr>
              <w:spacing w:after="0"/>
              <w:rPr>
                <w:sz w:val="17"/>
                <w:szCs w:val="17"/>
                <w:color w:val="auto"/>
              </w:rPr>
            </w:pPr>
          </w:p>
        </w:tc>
        <w:tc>
          <w:tcPr>
            <w:tcW w:w="1560" w:type="dxa"/>
            <w:vAlign w:val="bottom"/>
            <w:gridSpan w:val="2"/>
          </w:tcPr>
          <w:p>
            <w:pPr>
              <w:jc w:val="center"/>
              <w:ind w:right="380"/>
              <w:spacing w:after="0"/>
              <w:rPr>
                <w:sz w:val="20"/>
                <w:szCs w:val="20"/>
                <w:color w:val="auto"/>
              </w:rPr>
            </w:pPr>
            <w:r>
              <w:rPr>
                <w:rFonts w:ascii="Times New Roman" w:cs="Times New Roman" w:eastAsia="Times New Roman" w:hAnsi="Times New Roman"/>
                <w:sz w:val="15"/>
                <w:szCs w:val="15"/>
                <w:b w:val="1"/>
                <w:bCs w:val="1"/>
                <w:color w:val="auto"/>
              </w:rPr>
              <w:t>Investments</w:t>
            </w:r>
          </w:p>
        </w:tc>
        <w:tc>
          <w:tcPr>
            <w:tcW w:w="240" w:type="dxa"/>
            <w:vAlign w:val="bottom"/>
          </w:tcPr>
          <w:p>
            <w:pPr>
              <w:spacing w:after="0"/>
              <w:rPr>
                <w:sz w:val="17"/>
                <w:szCs w:val="17"/>
                <w:color w:val="auto"/>
              </w:rPr>
            </w:pPr>
          </w:p>
        </w:tc>
        <w:tc>
          <w:tcPr>
            <w:tcW w:w="1000" w:type="dxa"/>
            <w:vAlign w:val="bottom"/>
            <w:gridSpan w:val="2"/>
          </w:tcPr>
          <w:p>
            <w:pPr>
              <w:jc w:val="right"/>
              <w:ind w:right="500"/>
              <w:spacing w:after="0"/>
              <w:rPr>
                <w:sz w:val="20"/>
                <w:szCs w:val="20"/>
                <w:color w:val="auto"/>
              </w:rPr>
            </w:pPr>
            <w:r>
              <w:rPr>
                <w:rFonts w:ascii="Times New Roman" w:cs="Times New Roman" w:eastAsia="Times New Roman" w:hAnsi="Times New Roman"/>
                <w:sz w:val="15"/>
                <w:szCs w:val="15"/>
                <w:b w:val="1"/>
                <w:bCs w:val="1"/>
                <w:color w:val="auto"/>
              </w:rPr>
              <w:t>Total</w:t>
            </w:r>
          </w:p>
        </w:tc>
      </w:tr>
      <w:tr>
        <w:trPr>
          <w:trHeight w:val="214"/>
        </w:trPr>
        <w:tc>
          <w:tcPr>
            <w:tcW w:w="57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2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57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Ending balance at December 31, 2021</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(532 )</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(807 )</w:t>
            </w:r>
          </w:p>
        </w:tc>
        <w:tc>
          <w:tcPr>
            <w:tcW w:w="24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(1,339 )</w:t>
            </w:r>
          </w:p>
        </w:tc>
      </w:tr>
      <w:tr>
        <w:trPr>
          <w:trHeight w:val="220"/>
        </w:trPr>
        <w:tc>
          <w:tcPr>
            <w:tcW w:w="57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Other comprehensive loss before reclassifications</w:t>
            </w:r>
          </w:p>
        </w:tc>
        <w:tc>
          <w:tcPr>
            <w:tcW w:w="14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(2,538 )</w:t>
            </w:r>
          </w:p>
        </w:tc>
        <w:tc>
          <w:tcPr>
            <w:tcW w:w="160" w:type="dxa"/>
            <w:vAlign w:val="bottom"/>
          </w:tcPr>
          <w:p>
            <w:pPr>
              <w:spacing w:after="0"/>
              <w:rPr>
                <w:sz w:val="19"/>
                <w:szCs w:val="19"/>
                <w:color w:val="auto"/>
              </w:rPr>
            </w:pPr>
          </w:p>
        </w:tc>
        <w:tc>
          <w:tcPr>
            <w:tcW w:w="15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(9,013 )</w:t>
            </w:r>
          </w:p>
        </w:tc>
        <w:tc>
          <w:tcPr>
            <w:tcW w:w="24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(11,551 )</w:t>
            </w:r>
          </w:p>
        </w:tc>
      </w:tr>
      <w:tr>
        <w:trPr>
          <w:trHeight w:val="236"/>
        </w:trPr>
        <w:tc>
          <w:tcPr>
            <w:tcW w:w="572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Amounts reclassified from accumulated other comprehensive loss</w:t>
            </w:r>
          </w:p>
        </w:tc>
        <w:tc>
          <w:tcPr>
            <w:tcW w:w="140" w:type="dxa"/>
            <w:vAlign w:val="bottom"/>
            <w:tcBorders>
              <w:bottom w:val="single" w:sz="8" w:color="auto"/>
            </w:tcBorders>
            <w:shd w:val="clear" w:color="auto" w:fill="CFF0FC"/>
          </w:tcPr>
          <w:p>
            <w:pPr>
              <w:spacing w:after="0"/>
              <w:rPr>
                <w:sz w:val="20"/>
                <w:szCs w:val="20"/>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16"/>
        </w:trPr>
        <w:tc>
          <w:tcPr>
            <w:tcW w:w="5720" w:type="dxa"/>
            <w:vAlign w:val="bottom"/>
          </w:tcPr>
          <w:p>
            <w:pPr>
              <w:spacing w:after="0"/>
              <w:rPr>
                <w:sz w:val="20"/>
                <w:szCs w:val="20"/>
                <w:color w:val="auto"/>
              </w:rPr>
            </w:pPr>
            <w:r>
              <w:rPr>
                <w:rFonts w:ascii="Times New Roman" w:cs="Times New Roman" w:eastAsia="Times New Roman" w:hAnsi="Times New Roman"/>
                <w:sz w:val="16"/>
                <w:szCs w:val="16"/>
                <w:color w:val="auto"/>
              </w:rPr>
              <w:t>Ending balance at December 31, 2022</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(3,070 )</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(9,820 )</w:t>
            </w:r>
          </w:p>
        </w:tc>
        <w:tc>
          <w:tcPr>
            <w:tcW w:w="2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(12,890 )</w:t>
            </w:r>
          </w:p>
        </w:tc>
      </w:tr>
      <w:tr>
        <w:trPr>
          <w:trHeight w:val="239"/>
        </w:trPr>
        <w:tc>
          <w:tcPr>
            <w:tcW w:w="57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Other comprehensive income before reclassifications</w:t>
            </w:r>
          </w:p>
        </w:tc>
        <w:tc>
          <w:tcPr>
            <w:tcW w:w="14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4,020</w:t>
            </w:r>
          </w:p>
        </w:tc>
        <w:tc>
          <w:tcPr>
            <w:tcW w:w="2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10,697</w:t>
            </w:r>
          </w:p>
        </w:tc>
        <w:tc>
          <w:tcPr>
            <w:tcW w:w="2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14,717</w:t>
            </w:r>
          </w:p>
        </w:tc>
        <w:tc>
          <w:tcPr>
            <w:tcW w:w="100" w:type="dxa"/>
            <w:vAlign w:val="bottom"/>
            <w:shd w:val="clear" w:color="auto" w:fill="CFF0FC"/>
          </w:tcPr>
          <w:p>
            <w:pPr>
              <w:spacing w:after="0"/>
              <w:rPr>
                <w:sz w:val="20"/>
                <w:szCs w:val="20"/>
                <w:color w:val="auto"/>
              </w:rPr>
            </w:pPr>
          </w:p>
        </w:tc>
      </w:tr>
      <w:tr>
        <w:trPr>
          <w:trHeight w:val="227"/>
        </w:trPr>
        <w:tc>
          <w:tcPr>
            <w:tcW w:w="57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Amounts reclassified from accumulated other comprehensive loss</w:t>
            </w:r>
          </w:p>
        </w:tc>
        <w:tc>
          <w:tcPr>
            <w:tcW w:w="140" w:type="dxa"/>
            <w:vAlign w:val="bottom"/>
          </w:tcPr>
          <w:p>
            <w:pPr>
              <w:spacing w:after="0"/>
              <w:rPr>
                <w:sz w:val="19"/>
                <w:szCs w:val="19"/>
                <w:color w:val="auto"/>
              </w:rPr>
            </w:pP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15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66"/>
        </w:trPr>
        <w:tc>
          <w:tcPr>
            <w:tcW w:w="57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Ending balance at December 31, 2023</w:t>
            </w: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950</w:t>
            </w:r>
          </w:p>
        </w:tc>
        <w:tc>
          <w:tcPr>
            <w:tcW w:w="240" w:type="dxa"/>
            <w:vAlign w:val="bottom"/>
            <w:tcBorders>
              <w:bottom w:val="single" w:sz="8" w:color="CFF0FC"/>
            </w:tcBorders>
            <w:shd w:val="clear" w:color="auto" w:fill="CFF0FC"/>
          </w:tcPr>
          <w:p>
            <w:pPr>
              <w:spacing w:after="0"/>
              <w:rPr>
                <w:sz w:val="23"/>
                <w:szCs w:val="23"/>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877</w:t>
            </w:r>
          </w:p>
        </w:tc>
        <w:tc>
          <w:tcPr>
            <w:tcW w:w="220" w:type="dxa"/>
            <w:vAlign w:val="bottom"/>
            <w:tcBorders>
              <w:bottom w:val="single" w:sz="8" w:color="CFF0FC"/>
            </w:tcBorders>
            <w:shd w:val="clear" w:color="auto" w:fill="CFF0FC"/>
          </w:tcPr>
          <w:p>
            <w:pPr>
              <w:spacing w:after="0"/>
              <w:rPr>
                <w:sz w:val="23"/>
                <w:szCs w:val="23"/>
                <w:color w:val="auto"/>
              </w:rPr>
            </w:pPr>
          </w:p>
        </w:tc>
        <w:tc>
          <w:tcPr>
            <w:tcW w:w="240" w:type="dxa"/>
            <w:vAlign w:val="bottom"/>
            <w:tcBorders>
              <w:top w:val="single" w:sz="8" w:color="auto"/>
              <w:bottom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1,827</w:t>
            </w:r>
          </w:p>
        </w:tc>
        <w:tc>
          <w:tcPr>
            <w:tcW w:w="100" w:type="dxa"/>
            <w:vAlign w:val="bottom"/>
            <w:tcBorders>
              <w:bottom w:val="single" w:sz="8" w:color="CFF0FC"/>
            </w:tcBorders>
            <w:shd w:val="clear" w:color="auto" w:fill="CFF0FC"/>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4745355</wp:posOffset>
            </wp:positionH>
            <wp:positionV relativeFrom="paragraph">
              <wp:posOffset>-624840</wp:posOffset>
            </wp:positionV>
            <wp:extent cx="68580" cy="889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-624840</wp:posOffset>
            </wp:positionV>
            <wp:extent cx="60325" cy="889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-624840</wp:posOffset>
            </wp:positionV>
            <wp:extent cx="60325" cy="889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-24765</wp:posOffset>
            </wp:positionV>
            <wp:extent cx="68580" cy="825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-7620</wp:posOffset>
            </wp:positionV>
            <wp:extent cx="68580" cy="825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-24765</wp:posOffset>
            </wp:positionV>
            <wp:extent cx="60325" cy="825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-7620</wp:posOffset>
            </wp:positionV>
            <wp:extent cx="60325" cy="825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-24765</wp:posOffset>
            </wp:positionV>
            <wp:extent cx="60325" cy="825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Stockholders’ Equity and Stock-Based Compensation</w:t>
      </w:r>
    </w:p>
    <w:p>
      <w:pPr>
        <w:spacing w:after="0" w:line="117" w:lineRule="exact"/>
        <w:rPr>
          <w:sz w:val="20"/>
          <w:szCs w:val="20"/>
          <w:color w:val="auto"/>
        </w:rPr>
      </w:pPr>
    </w:p>
    <w:p>
      <w:pPr>
        <w:ind w:right="180" w:firstLine="509"/>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Common Stock Reserved </w:t>
      </w:r>
      <w:r>
        <w:rPr>
          <w:rFonts w:ascii="Times New Roman" w:cs="Times New Roman" w:eastAsia="Times New Roman" w:hAnsi="Times New Roman"/>
          <w:sz w:val="18"/>
          <w:szCs w:val="18"/>
          <w:color w:val="auto"/>
        </w:rPr>
        <w:t>— As of December 31, 2023 and 2022, the Company has authorized 500 million shares of common stock. The number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shares of common stock reserved for the vesting of RSUs, PSUs, and exercise of common stock options are as follows (in thousands):</w:t>
      </w:r>
    </w:p>
    <w:p>
      <w:pPr>
        <w:spacing w:after="0" w:line="166" w:lineRule="exact"/>
        <w:rPr>
          <w:sz w:val="20"/>
          <w:szCs w:val="20"/>
          <w:color w:val="auto"/>
        </w:rPr>
      </w:pPr>
    </w:p>
    <w:tbl>
      <w:tblPr>
        <w:tblLayout w:type="fixed"/>
        <w:tblInd w:w="1700" w:type="dxa"/>
        <w:tblCellMar>
          <w:top w:w="0" w:type="dxa"/>
          <w:left w:w="0" w:type="dxa"/>
          <w:bottom w:w="0" w:type="dxa"/>
          <w:right w:w="0" w:type="dxa"/>
        </w:tblCellMar>
      </w:tblPr>
      <w:tr>
        <w:trPr>
          <w:trHeight w:val="187"/>
        </w:trPr>
        <w:tc>
          <w:tcPr>
            <w:tcW w:w="4240" w:type="dxa"/>
            <w:vAlign w:val="bottom"/>
          </w:tcPr>
          <w:p>
            <w:pPr>
              <w:spacing w:after="0"/>
              <w:rPr>
                <w:sz w:val="16"/>
                <w:szCs w:val="16"/>
                <w:color w:val="auto"/>
              </w:rPr>
            </w:pPr>
          </w:p>
        </w:tc>
        <w:tc>
          <w:tcPr>
            <w:tcW w:w="170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80" w:type="dxa"/>
            <w:vAlign w:val="bottom"/>
          </w:tcPr>
          <w:p>
            <w:pPr>
              <w:spacing w:after="0"/>
              <w:rPr>
                <w:sz w:val="16"/>
                <w:szCs w:val="16"/>
                <w:color w:val="auto"/>
              </w:rPr>
            </w:pPr>
          </w:p>
        </w:tc>
        <w:tc>
          <w:tcPr>
            <w:tcW w:w="166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80" w:type="dxa"/>
            <w:vAlign w:val="bottom"/>
          </w:tcPr>
          <w:p>
            <w:pPr>
              <w:spacing w:after="0"/>
              <w:rPr>
                <w:sz w:val="16"/>
                <w:szCs w:val="16"/>
                <w:color w:val="auto"/>
              </w:rPr>
            </w:pPr>
          </w:p>
        </w:tc>
      </w:tr>
      <w:tr>
        <w:trPr>
          <w:trHeight w:val="237"/>
        </w:trPr>
        <w:tc>
          <w:tcPr>
            <w:tcW w:w="4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RSUs</w:t>
            </w: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1,902</w:t>
            </w:r>
          </w:p>
        </w:tc>
        <w:tc>
          <w:tcPr>
            <w:tcW w:w="1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1,580</w:t>
            </w:r>
          </w:p>
        </w:tc>
        <w:tc>
          <w:tcPr>
            <w:tcW w:w="80" w:type="dxa"/>
            <w:vAlign w:val="bottom"/>
            <w:shd w:val="clear" w:color="auto" w:fill="CFF0FC"/>
          </w:tcPr>
          <w:p>
            <w:pPr>
              <w:spacing w:after="0"/>
              <w:rPr>
                <w:sz w:val="20"/>
                <w:szCs w:val="20"/>
                <w:color w:val="auto"/>
              </w:rPr>
            </w:pPr>
          </w:p>
        </w:tc>
      </w:tr>
      <w:tr>
        <w:trPr>
          <w:trHeight w:val="239"/>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PSUs</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80" w:type="dxa"/>
            <w:vAlign w:val="bottom"/>
          </w:tcPr>
          <w:p>
            <w:pPr>
              <w:spacing w:after="0"/>
              <w:rPr>
                <w:sz w:val="20"/>
                <w:szCs w:val="20"/>
                <w:color w:val="auto"/>
              </w:rPr>
            </w:pPr>
          </w:p>
        </w:tc>
        <w:tc>
          <w:tcPr>
            <w:tcW w:w="17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42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Common stock options</w:t>
            </w:r>
          </w:p>
        </w:tc>
        <w:tc>
          <w:tcPr>
            <w:tcW w:w="1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470</w:t>
            </w:r>
          </w:p>
        </w:tc>
        <w:tc>
          <w:tcPr>
            <w:tcW w:w="180" w:type="dxa"/>
            <w:vAlign w:val="bottom"/>
            <w:tcBorders>
              <w:bottom w:val="single" w:sz="8" w:color="CFF0FC"/>
            </w:tcBorders>
            <w:shd w:val="clear" w:color="auto" w:fill="CFF0FC"/>
          </w:tcPr>
          <w:p>
            <w:pPr>
              <w:spacing w:after="0"/>
              <w:rPr>
                <w:sz w:val="21"/>
                <w:szCs w:val="21"/>
                <w:color w:val="auto"/>
              </w:rPr>
            </w:pPr>
          </w:p>
        </w:tc>
        <w:tc>
          <w:tcPr>
            <w:tcW w:w="1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462</w:t>
            </w:r>
          </w:p>
        </w:tc>
        <w:tc>
          <w:tcPr>
            <w:tcW w:w="80" w:type="dxa"/>
            <w:vAlign w:val="bottom"/>
            <w:tcBorders>
              <w:bottom w:val="single" w:sz="8" w:color="CFF0FC"/>
            </w:tcBorders>
            <w:shd w:val="clear" w:color="auto" w:fill="CFF0FC"/>
          </w:tcPr>
          <w:p>
            <w:pPr>
              <w:spacing w:after="0"/>
              <w:rPr>
                <w:sz w:val="21"/>
                <w:szCs w:val="21"/>
                <w:color w:val="auto"/>
              </w:rPr>
            </w:pPr>
          </w:p>
        </w:tc>
      </w:tr>
      <w:tr>
        <w:trPr>
          <w:trHeight w:val="232"/>
        </w:trPr>
        <w:tc>
          <w:tcPr>
            <w:tcW w:w="424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2,430</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2,042</w:t>
            </w:r>
          </w:p>
        </w:tc>
        <w:tc>
          <w:tcPr>
            <w:tcW w:w="80" w:type="dxa"/>
            <w:vAlign w:val="bottom"/>
          </w:tcPr>
          <w:p>
            <w:pPr>
              <w:spacing w:after="0"/>
              <w:rPr>
                <w:sz w:val="20"/>
                <w:szCs w:val="20"/>
                <w:color w:val="auto"/>
              </w:rPr>
            </w:pPr>
          </w:p>
        </w:tc>
      </w:tr>
      <w:tr>
        <w:trPr>
          <w:trHeight w:val="20"/>
        </w:trPr>
        <w:tc>
          <w:tcPr>
            <w:tcW w:w="4240" w:type="dxa"/>
            <w:vAlign w:val="bottom"/>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4848225</wp:posOffset>
            </wp:positionH>
            <wp:positionV relativeFrom="paragraph">
              <wp:posOffset>-187960</wp:posOffset>
            </wp:positionV>
            <wp:extent cx="51435" cy="889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-187960</wp:posOffset>
            </wp:positionV>
            <wp:extent cx="43180" cy="889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43180" cy="8890"/>
                    </a:xfrm>
                    <a:prstGeom prst="rect">
                      <a:avLst/>
                    </a:prstGeom>
                    <a:noFill/>
                  </pic:spPr>
                </pic:pic>
              </a:graphicData>
            </a:graphic>
          </wp:anchor>
        </w:drawing>
      </w:r>
    </w:p>
    <w:p>
      <w:pPr>
        <w:spacing w:after="0" w:line="1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For shares reserved for issuance for the Conversion Options, Warrants and Capped Call Options of the Notes, see Note 9.</w:t>
      </w:r>
    </w:p>
    <w:p>
      <w:pPr>
        <w:spacing w:after="0" w:line="248"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Equity Incentive Plan </w:t>
      </w:r>
      <w:r>
        <w:rPr>
          <w:rFonts w:ascii="Times New Roman" w:cs="Times New Roman" w:eastAsia="Times New Roman" w:hAnsi="Times New Roman"/>
          <w:sz w:val="18"/>
          <w:szCs w:val="18"/>
          <w:color w:val="auto"/>
        </w:rPr>
        <w:t>—The Company’s 2014 Stock Option and Incentive Plan (the “2014 Plan”) became effective upon the closing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Company’s IPO in the fourth quarter of 2014. The Company initially reserved 1,973,551 shares of its common stock, or the Initial Limit, for the issuance of awards under the 2014 Plan. The number of shares reserved and available for issuance under the 2014 Plan automatically increases each January 1, by 5% of the outstanding number of shares of the Company’s common stock on the immediately preceding December 31 or such lesser number of shares as determined by the compensation committee. This number is subject to adjustment in the event of a stock split, stock dividend or other change in the Company’s capitalization. On January 26, 2022, the board of directors approved an amendment to eliminate the automatic annual increase in the number of shares available for issuance. The final increase under the 2014 Plan was effective as of January 1, 2022.</w:t>
      </w:r>
    </w:p>
    <w:p>
      <w:pPr>
        <w:spacing w:after="0" w:line="183" w:lineRule="exact"/>
        <w:rPr>
          <w:sz w:val="20"/>
          <w:szCs w:val="20"/>
          <w:color w:val="auto"/>
        </w:rPr>
      </w:pPr>
    </w:p>
    <w:p>
      <w:pPr>
        <w:ind w:right="420" w:firstLine="509"/>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Stock Compensation Expense </w:t>
      </w:r>
      <w:r>
        <w:rPr>
          <w:rFonts w:ascii="Times New Roman" w:cs="Times New Roman" w:eastAsia="Times New Roman" w:hAnsi="Times New Roman"/>
          <w:sz w:val="18"/>
          <w:szCs w:val="18"/>
          <w:color w:val="auto"/>
        </w:rPr>
        <w:t>—The Company’s equity compensation expense is comprised of awards of options to purchase common stock,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RSUs, PSUs, and stock issued under the Company’s employee stock purchase plan (“ESPP”).</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1" w:name="page92"/>
    <w:bookmarkEnd w:id="91"/>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The following two tables show stock compensation expense by award type and where the stock compensation expense is recorded in the Company’s consolidated statements of operations:</w:t>
      </w:r>
    </w:p>
    <w:p>
      <w:pPr>
        <w:spacing w:after="0" w:line="169" w:lineRule="exact"/>
        <w:rPr>
          <w:sz w:val="20"/>
          <w:szCs w:val="20"/>
          <w:color w:val="auto"/>
        </w:rPr>
      </w:pPr>
    </w:p>
    <w:tbl>
      <w:tblPr>
        <w:tblLayout w:type="fixed"/>
        <w:tblInd w:w="1140" w:type="dxa"/>
        <w:tblCellMar>
          <w:top w:w="0" w:type="dxa"/>
          <w:left w:w="0" w:type="dxa"/>
          <w:bottom w:w="0" w:type="dxa"/>
          <w:right w:w="0" w:type="dxa"/>
        </w:tblCellMar>
      </w:tblPr>
      <w:tr>
        <w:trPr>
          <w:trHeight w:val="187"/>
        </w:trPr>
        <w:tc>
          <w:tcPr>
            <w:tcW w:w="5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8"/>
          </w:tcPr>
          <w:p>
            <w:pPr>
              <w:jc w:val="center"/>
              <w:ind w:left="474"/>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8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169"/>
        </w:trPr>
        <w:tc>
          <w:tcPr>
            <w:tcW w:w="5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4"/>
                <w:szCs w:val="14"/>
                <w:color w:val="auto"/>
              </w:rPr>
            </w:pPr>
          </w:p>
        </w:tc>
      </w:tr>
      <w:tr>
        <w:trPr>
          <w:trHeight w:val="169"/>
        </w:trPr>
        <w:tc>
          <w:tcPr>
            <w:tcW w:w="5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243"/>
        </w:trPr>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Options</w:t>
            </w:r>
          </w:p>
        </w:tc>
        <w:tc>
          <w:tcPr>
            <w:tcW w:w="2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11,555</w:t>
            </w:r>
          </w:p>
        </w:tc>
        <w:tc>
          <w:tcPr>
            <w:tcW w:w="460" w:type="dxa"/>
            <w:vAlign w:val="bottom"/>
            <w:gridSpan w:val="3"/>
            <w:shd w:val="clear" w:color="auto" w:fill="CFF0FC"/>
          </w:tcPr>
          <w:p>
            <w:pPr>
              <w:jc w:val="right"/>
              <w:ind w:right="68"/>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9,713</w:t>
            </w:r>
          </w:p>
        </w:tc>
        <w:tc>
          <w:tcPr>
            <w:tcW w:w="42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6,253</w:t>
            </w:r>
          </w:p>
        </w:tc>
        <w:tc>
          <w:tcPr>
            <w:tcW w:w="80" w:type="dxa"/>
            <w:vAlign w:val="bottom"/>
            <w:shd w:val="clear" w:color="auto" w:fill="CFF0FC"/>
          </w:tcPr>
          <w:p>
            <w:pPr>
              <w:spacing w:after="0"/>
              <w:rPr>
                <w:sz w:val="21"/>
                <w:szCs w:val="21"/>
                <w:color w:val="auto"/>
              </w:rPr>
            </w:pPr>
          </w:p>
        </w:tc>
      </w:tr>
      <w:tr>
        <w:trPr>
          <w:trHeight w:val="239"/>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RSUs</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391,810</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253,838</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151,385</w:t>
            </w:r>
          </w:p>
        </w:tc>
        <w:tc>
          <w:tcPr>
            <w:tcW w:w="80" w:type="dxa"/>
            <w:vAlign w:val="bottom"/>
          </w:tcPr>
          <w:p>
            <w:pPr>
              <w:spacing w:after="0"/>
              <w:rPr>
                <w:sz w:val="20"/>
                <w:szCs w:val="20"/>
                <w:color w:val="auto"/>
              </w:rPr>
            </w:pPr>
          </w:p>
        </w:tc>
      </w:tr>
      <w:tr>
        <w:trPr>
          <w:trHeight w:val="247"/>
        </w:trPr>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PSUs</w:t>
            </w:r>
          </w:p>
        </w:tc>
        <w:tc>
          <w:tcPr>
            <w:tcW w:w="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13,502</w:t>
            </w:r>
          </w:p>
        </w:tc>
        <w:tc>
          <w:tcPr>
            <w:tcW w:w="20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ESPP</w:t>
            </w:r>
          </w:p>
        </w:tc>
        <w:tc>
          <w:tcPr>
            <w:tcW w:w="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15,404</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12,298</w:t>
            </w: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9,123</w:t>
            </w:r>
          </w:p>
        </w:tc>
        <w:tc>
          <w:tcPr>
            <w:tcW w:w="80" w:type="dxa"/>
            <w:vAlign w:val="bottom"/>
          </w:tcPr>
          <w:p>
            <w:pPr>
              <w:spacing w:after="0"/>
              <w:rPr>
                <w:sz w:val="21"/>
                <w:szCs w:val="21"/>
                <w:color w:val="auto"/>
              </w:rPr>
            </w:pPr>
          </w:p>
        </w:tc>
      </w:tr>
      <w:tr>
        <w:trPr>
          <w:trHeight w:val="277"/>
        </w:trPr>
        <w:tc>
          <w:tcPr>
            <w:tcW w:w="530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Total stock-based compensation</w:t>
            </w:r>
          </w:p>
        </w:tc>
        <w:tc>
          <w:tcPr>
            <w:tcW w:w="2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432,271</w:t>
            </w:r>
          </w:p>
        </w:tc>
        <w:tc>
          <w:tcPr>
            <w:tcW w:w="460" w:type="dxa"/>
            <w:vAlign w:val="bottom"/>
            <w:gridSpan w:val="3"/>
            <w:shd w:val="clear" w:color="auto" w:fill="CFF0FC"/>
          </w:tcPr>
          <w:p>
            <w:pPr>
              <w:jc w:val="right"/>
              <w:ind w:right="68"/>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275,849</w:t>
            </w:r>
          </w:p>
        </w:tc>
        <w:tc>
          <w:tcPr>
            <w:tcW w:w="42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166,761</w:t>
            </w:r>
          </w:p>
        </w:tc>
        <w:tc>
          <w:tcPr>
            <w:tcW w:w="80" w:type="dxa"/>
            <w:vAlign w:val="bottom"/>
            <w:shd w:val="clear" w:color="auto" w:fill="CFF0FC"/>
          </w:tcPr>
          <w:p>
            <w:pPr>
              <w:spacing w:after="0"/>
              <w:rPr>
                <w:sz w:val="24"/>
                <w:szCs w:val="24"/>
                <w:color w:val="auto"/>
              </w:rPr>
            </w:pPr>
          </w:p>
        </w:tc>
      </w:tr>
      <w:tr>
        <w:trPr>
          <w:trHeight w:val="372"/>
        </w:trPr>
        <w:tc>
          <w:tcPr>
            <w:tcW w:w="5300" w:type="dxa"/>
            <w:vAlign w:val="bottom"/>
            <w:tcBorders>
              <w:top w:val="single" w:sz="8" w:color="CFF0FC"/>
            </w:tcBorders>
          </w:tcPr>
          <w:p>
            <w:pPr>
              <w:spacing w:after="0"/>
              <w:rPr>
                <w:sz w:val="24"/>
                <w:szCs w:val="24"/>
                <w:color w:val="auto"/>
              </w:rPr>
            </w:pPr>
          </w:p>
        </w:tc>
        <w:tc>
          <w:tcPr>
            <w:tcW w:w="20" w:type="dxa"/>
            <w:vAlign w:val="bottom"/>
            <w:tcBorders>
              <w:top w:val="single" w:sz="8" w:color="CFF0FC"/>
              <w:bottom w:val="single" w:sz="8" w:color="auto"/>
            </w:tcBorders>
          </w:tcPr>
          <w:p>
            <w:pPr>
              <w:spacing w:after="0"/>
              <w:rPr>
                <w:sz w:val="24"/>
                <w:szCs w:val="24"/>
                <w:color w:val="auto"/>
              </w:rPr>
            </w:pPr>
          </w:p>
        </w:tc>
        <w:tc>
          <w:tcPr>
            <w:tcW w:w="240" w:type="dxa"/>
            <w:vAlign w:val="bottom"/>
            <w:tcBorders>
              <w:top w:val="single" w:sz="8" w:color="auto"/>
              <w:bottom w:val="single" w:sz="8" w:color="auto"/>
            </w:tcBorders>
          </w:tcPr>
          <w:p>
            <w:pPr>
              <w:spacing w:after="0"/>
              <w:rPr>
                <w:sz w:val="24"/>
                <w:szCs w:val="24"/>
                <w:color w:val="auto"/>
              </w:rPr>
            </w:pPr>
          </w:p>
        </w:tc>
        <w:tc>
          <w:tcPr>
            <w:tcW w:w="820" w:type="dxa"/>
            <w:vAlign w:val="bottom"/>
            <w:tcBorders>
              <w:top w:val="single" w:sz="8" w:color="auto"/>
              <w:bottom w:val="single" w:sz="8" w:color="auto"/>
            </w:tcBorders>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Borders>
              <w:top w:val="single" w:sz="8" w:color="CFF0FC"/>
            </w:tcBorders>
          </w:tcPr>
          <w:p>
            <w:pPr>
              <w:spacing w:after="0"/>
              <w:rPr>
                <w:sz w:val="24"/>
                <w:szCs w:val="24"/>
                <w:color w:val="auto"/>
              </w:rPr>
            </w:pPr>
          </w:p>
        </w:tc>
        <w:tc>
          <w:tcPr>
            <w:tcW w:w="20" w:type="dxa"/>
            <w:vAlign w:val="bottom"/>
            <w:tcBorders>
              <w:top w:val="single" w:sz="8" w:color="CFF0FC"/>
              <w:bottom w:val="single" w:sz="8" w:color="auto"/>
            </w:tcBorders>
          </w:tcPr>
          <w:p>
            <w:pPr>
              <w:spacing w:after="0"/>
              <w:rPr>
                <w:sz w:val="24"/>
                <w:szCs w:val="24"/>
                <w:color w:val="auto"/>
              </w:rPr>
            </w:pPr>
          </w:p>
        </w:tc>
        <w:tc>
          <w:tcPr>
            <w:tcW w:w="240" w:type="dxa"/>
            <w:vAlign w:val="bottom"/>
            <w:tcBorders>
              <w:top w:val="single" w:sz="8" w:color="auto"/>
              <w:bottom w:val="single" w:sz="8" w:color="auto"/>
            </w:tcBorders>
          </w:tcPr>
          <w:p>
            <w:pPr>
              <w:spacing w:after="0"/>
              <w:rPr>
                <w:sz w:val="24"/>
                <w:szCs w:val="24"/>
                <w:color w:val="auto"/>
              </w:rPr>
            </w:pPr>
          </w:p>
        </w:tc>
        <w:tc>
          <w:tcPr>
            <w:tcW w:w="820" w:type="dxa"/>
            <w:vAlign w:val="bottom"/>
            <w:tcBorders>
              <w:top w:val="single" w:sz="8" w:color="auto"/>
              <w:bottom w:val="single" w:sz="8" w:color="auto"/>
            </w:tcBorders>
          </w:tcPr>
          <w:p>
            <w:pPr>
              <w:jc w:val="center"/>
              <w:ind w:right="173"/>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80" w:type="dxa"/>
            <w:vAlign w:val="bottom"/>
            <w:tcBorders>
              <w:top w:val="single" w:sz="8" w:color="CFF0FC"/>
            </w:tcBorders>
          </w:tcPr>
          <w:p>
            <w:pPr>
              <w:spacing w:after="0"/>
              <w:rPr>
                <w:sz w:val="24"/>
                <w:szCs w:val="24"/>
                <w:color w:val="auto"/>
              </w:rPr>
            </w:pPr>
          </w:p>
        </w:tc>
        <w:tc>
          <w:tcPr>
            <w:tcW w:w="20" w:type="dxa"/>
            <w:vAlign w:val="bottom"/>
            <w:tcBorders>
              <w:top w:val="single" w:sz="8" w:color="CFF0FC"/>
              <w:bottom w:val="single" w:sz="8" w:color="auto"/>
            </w:tcBorders>
          </w:tcPr>
          <w:p>
            <w:pPr>
              <w:spacing w:after="0"/>
              <w:rPr>
                <w:sz w:val="24"/>
                <w:szCs w:val="24"/>
                <w:color w:val="auto"/>
              </w:rPr>
            </w:pPr>
          </w:p>
        </w:tc>
        <w:tc>
          <w:tcPr>
            <w:tcW w:w="220" w:type="dxa"/>
            <w:vAlign w:val="bottom"/>
            <w:tcBorders>
              <w:top w:val="single" w:sz="8" w:color="auto"/>
              <w:bottom w:val="single" w:sz="8" w:color="auto"/>
            </w:tcBorders>
          </w:tcPr>
          <w:p>
            <w:pPr>
              <w:spacing w:after="0"/>
              <w:rPr>
                <w:sz w:val="24"/>
                <w:szCs w:val="24"/>
                <w:color w:val="auto"/>
              </w:rPr>
            </w:pPr>
          </w:p>
        </w:tc>
        <w:tc>
          <w:tcPr>
            <w:tcW w:w="820" w:type="dxa"/>
            <w:vAlign w:val="bottom"/>
            <w:tcBorders>
              <w:top w:val="single" w:sz="8" w:color="auto"/>
              <w:bottom w:val="single" w:sz="8" w:color="auto"/>
            </w:tcBorders>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Borders>
              <w:top w:val="single" w:sz="8" w:color="CFF0FC"/>
            </w:tcBorders>
          </w:tcPr>
          <w:p>
            <w:pPr>
              <w:spacing w:after="0"/>
              <w:rPr>
                <w:sz w:val="24"/>
                <w:szCs w:val="24"/>
                <w:color w:val="auto"/>
              </w:rPr>
            </w:pPr>
          </w:p>
        </w:tc>
      </w:tr>
      <w:tr>
        <w:trPr>
          <w:trHeight w:val="169"/>
        </w:trPr>
        <w:tc>
          <w:tcPr>
            <w:tcW w:w="5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243"/>
        </w:trPr>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 of revenue, subscription</w:t>
            </w:r>
          </w:p>
        </w:tc>
        <w:tc>
          <w:tcPr>
            <w:tcW w:w="2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12,652</w:t>
            </w:r>
          </w:p>
        </w:tc>
        <w:tc>
          <w:tcPr>
            <w:tcW w:w="460" w:type="dxa"/>
            <w:vAlign w:val="bottom"/>
            <w:gridSpan w:val="3"/>
            <w:shd w:val="clear" w:color="auto" w:fill="CFF0FC"/>
          </w:tcPr>
          <w:p>
            <w:pPr>
              <w:jc w:val="right"/>
              <w:ind w:right="88"/>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9,076</w:t>
            </w:r>
          </w:p>
        </w:tc>
        <w:tc>
          <w:tcPr>
            <w:tcW w:w="42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6,297</w:t>
            </w:r>
          </w:p>
        </w:tc>
        <w:tc>
          <w:tcPr>
            <w:tcW w:w="80" w:type="dxa"/>
            <w:vAlign w:val="bottom"/>
            <w:shd w:val="clear" w:color="auto" w:fill="CFF0FC"/>
          </w:tcPr>
          <w:p>
            <w:pPr>
              <w:spacing w:after="0"/>
              <w:rPr>
                <w:sz w:val="21"/>
                <w:szCs w:val="21"/>
                <w:color w:val="auto"/>
              </w:rPr>
            </w:pPr>
          </w:p>
        </w:tc>
      </w:tr>
      <w:tr>
        <w:trPr>
          <w:trHeight w:val="239"/>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 service</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4,958</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4,393</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3,092</w:t>
            </w:r>
          </w:p>
        </w:tc>
        <w:tc>
          <w:tcPr>
            <w:tcW w:w="80" w:type="dxa"/>
            <w:vAlign w:val="bottom"/>
          </w:tcPr>
          <w:p>
            <w:pPr>
              <w:spacing w:after="0"/>
              <w:rPr>
                <w:sz w:val="20"/>
                <w:szCs w:val="20"/>
                <w:color w:val="auto"/>
              </w:rPr>
            </w:pPr>
          </w:p>
        </w:tc>
      </w:tr>
      <w:tr>
        <w:trPr>
          <w:trHeight w:val="247"/>
        </w:trPr>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198,953</w:t>
            </w:r>
          </w:p>
        </w:tc>
        <w:tc>
          <w:tcPr>
            <w:tcW w:w="20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107,517</w:t>
            </w:r>
          </w:p>
        </w:tc>
        <w:tc>
          <w:tcPr>
            <w:tcW w:w="18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61,614</w:t>
            </w:r>
          </w:p>
        </w:tc>
        <w:tc>
          <w:tcPr>
            <w:tcW w:w="80" w:type="dxa"/>
            <w:vAlign w:val="bottom"/>
            <w:shd w:val="clear" w:color="auto" w:fill="CFF0FC"/>
          </w:tcPr>
          <w:p>
            <w:pPr>
              <w:spacing w:after="0"/>
              <w:rPr>
                <w:sz w:val="21"/>
                <w:szCs w:val="21"/>
                <w:color w:val="auto"/>
              </w:rPr>
            </w:pPr>
          </w:p>
        </w:tc>
      </w:tr>
      <w:tr>
        <w:trPr>
          <w:trHeight w:val="239"/>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140,362</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107,640</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67,413</w:t>
            </w:r>
          </w:p>
        </w:tc>
        <w:tc>
          <w:tcPr>
            <w:tcW w:w="80" w:type="dxa"/>
            <w:vAlign w:val="bottom"/>
          </w:tcPr>
          <w:p>
            <w:pPr>
              <w:spacing w:after="0"/>
              <w:rPr>
                <w:sz w:val="20"/>
                <w:szCs w:val="20"/>
                <w:color w:val="auto"/>
              </w:rPr>
            </w:pPr>
          </w:p>
        </w:tc>
      </w:tr>
      <w:tr>
        <w:trPr>
          <w:trHeight w:val="247"/>
        </w:trPr>
        <w:tc>
          <w:tcPr>
            <w:tcW w:w="53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0" w:type="dxa"/>
            <w:vAlign w:val="bottom"/>
            <w:tcBorders>
              <w:bottom w:val="single" w:sz="8" w:color="auto"/>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75,346</w:t>
            </w:r>
          </w:p>
        </w:tc>
        <w:tc>
          <w:tcPr>
            <w:tcW w:w="200" w:type="dxa"/>
            <w:vAlign w:val="bottom"/>
            <w:tcBorders>
              <w:bottom w:val="single" w:sz="8" w:color="CFF0FC"/>
            </w:tcBorders>
            <w:shd w:val="clear" w:color="auto" w:fill="CFF0FC"/>
          </w:tcPr>
          <w:p>
            <w:pPr>
              <w:spacing w:after="0"/>
              <w:rPr>
                <w:sz w:val="21"/>
                <w:szCs w:val="21"/>
                <w:color w:val="auto"/>
              </w:rPr>
            </w:pPr>
          </w:p>
        </w:tc>
        <w:tc>
          <w:tcPr>
            <w:tcW w:w="20" w:type="dxa"/>
            <w:vAlign w:val="bottom"/>
            <w:tcBorders>
              <w:bottom w:val="single" w:sz="8" w:color="auto"/>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47,223</w:t>
            </w:r>
          </w:p>
        </w:tc>
        <w:tc>
          <w:tcPr>
            <w:tcW w:w="180" w:type="dxa"/>
            <w:vAlign w:val="bottom"/>
            <w:tcBorders>
              <w:bottom w:val="single" w:sz="8" w:color="CFF0FC"/>
            </w:tcBorders>
            <w:shd w:val="clear" w:color="auto" w:fill="CFF0FC"/>
          </w:tcPr>
          <w:p>
            <w:pPr>
              <w:spacing w:after="0"/>
              <w:rPr>
                <w:sz w:val="21"/>
                <w:szCs w:val="21"/>
                <w:color w:val="auto"/>
              </w:rPr>
            </w:pPr>
          </w:p>
        </w:tc>
        <w:tc>
          <w:tcPr>
            <w:tcW w:w="20" w:type="dxa"/>
            <w:vAlign w:val="bottom"/>
            <w:tcBorders>
              <w:bottom w:val="single" w:sz="8" w:color="auto"/>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28,345</w:t>
            </w:r>
          </w:p>
        </w:tc>
        <w:tc>
          <w:tcPr>
            <w:tcW w:w="80" w:type="dxa"/>
            <w:vAlign w:val="bottom"/>
            <w:tcBorders>
              <w:bottom w:val="single" w:sz="8" w:color="CFF0FC"/>
            </w:tcBorders>
            <w:shd w:val="clear" w:color="auto" w:fill="CFF0FC"/>
          </w:tcPr>
          <w:p>
            <w:pPr>
              <w:spacing w:after="0"/>
              <w:rPr>
                <w:sz w:val="21"/>
                <w:szCs w:val="21"/>
                <w:color w:val="auto"/>
              </w:rPr>
            </w:pPr>
          </w:p>
        </w:tc>
      </w:tr>
      <w:tr>
        <w:trPr>
          <w:trHeight w:val="236"/>
        </w:trPr>
        <w:tc>
          <w:tcPr>
            <w:tcW w:w="53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stock-based compensation</w:t>
            </w:r>
          </w:p>
        </w:tc>
        <w:tc>
          <w:tcPr>
            <w:tcW w:w="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432,271</w:t>
            </w:r>
          </w:p>
        </w:tc>
        <w:tc>
          <w:tcPr>
            <w:tcW w:w="460" w:type="dxa"/>
            <w:vAlign w:val="bottom"/>
            <w:gridSpan w:val="3"/>
          </w:tcPr>
          <w:p>
            <w:pPr>
              <w:jc w:val="right"/>
              <w:ind w:right="88"/>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275,849</w:t>
            </w:r>
          </w:p>
        </w:tc>
        <w:tc>
          <w:tcPr>
            <w:tcW w:w="4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166,761</w:t>
            </w:r>
          </w:p>
        </w:tc>
        <w:tc>
          <w:tcPr>
            <w:tcW w:w="80" w:type="dxa"/>
            <w:vAlign w:val="bottom"/>
          </w:tcPr>
          <w:p>
            <w:pPr>
              <w:spacing w:after="0"/>
              <w:rPr>
                <w:sz w:val="20"/>
                <w:szCs w:val="20"/>
                <w:color w:val="auto"/>
              </w:rPr>
            </w:pPr>
          </w:p>
        </w:tc>
      </w:tr>
      <w:tr>
        <w:trPr>
          <w:trHeight w:val="20"/>
        </w:trPr>
        <w:tc>
          <w:tcPr>
            <w:tcW w:w="53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4779645</wp:posOffset>
            </wp:positionH>
            <wp:positionV relativeFrom="paragraph">
              <wp:posOffset>-1353820</wp:posOffset>
            </wp:positionV>
            <wp:extent cx="59690" cy="825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-1336675</wp:posOffset>
            </wp:positionV>
            <wp:extent cx="59690" cy="825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-1353820</wp:posOffset>
            </wp:positionV>
            <wp:extent cx="51435" cy="825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-1336675</wp:posOffset>
            </wp:positionV>
            <wp:extent cx="51435" cy="825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-1353820</wp:posOffset>
            </wp:positionV>
            <wp:extent cx="51435" cy="825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-1336675</wp:posOffset>
            </wp:positionV>
            <wp:extent cx="51435" cy="825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-187960</wp:posOffset>
            </wp:positionV>
            <wp:extent cx="59690" cy="825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-187960</wp:posOffset>
            </wp:positionV>
            <wp:extent cx="51435" cy="825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-187960</wp:posOffset>
            </wp:positionV>
            <wp:extent cx="51435" cy="825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05" w:lineRule="exact"/>
        <w:rPr>
          <w:sz w:val="20"/>
          <w:szCs w:val="20"/>
          <w:color w:val="auto"/>
        </w:rPr>
      </w:pPr>
    </w:p>
    <w:p>
      <w:pPr>
        <w:ind w:right="260" w:firstLine="509"/>
        <w:spacing w:after="0" w:line="282" w:lineRule="auto"/>
        <w:rPr>
          <w:sz w:val="20"/>
          <w:szCs w:val="20"/>
          <w:color w:val="auto"/>
        </w:rPr>
      </w:pPr>
      <w:r>
        <w:rPr>
          <w:rFonts w:ascii="Times New Roman" w:cs="Times New Roman" w:eastAsia="Times New Roman" w:hAnsi="Times New Roman"/>
          <w:sz w:val="18"/>
          <w:szCs w:val="18"/>
          <w:color w:val="auto"/>
        </w:rPr>
        <w:t>Excluded from stock-based compensation expense is $28.2 million of capitalized software development costs in 2023, $13.1 million in 2022, and $6.0 million in 2021.</w:t>
      </w:r>
    </w:p>
    <w:p>
      <w:pPr>
        <w:spacing w:after="0" w:line="158" w:lineRule="exact"/>
        <w:rPr>
          <w:sz w:val="20"/>
          <w:szCs w:val="20"/>
          <w:color w:val="auto"/>
        </w:rPr>
      </w:pPr>
    </w:p>
    <w:p>
      <w:pPr>
        <w:ind w:right="180" w:firstLine="509"/>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Stock Options </w:t>
      </w:r>
      <w:r>
        <w:rPr>
          <w:rFonts w:ascii="Times New Roman" w:cs="Times New Roman" w:eastAsia="Times New Roman" w:hAnsi="Times New Roman"/>
          <w:sz w:val="18"/>
          <w:szCs w:val="18"/>
          <w:color w:val="auto"/>
        </w:rPr>
        <w:t>—The fair value of employee options is estimated on the date of each grant using the Black-Scholes option-pricing model with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following assumptions:</w:t>
      </w:r>
    </w:p>
    <w:p>
      <w:pPr>
        <w:spacing w:after="0" w:line="166" w:lineRule="exact"/>
        <w:rPr>
          <w:sz w:val="20"/>
          <w:szCs w:val="20"/>
          <w:color w:val="auto"/>
        </w:rPr>
      </w:pPr>
    </w:p>
    <w:tbl>
      <w:tblPr>
        <w:tblLayout w:type="fixed"/>
        <w:tblInd w:w="1140" w:type="dxa"/>
        <w:tblCellMar>
          <w:top w:w="0" w:type="dxa"/>
          <w:left w:w="0" w:type="dxa"/>
          <w:bottom w:w="0" w:type="dxa"/>
          <w:right w:w="0" w:type="dxa"/>
        </w:tblCellMar>
      </w:tblPr>
      <w:tr>
        <w:trPr>
          <w:trHeight w:val="187"/>
        </w:trPr>
        <w:tc>
          <w:tcPr>
            <w:tcW w:w="5300" w:type="dxa"/>
            <w:vAlign w:val="bottom"/>
          </w:tcPr>
          <w:p>
            <w:pPr>
              <w:spacing w:after="0"/>
              <w:rPr>
                <w:sz w:val="16"/>
                <w:szCs w:val="16"/>
                <w:color w:val="auto"/>
              </w:rPr>
            </w:pPr>
          </w:p>
        </w:tc>
        <w:tc>
          <w:tcPr>
            <w:tcW w:w="2660" w:type="dxa"/>
            <w:vAlign w:val="bottom"/>
            <w:tcBorders>
              <w:bottom w:val="single" w:sz="8" w:color="auto"/>
            </w:tcBorders>
            <w:gridSpan w:val="5"/>
          </w:tcPr>
          <w:p>
            <w:pPr>
              <w:ind w:left="10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9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169"/>
        </w:trPr>
        <w:tc>
          <w:tcPr>
            <w:tcW w:w="5300" w:type="dxa"/>
            <w:vAlign w:val="bottom"/>
          </w:tcPr>
          <w:p>
            <w:pPr>
              <w:spacing w:after="0"/>
              <w:rPr>
                <w:sz w:val="14"/>
                <w:szCs w:val="14"/>
                <w:color w:val="auto"/>
              </w:rPr>
            </w:pPr>
          </w:p>
        </w:tc>
        <w:tc>
          <w:tcPr>
            <w:tcW w:w="1080" w:type="dxa"/>
            <w:vAlign w:val="bottom"/>
          </w:tcPr>
          <w:p>
            <w:pPr>
              <w:jc w:val="right"/>
              <w:ind w:right="31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60" w:type="dxa"/>
            <w:vAlign w:val="bottom"/>
            <w:gridSpan w:val="2"/>
          </w:tcPr>
          <w:p>
            <w:pPr>
              <w:jc w:val="right"/>
              <w:ind w:right="290"/>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4"/>
                <w:szCs w:val="14"/>
                <w:color w:val="auto"/>
              </w:rPr>
            </w:pPr>
          </w:p>
        </w:tc>
      </w:tr>
      <w:tr>
        <w:trPr>
          <w:trHeight w:val="232"/>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 rate (%)</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3.46-4.37</w:t>
            </w:r>
          </w:p>
        </w:tc>
        <w:tc>
          <w:tcPr>
            <w:tcW w:w="200" w:type="dxa"/>
            <w:vAlign w:val="bottom"/>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1.70-3.00</w:t>
            </w:r>
          </w:p>
        </w:tc>
        <w:tc>
          <w:tcPr>
            <w:tcW w:w="2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0.53-1.36</w:t>
            </w:r>
          </w:p>
        </w:tc>
        <w:tc>
          <w:tcPr>
            <w:tcW w:w="80" w:type="dxa"/>
            <w:vAlign w:val="bottom"/>
          </w:tcPr>
          <w:p>
            <w:pPr>
              <w:spacing w:after="0"/>
              <w:rPr>
                <w:sz w:val="20"/>
                <w:szCs w:val="20"/>
                <w:color w:val="auto"/>
              </w:rPr>
            </w:pPr>
          </w:p>
        </w:tc>
      </w:tr>
      <w:tr>
        <w:trPr>
          <w:trHeight w:val="247"/>
        </w:trPr>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term (years)</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5.3-6.0</w:t>
            </w:r>
          </w:p>
        </w:tc>
        <w:tc>
          <w:tcPr>
            <w:tcW w:w="1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5.1-6.4</w:t>
            </w:r>
          </w:p>
        </w:tc>
        <w:tc>
          <w:tcPr>
            <w:tcW w:w="2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5.2-6.4</w:t>
            </w:r>
          </w:p>
        </w:tc>
        <w:tc>
          <w:tcPr>
            <w:tcW w:w="80" w:type="dxa"/>
            <w:vAlign w:val="bottom"/>
            <w:shd w:val="clear" w:color="auto" w:fill="CFF0FC"/>
          </w:tcPr>
          <w:p>
            <w:pPr>
              <w:spacing w:after="0"/>
              <w:rPr>
                <w:sz w:val="21"/>
                <w:szCs w:val="21"/>
                <w:color w:val="auto"/>
              </w:rPr>
            </w:pPr>
          </w:p>
        </w:tc>
      </w:tr>
      <w:tr>
        <w:trPr>
          <w:trHeight w:val="239"/>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Volatility (%)</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52.72-55.06</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43.19-50.58</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42.97-44.70</w:t>
            </w:r>
          </w:p>
        </w:tc>
        <w:tc>
          <w:tcPr>
            <w:tcW w:w="80" w:type="dxa"/>
            <w:vAlign w:val="bottom"/>
          </w:tcPr>
          <w:p>
            <w:pPr>
              <w:spacing w:after="0"/>
              <w:rPr>
                <w:sz w:val="20"/>
                <w:szCs w:val="20"/>
                <w:color w:val="auto"/>
              </w:rPr>
            </w:pPr>
          </w:p>
        </w:tc>
      </w:tr>
      <w:tr>
        <w:trPr>
          <w:trHeight w:val="247"/>
        </w:trPr>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dividends</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1"/>
                <w:szCs w:val="21"/>
                <w:color w:val="auto"/>
              </w:rPr>
            </w:pPr>
          </w:p>
        </w:tc>
        <w:tc>
          <w:tcPr>
            <w:tcW w:w="1380" w:type="dxa"/>
            <w:vAlign w:val="bottom"/>
            <w:gridSpan w:val="3"/>
            <w:shd w:val="clear" w:color="auto" w:fill="CFF0FC"/>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bl>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weighted-average grant-date fair value of options granted was $197.31 per share in 2023, $217.05 per share in 2022, and $221.86 per share in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2021.</w:t>
      </w:r>
    </w:p>
    <w:p>
      <w:pPr>
        <w:spacing w:after="0" w:line="207"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The interest rate is based on the U.S. Treasury bond rate at the date of grant with a maturity approximately equal to the expected term. The expected term of options granted to employees is calculated using the simplified method, which represents the average of the contractual term of the option and the weighted-average vesting period of the option. The expected volatility for the Company’s common stock is based on the average of the Company's historical volatility over the expected term of the award. The assumed dividend yield is based upon the Company’s expectation of not paying dividends in the foreseeable future. Forfeitures of share-based awards prior to vesting results in a reversal of previously recorded stock-compensation expense associated with such forfeited awards. The fair value of the Company’s common stock is the closing price of the stock on the date of grant.</w:t>
      </w:r>
    </w:p>
    <w:p>
      <w:pPr>
        <w:spacing w:after="0" w:line="1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stock option activity for the year ended December 31, 2023 is as follows: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3"/>
                <w:szCs w:val="13"/>
                <w:color w:val="auto"/>
              </w:rPr>
            </w:pPr>
          </w:p>
        </w:tc>
        <w:tc>
          <w:tcPr>
            <w:tcW w:w="45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w w:val="99"/>
              </w:rPr>
              <w:t>Weighted-</w:t>
            </w:r>
          </w:p>
        </w:tc>
        <w:tc>
          <w:tcPr>
            <w:tcW w:w="200" w:type="dxa"/>
            <w:vAlign w:val="bottom"/>
          </w:tcPr>
          <w:p>
            <w:pPr>
              <w:spacing w:after="0"/>
              <w:rPr>
                <w:sz w:val="13"/>
                <w:szCs w:val="13"/>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Weighted-</w:t>
            </w: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80" w:type="dxa"/>
            <w:vAlign w:val="bottom"/>
          </w:tcPr>
          <w:p>
            <w:pPr>
              <w:spacing w:after="0"/>
              <w:rPr>
                <w:sz w:val="12"/>
                <w:szCs w:val="12"/>
                <w:color w:val="auto"/>
              </w:rPr>
            </w:pPr>
          </w:p>
        </w:tc>
        <w:tc>
          <w:tcPr>
            <w:tcW w:w="45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320" w:type="dxa"/>
            <w:vAlign w:val="bottom"/>
            <w:gridSpan w:val="2"/>
            <w:vMerge w:val="restart"/>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Shares (in</w:t>
            </w:r>
          </w:p>
        </w:tc>
        <w:tc>
          <w:tcPr>
            <w:tcW w:w="160" w:type="dxa"/>
            <w:vAlign w:val="bottom"/>
          </w:tcPr>
          <w:p>
            <w:pPr>
              <w:spacing w:after="0"/>
              <w:rPr>
                <w:sz w:val="12"/>
                <w:szCs w:val="12"/>
                <w:color w:val="auto"/>
              </w:rPr>
            </w:pPr>
          </w:p>
        </w:tc>
        <w:tc>
          <w:tcPr>
            <w:tcW w:w="840" w:type="dxa"/>
            <w:vAlign w:val="bottom"/>
          </w:tcPr>
          <w:p>
            <w:pPr>
              <w:jc w:val="center"/>
              <w:ind w:right="57"/>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0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80" w:type="dxa"/>
            <w:vAlign w:val="bottom"/>
          </w:tcPr>
          <w:p>
            <w:pPr>
              <w:spacing w:after="0"/>
              <w:rPr>
                <w:sz w:val="12"/>
                <w:szCs w:val="12"/>
                <w:color w:val="auto"/>
              </w:rPr>
            </w:pPr>
          </w:p>
        </w:tc>
        <w:tc>
          <w:tcPr>
            <w:tcW w:w="45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jc w:val="center"/>
              <w:ind w:right="57"/>
              <w:spacing w:after="0" w:line="149" w:lineRule="exact"/>
              <w:rPr>
                <w:sz w:val="20"/>
                <w:szCs w:val="20"/>
                <w:color w:val="auto"/>
              </w:rPr>
            </w:pPr>
            <w:r>
              <w:rPr>
                <w:rFonts w:ascii="Times New Roman" w:cs="Times New Roman" w:eastAsia="Times New Roman" w:hAnsi="Times New Roman"/>
                <w:sz w:val="14"/>
                <w:szCs w:val="14"/>
                <w:b w:val="1"/>
                <w:bCs w:val="1"/>
                <w:color w:val="auto"/>
                <w:w w:val="98"/>
              </w:rPr>
              <w:t>Exercise</w:t>
            </w:r>
          </w:p>
        </w:tc>
        <w:tc>
          <w:tcPr>
            <w:tcW w:w="20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w w:val="97"/>
              </w:rPr>
              <w:t>Value</w:t>
            </w: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580" w:type="dxa"/>
            <w:vAlign w:val="bottom"/>
          </w:tcPr>
          <w:p>
            <w:pPr>
              <w:spacing w:after="0"/>
              <w:rPr>
                <w:sz w:val="16"/>
                <w:szCs w:val="16"/>
                <w:color w:val="auto"/>
              </w:rPr>
            </w:pPr>
          </w:p>
        </w:tc>
        <w:tc>
          <w:tcPr>
            <w:tcW w:w="45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10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thousands)</w:t>
            </w:r>
          </w:p>
        </w:tc>
        <w:tc>
          <w:tcPr>
            <w:tcW w:w="2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rPr>
              <w:t>Price</w:t>
            </w:r>
          </w:p>
        </w:tc>
        <w:tc>
          <w:tcPr>
            <w:tcW w:w="200" w:type="dxa"/>
            <w:vAlign w:val="bottom"/>
          </w:tcPr>
          <w:p>
            <w:pPr>
              <w:spacing w:after="0"/>
              <w:rPr>
                <w:sz w:val="16"/>
                <w:szCs w:val="16"/>
                <w:color w:val="auto"/>
              </w:rPr>
            </w:pPr>
          </w:p>
        </w:tc>
        <w:tc>
          <w:tcPr>
            <w:tcW w:w="1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Life (in years)</w:t>
            </w:r>
          </w:p>
        </w:tc>
        <w:tc>
          <w:tcPr>
            <w:tcW w:w="200" w:type="dxa"/>
            <w:vAlign w:val="bottom"/>
          </w:tcPr>
          <w:p>
            <w:pPr>
              <w:spacing w:after="0"/>
              <w:rPr>
                <w:sz w:val="16"/>
                <w:szCs w:val="16"/>
                <w:color w:val="auto"/>
              </w:rPr>
            </w:pPr>
          </w:p>
        </w:tc>
        <w:tc>
          <w:tcPr>
            <w:tcW w:w="10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580" w:type="dxa"/>
            <w:vAlign w:val="bottom"/>
          </w:tcPr>
          <w:p>
            <w:pPr>
              <w:spacing w:after="0"/>
              <w:rPr>
                <w:sz w:val="20"/>
                <w:szCs w:val="20"/>
                <w:color w:val="auto"/>
              </w:rPr>
            </w:pPr>
          </w:p>
        </w:tc>
        <w:tc>
          <w:tcPr>
            <w:tcW w:w="4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Outstanding—January 1, 2023</w:t>
            </w:r>
          </w:p>
        </w:tc>
        <w:tc>
          <w:tcPr>
            <w:tcW w:w="17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462</w:t>
            </w:r>
          </w:p>
        </w:tc>
        <w:tc>
          <w:tcPr>
            <w:tcW w:w="220" w:type="dxa"/>
            <w:vAlign w:val="bottom"/>
            <w:shd w:val="clear" w:color="auto" w:fill="CFF0FC"/>
          </w:tcPr>
          <w:p>
            <w:pPr>
              <w:spacing w:after="0"/>
              <w:rPr>
                <w:sz w:val="20"/>
                <w:szCs w:val="20"/>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175.81</w:t>
            </w:r>
          </w:p>
        </w:tc>
        <w:tc>
          <w:tcPr>
            <w:tcW w:w="1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71,973</w:t>
            </w:r>
          </w:p>
        </w:tc>
        <w:tc>
          <w:tcPr>
            <w:tcW w:w="100" w:type="dxa"/>
            <w:vAlign w:val="bottom"/>
            <w:shd w:val="clear" w:color="auto" w:fill="CFF0FC"/>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580" w:type="dxa"/>
            <w:vAlign w:val="bottom"/>
          </w:tcPr>
          <w:p>
            <w:pPr>
              <w:spacing w:after="0"/>
              <w:rPr>
                <w:sz w:val="20"/>
                <w:szCs w:val="20"/>
                <w:color w:val="auto"/>
              </w:rPr>
            </w:pPr>
          </w:p>
        </w:tc>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365.66</w:t>
            </w: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80" w:type="dxa"/>
            <w:vAlign w:val="bottom"/>
          </w:tcPr>
          <w:p>
            <w:pPr>
              <w:spacing w:after="0"/>
              <w:rPr>
                <w:sz w:val="21"/>
                <w:szCs w:val="21"/>
                <w:color w:val="auto"/>
              </w:rPr>
            </w:pPr>
          </w:p>
        </w:tc>
        <w:tc>
          <w:tcPr>
            <w:tcW w:w="4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Exercised</w:t>
            </w:r>
          </w:p>
        </w:tc>
        <w:tc>
          <w:tcPr>
            <w:tcW w:w="200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(65 )</w:t>
            </w:r>
          </w:p>
        </w:tc>
        <w:tc>
          <w:tcPr>
            <w:tcW w:w="16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94.71</w:t>
            </w:r>
          </w:p>
        </w:tc>
        <w:tc>
          <w:tcPr>
            <w:tcW w:w="20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80" w:type="dxa"/>
            <w:vAlign w:val="bottom"/>
          </w:tcPr>
          <w:p>
            <w:pPr>
              <w:spacing w:after="0"/>
              <w:rPr>
                <w:sz w:val="21"/>
                <w:szCs w:val="21"/>
                <w:color w:val="auto"/>
              </w:rPr>
            </w:pPr>
          </w:p>
        </w:tc>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Forfeited/expired</w:t>
            </w:r>
          </w:p>
        </w:tc>
        <w:tc>
          <w:tcPr>
            <w:tcW w:w="680" w:type="dxa"/>
            <w:vAlign w:val="bottom"/>
          </w:tcPr>
          <w:p>
            <w:pPr>
              <w:spacing w:after="0"/>
              <w:rPr>
                <w:sz w:val="21"/>
                <w:szCs w:val="21"/>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(9 )</w:t>
            </w:r>
          </w:p>
        </w:tc>
        <w:tc>
          <w:tcPr>
            <w:tcW w:w="1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568.20</w:t>
            </w: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580" w:type="dxa"/>
            <w:vAlign w:val="bottom"/>
          </w:tcPr>
          <w:p>
            <w:pPr>
              <w:spacing w:after="0"/>
              <w:rPr>
                <w:sz w:val="24"/>
                <w:szCs w:val="24"/>
                <w:color w:val="auto"/>
              </w:rPr>
            </w:pPr>
          </w:p>
        </w:tc>
        <w:tc>
          <w:tcPr>
            <w:tcW w:w="45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Outstanding—December 31, 2023</w:t>
            </w:r>
          </w:p>
        </w:tc>
        <w:tc>
          <w:tcPr>
            <w:tcW w:w="680" w:type="dxa"/>
            <w:vAlign w:val="bottom"/>
            <w:tcBorders>
              <w:bottom w:val="single" w:sz="8" w:color="CFF0FC"/>
            </w:tcBorders>
            <w:shd w:val="clear" w:color="auto" w:fill="CFF0FC"/>
          </w:tcPr>
          <w:p>
            <w:pPr>
              <w:spacing w:after="0"/>
              <w:rPr>
                <w:sz w:val="24"/>
                <w:szCs w:val="24"/>
                <w:color w:val="auto"/>
              </w:rPr>
            </w:pP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470</w:t>
            </w:r>
          </w:p>
        </w:tc>
        <w:tc>
          <w:tcPr>
            <w:tcW w:w="22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212.69</w:t>
            </w:r>
          </w:p>
        </w:tc>
        <w:tc>
          <w:tcPr>
            <w:tcW w:w="126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36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173,186</w:t>
            </w:r>
          </w:p>
        </w:tc>
        <w:tc>
          <w:tcPr>
            <w:tcW w:w="100" w:type="dxa"/>
            <w:vAlign w:val="bottom"/>
            <w:tcBorders>
              <w:bottom w:val="single" w:sz="8" w:color="CFF0FC"/>
            </w:tcBorders>
            <w:shd w:val="clear" w:color="auto" w:fill="CFF0FC"/>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580" w:type="dxa"/>
            <w:vAlign w:val="bottom"/>
          </w:tcPr>
          <w:p>
            <w:pPr>
              <w:spacing w:after="0"/>
              <w:rPr>
                <w:sz w:val="19"/>
                <w:szCs w:val="19"/>
                <w:color w:val="auto"/>
              </w:rPr>
            </w:pPr>
          </w:p>
        </w:tc>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Options vested or expected to vest—December 31, 2023</w:t>
            </w:r>
          </w:p>
        </w:tc>
        <w:tc>
          <w:tcPr>
            <w:tcW w:w="1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470</w:t>
            </w:r>
          </w:p>
        </w:tc>
        <w:tc>
          <w:tcPr>
            <w:tcW w:w="2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212.69</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173,186</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580" w:type="dxa"/>
            <w:vAlign w:val="bottom"/>
          </w:tcPr>
          <w:p>
            <w:pPr>
              <w:spacing w:after="0"/>
              <w:rPr>
                <w:sz w:val="21"/>
                <w:szCs w:val="21"/>
                <w:color w:val="auto"/>
              </w:rPr>
            </w:pPr>
          </w:p>
        </w:tc>
        <w:tc>
          <w:tcPr>
            <w:tcW w:w="4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Options exercisable—December 31, 2023</w:t>
            </w:r>
          </w:p>
        </w:tc>
        <w:tc>
          <w:tcPr>
            <w:tcW w:w="17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361</w:t>
            </w:r>
          </w:p>
        </w:tc>
        <w:tc>
          <w:tcPr>
            <w:tcW w:w="220" w:type="dxa"/>
            <w:vAlign w:val="bottom"/>
            <w:shd w:val="clear" w:color="auto" w:fill="CFF0FC"/>
          </w:tcPr>
          <w:p>
            <w:pPr>
              <w:spacing w:after="0"/>
              <w:rPr>
                <w:sz w:val="21"/>
                <w:szCs w:val="21"/>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155.72</w:t>
            </w:r>
          </w:p>
        </w:tc>
        <w:tc>
          <w:tcPr>
            <w:tcW w:w="1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153,376</w:t>
            </w:r>
          </w:p>
        </w:tc>
        <w:tc>
          <w:tcPr>
            <w:tcW w:w="100" w:type="dxa"/>
            <w:vAlign w:val="bottom"/>
            <w:shd w:val="clear" w:color="auto" w:fill="CFF0FC"/>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48"/>
        </w:trPr>
        <w:tc>
          <w:tcPr>
            <w:tcW w:w="58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580" w:type="dxa"/>
            <w:vAlign w:val="bottom"/>
            <w:tcBorders>
              <w:bottom w:val="single" w:sz="8" w:color="9A9A9A"/>
            </w:tcBorders>
          </w:tcPr>
          <w:p>
            <w:pPr>
              <w:spacing w:after="0"/>
              <w:rPr>
                <w:sz w:val="24"/>
                <w:szCs w:val="24"/>
                <w:color w:val="auto"/>
              </w:rPr>
            </w:pPr>
          </w:p>
        </w:tc>
        <w:tc>
          <w:tcPr>
            <w:tcW w:w="452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4368165</wp:posOffset>
            </wp:positionH>
            <wp:positionV relativeFrom="paragraph">
              <wp:posOffset>-1242060</wp:posOffset>
            </wp:positionV>
            <wp:extent cx="68580" cy="889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-1224915</wp:posOffset>
            </wp:positionV>
            <wp:extent cx="68580" cy="889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01" w:right="339" w:bottom="946" w:gutter="0" w:footer="0" w:header="0"/>
        </w:sectPr>
      </w:pPr>
    </w:p>
    <w:bookmarkStart w:id="92" w:name="page93"/>
    <w:bookmarkEnd w:id="92"/>
    <w:p>
      <w:pPr>
        <w:ind w:right="720" w:firstLine="509"/>
        <w:spacing w:after="0" w:line="282" w:lineRule="auto"/>
        <w:rPr>
          <w:sz w:val="20"/>
          <w:szCs w:val="20"/>
          <w:color w:val="auto"/>
        </w:rPr>
      </w:pPr>
      <w:r>
        <w:rPr>
          <w:rFonts w:ascii="Times New Roman" w:cs="Times New Roman" w:eastAsia="Times New Roman" w:hAnsi="Times New Roman"/>
          <w:sz w:val="18"/>
          <w:szCs w:val="18"/>
          <w:color w:val="auto"/>
        </w:rPr>
        <w:t>Total unrecognized compensation cost related to the unvested options was $17.9 million at December 31, 2023. That cost is expected to be recognized over a weighted-average period of 2.1 years as of December 31, 2023.</w:t>
      </w:r>
    </w:p>
    <w:p>
      <w:pPr>
        <w:spacing w:after="0" w:line="158"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Restricted Stock Units </w:t>
      </w:r>
      <w:r>
        <w:rPr>
          <w:rFonts w:ascii="Times New Roman" w:cs="Times New Roman" w:eastAsia="Times New Roman" w:hAnsi="Times New Roman"/>
          <w:sz w:val="18"/>
          <w:szCs w:val="18"/>
          <w:color w:val="auto"/>
        </w:rPr>
        <w:t>—RSUs vest upon achievement of a time-based service condition over a period of three or four years. As soon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practicable following each vesting date, the Company will issue to the holder of the RSUs the number of shares of common stock equal to the aggregate number of RSUs that have vested. Notwithstanding the foregoing, the Company may, at its sole discretion, in lieu of issuing shares of common stock to the holder of the RSUs, pay the holder an amount in cash equal to the fair market value of such shares of common stock. The total stock-based compensation expense expected to be recorded over the remaining life of outstanding RSUs is approximately $697.2 million at December 31, 2023. That cost is expected to be recognized over a weighted-average period of 2.0 years. As of December 31, 2023, there are 2.0 million RSUs expected to vest with an aggregate intrinsic value of $1.1 billion. The total fair value of RSUs vested was approximately $383.2 million in 2023, $243.0 million in 2022, and $134.5 million in 2021.</w:t>
      </w:r>
    </w:p>
    <w:p>
      <w:pPr>
        <w:spacing w:after="0" w:line="185" w:lineRule="exact"/>
        <w:rPr>
          <w:sz w:val="20"/>
          <w:szCs w:val="20"/>
          <w:color w:val="auto"/>
        </w:rPr>
      </w:pPr>
    </w:p>
    <w:p>
      <w:pPr>
        <w:ind w:right="180" w:firstLine="509"/>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Performance-based Restricted Stock Units </w:t>
      </w:r>
      <w:r>
        <w:rPr>
          <w:rFonts w:ascii="Times New Roman" w:cs="Times New Roman" w:eastAsia="Times New Roman" w:hAnsi="Times New Roman"/>
          <w:sz w:val="18"/>
          <w:szCs w:val="18"/>
          <w:color w:val="auto"/>
        </w:rPr>
        <w:t>—In the first quarter of 2023, the Compensation Committee of the Board of Directors approved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grant of PSUs that are eligible to be earned upon the achievement of a pre-determined revenue growth metric and service condition. To the extent earned, 33% of the PSUs will vest in the first quarter of 2024 and the remaining 67% will vest in eight equal quarterly installments thereafter. No PSUs will be earned if the pre-determined revenue growth metric is not achieved, and the overall number of shares that may be earned shall not exceed 150% of the target award.</w:t>
      </w:r>
    </w:p>
    <w:p>
      <w:pPr>
        <w:spacing w:after="0" w:line="183"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The fair value of the PSUs is the closing price of the Company's common stock on the grant date of the award. Stock-based compensation costs for PSUs are recognized using the graded vesting attribution method over the requisite service period. The total stock-based compensation expense expected to be recorded over the remaining life of outstanding PSUs is approximately $8.1 million at December 31, 2023. That cost is expected to be recognized over a weighted-average period of 2.0 years.</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the activity related to RSUs and PSUs for the year ended December 31, 2023:</w:t>
      </w:r>
    </w:p>
    <w:p>
      <w:pPr>
        <w:spacing w:after="0" w:line="399" w:lineRule="exact"/>
        <w:rPr>
          <w:sz w:val="20"/>
          <w:szCs w:val="20"/>
          <w:color w:val="auto"/>
        </w:rPr>
      </w:pPr>
    </w:p>
    <w:tbl>
      <w:tblPr>
        <w:tblLayout w:type="fixed"/>
        <w:tblInd w:w="1140" w:type="dxa"/>
        <w:tblCellMar>
          <w:top w:w="0" w:type="dxa"/>
          <w:left w:w="0" w:type="dxa"/>
          <w:bottom w:w="0" w:type="dxa"/>
          <w:right w:w="0" w:type="dxa"/>
        </w:tblCellMar>
      </w:tblPr>
      <w:tr>
        <w:trPr>
          <w:trHeight w:val="151"/>
        </w:trPr>
        <w:tc>
          <w:tcPr>
            <w:tcW w:w="5840" w:type="dxa"/>
            <w:vAlign w:val="bottom"/>
          </w:tcPr>
          <w:p>
            <w:pPr>
              <w:spacing w:after="0"/>
              <w:rPr>
                <w:sz w:val="13"/>
                <w:szCs w:val="13"/>
                <w:color w:val="auto"/>
              </w:rPr>
            </w:pPr>
          </w:p>
        </w:tc>
        <w:tc>
          <w:tcPr>
            <w:tcW w:w="118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380" w:type="dxa"/>
            <w:vAlign w:val="bottom"/>
            <w:tcBorders>
              <w:top w:val="single" w:sz="8" w:color="auto"/>
            </w:tcBorders>
          </w:tcPr>
          <w:p>
            <w:pPr>
              <w:jc w:val="center"/>
              <w:ind w:right="219"/>
              <w:spacing w:after="0" w:line="151"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8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6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8"/>
        </w:trPr>
        <w:tc>
          <w:tcPr>
            <w:tcW w:w="5840" w:type="dxa"/>
            <w:vAlign w:val="bottom"/>
          </w:tcPr>
          <w:p>
            <w:pPr>
              <w:spacing w:after="0"/>
              <w:rPr>
                <w:sz w:val="12"/>
                <w:szCs w:val="12"/>
                <w:color w:val="auto"/>
              </w:rPr>
            </w:pPr>
          </w:p>
        </w:tc>
        <w:tc>
          <w:tcPr>
            <w:tcW w:w="1380" w:type="dxa"/>
            <w:vAlign w:val="bottom"/>
            <w:gridSpan w:val="2"/>
            <w:vMerge w:val="restart"/>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300" w:type="dxa"/>
            <w:vAlign w:val="bottom"/>
          </w:tcPr>
          <w:p>
            <w:pPr>
              <w:spacing w:after="0"/>
              <w:rPr>
                <w:sz w:val="12"/>
                <w:szCs w:val="12"/>
                <w:color w:val="auto"/>
              </w:rPr>
            </w:pPr>
          </w:p>
        </w:tc>
        <w:tc>
          <w:tcPr>
            <w:tcW w:w="146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0" w:type="dxa"/>
            <w:vAlign w:val="bottom"/>
          </w:tcPr>
          <w:p>
            <w:pPr>
              <w:spacing w:after="0"/>
              <w:rPr>
                <w:sz w:val="1"/>
                <w:szCs w:val="1"/>
                <w:color w:val="auto"/>
              </w:rPr>
            </w:pPr>
          </w:p>
        </w:tc>
      </w:tr>
      <w:tr>
        <w:trPr>
          <w:trHeight w:val="149"/>
        </w:trPr>
        <w:tc>
          <w:tcPr>
            <w:tcW w:w="584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146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w w:val="99"/>
              </w:rPr>
              <w:t>Fair Value</w:t>
            </w:r>
          </w:p>
        </w:tc>
        <w:tc>
          <w:tcPr>
            <w:tcW w:w="0" w:type="dxa"/>
            <w:vAlign w:val="bottom"/>
          </w:tcPr>
          <w:p>
            <w:pPr>
              <w:spacing w:after="0"/>
              <w:rPr>
                <w:sz w:val="1"/>
                <w:szCs w:val="1"/>
                <w:color w:val="auto"/>
              </w:rPr>
            </w:pPr>
          </w:p>
        </w:tc>
      </w:tr>
      <w:tr>
        <w:trPr>
          <w:trHeight w:val="187"/>
        </w:trPr>
        <w:tc>
          <w:tcPr>
            <w:tcW w:w="5840" w:type="dxa"/>
            <w:vAlign w:val="bottom"/>
          </w:tcPr>
          <w:p>
            <w:pPr>
              <w:spacing w:after="0"/>
              <w:rPr>
                <w:sz w:val="16"/>
                <w:szCs w:val="16"/>
                <w:color w:val="auto"/>
              </w:rPr>
            </w:pPr>
          </w:p>
        </w:tc>
        <w:tc>
          <w:tcPr>
            <w:tcW w:w="138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00" w:type="dxa"/>
            <w:vAlign w:val="bottom"/>
          </w:tcPr>
          <w:p>
            <w:pPr>
              <w:spacing w:after="0"/>
              <w:rPr>
                <w:sz w:val="16"/>
                <w:szCs w:val="16"/>
                <w:color w:val="auto"/>
              </w:rPr>
            </w:pPr>
          </w:p>
        </w:tc>
        <w:tc>
          <w:tcPr>
            <w:tcW w:w="146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0" w:type="dxa"/>
            <w:vAlign w:val="bottom"/>
          </w:tcPr>
          <w:p>
            <w:pPr>
              <w:spacing w:after="0"/>
              <w:rPr>
                <w:sz w:val="1"/>
                <w:szCs w:val="1"/>
                <w:color w:val="auto"/>
              </w:rPr>
            </w:pPr>
          </w:p>
        </w:tc>
      </w:tr>
      <w:tr>
        <w:trPr>
          <w:trHeight w:val="236"/>
        </w:trPr>
        <w:tc>
          <w:tcPr>
            <w:tcW w:w="5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Unvested and outstanding at January 1, 2023</w:t>
            </w:r>
          </w:p>
        </w:tc>
        <w:tc>
          <w:tcPr>
            <w:tcW w:w="1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1,580</w:t>
            </w:r>
          </w:p>
        </w:tc>
        <w:tc>
          <w:tcPr>
            <w:tcW w:w="200" w:type="dxa"/>
            <w:vAlign w:val="bottom"/>
            <w:shd w:val="clear" w:color="auto" w:fill="CFF0FC"/>
          </w:tcPr>
          <w:p>
            <w:pPr>
              <w:spacing w:after="0"/>
              <w:rPr>
                <w:sz w:val="20"/>
                <w:szCs w:val="20"/>
                <w:color w:val="auto"/>
              </w:rPr>
            </w:pPr>
          </w:p>
        </w:tc>
        <w:tc>
          <w:tcPr>
            <w:tcW w:w="300" w:type="dxa"/>
            <w:vAlign w:val="bottom"/>
            <w:tcBorders>
              <w:top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378.12</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5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1,666</w:t>
            </w: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410.65</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8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Vested</w:t>
            </w:r>
          </w:p>
        </w:tc>
        <w:tc>
          <w:tcPr>
            <w:tcW w:w="13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(1,063 )</w:t>
            </w:r>
          </w:p>
        </w:tc>
        <w:tc>
          <w:tcPr>
            <w:tcW w:w="30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360.31</w:t>
            </w:r>
          </w:p>
        </w:tc>
        <w:tc>
          <w:tcPr>
            <w:tcW w:w="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Forfeited</w:t>
            </w:r>
          </w:p>
        </w:tc>
        <w:tc>
          <w:tcPr>
            <w:tcW w:w="13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(223 )</w:t>
            </w:r>
          </w:p>
        </w:tc>
        <w:tc>
          <w:tcPr>
            <w:tcW w:w="3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389.82</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58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Unvested and outstanding at December 31, 2023</w:t>
            </w: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1,960</w:t>
            </w:r>
          </w:p>
        </w:tc>
        <w:tc>
          <w:tcPr>
            <w:tcW w:w="20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bottom w:val="single" w:sz="8" w:color="CFF0FC"/>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414.11</w:t>
            </w:r>
          </w:p>
        </w:tc>
        <w:tc>
          <w:tcPr>
            <w:tcW w:w="8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5182870</wp:posOffset>
            </wp:positionH>
            <wp:positionV relativeFrom="paragraph">
              <wp:posOffset>-24765</wp:posOffset>
            </wp:positionV>
            <wp:extent cx="60325" cy="889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-7620</wp:posOffset>
            </wp:positionV>
            <wp:extent cx="60325" cy="825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74" w:lineRule="exact"/>
        <w:rPr>
          <w:sz w:val="20"/>
          <w:szCs w:val="20"/>
          <w:color w:val="auto"/>
        </w:rPr>
      </w:pPr>
    </w:p>
    <w:p>
      <w:pPr>
        <w:ind w:right="260" w:firstLine="509"/>
        <w:spacing w:after="0" w:line="268" w:lineRule="auto"/>
        <w:rPr>
          <w:sz w:val="20"/>
          <w:szCs w:val="20"/>
          <w:color w:val="auto"/>
        </w:rPr>
      </w:pPr>
      <w:r>
        <w:rPr>
          <w:rFonts w:ascii="Times New Roman" w:cs="Times New Roman" w:eastAsia="Times New Roman" w:hAnsi="Times New Roman"/>
          <w:sz w:val="18"/>
          <w:szCs w:val="18"/>
          <w:b w:val="1"/>
          <w:bCs w:val="1"/>
          <w:color w:val="auto"/>
        </w:rPr>
        <w:t>Employee Stock Purchase Plan (“ESPP”)</w:t>
      </w:r>
      <w:r>
        <w:rPr>
          <w:rFonts w:ascii="Times New Roman" w:cs="Times New Roman" w:eastAsia="Times New Roman" w:hAnsi="Times New Roman"/>
          <w:sz w:val="18"/>
          <w:szCs w:val="18"/>
          <w:color w:val="auto"/>
        </w:rPr>
        <w:t>— The ESPP authorizes the issuance of up to a total of 2,624,634 shares of common stock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participating employees and allows eligible employees to purchase shares of common stock at a 15% discount from the fair market value of the stock as determined on specific dates at six-month intervals. The offering periods for the ESPP commence on June 1 and December 1 of each year.</w:t>
      </w:r>
    </w:p>
    <w:p>
      <w:pPr>
        <w:spacing w:after="0" w:line="1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fair value of employee options is estimated using the Black-Scholes option-pricing model with the following assumptions:</w:t>
      </w:r>
    </w:p>
    <w:p>
      <w:pPr>
        <w:spacing w:after="0" w:line="232" w:lineRule="exact"/>
        <w:rPr>
          <w:sz w:val="20"/>
          <w:szCs w:val="20"/>
          <w:color w:val="auto"/>
        </w:rPr>
      </w:pPr>
    </w:p>
    <w:tbl>
      <w:tblPr>
        <w:tblLayout w:type="fixed"/>
        <w:tblInd w:w="1140" w:type="dxa"/>
        <w:tblCellMar>
          <w:top w:w="0" w:type="dxa"/>
          <w:left w:w="0" w:type="dxa"/>
          <w:bottom w:w="0" w:type="dxa"/>
          <w:right w:w="0" w:type="dxa"/>
        </w:tblCellMar>
      </w:tblPr>
      <w:tr>
        <w:trPr>
          <w:trHeight w:val="187"/>
        </w:trPr>
        <w:tc>
          <w:tcPr>
            <w:tcW w:w="4300" w:type="dxa"/>
            <w:vAlign w:val="bottom"/>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4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169"/>
        </w:trPr>
        <w:tc>
          <w:tcPr>
            <w:tcW w:w="4300" w:type="dxa"/>
            <w:vAlign w:val="bottom"/>
          </w:tcPr>
          <w:p>
            <w:pPr>
              <w:spacing w:after="0"/>
              <w:rPr>
                <w:sz w:val="14"/>
                <w:szCs w:val="14"/>
                <w:color w:val="auto"/>
              </w:rPr>
            </w:pPr>
          </w:p>
        </w:tc>
        <w:tc>
          <w:tcPr>
            <w:tcW w:w="142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14"/>
                <w:szCs w:val="14"/>
                <w:color w:val="auto"/>
              </w:rPr>
            </w:pPr>
          </w:p>
        </w:tc>
        <w:tc>
          <w:tcPr>
            <w:tcW w:w="138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Pr>
          <w:p>
            <w:pPr>
              <w:spacing w:after="0"/>
              <w:rPr>
                <w:sz w:val="14"/>
                <w:szCs w:val="14"/>
                <w:color w:val="auto"/>
              </w:rPr>
            </w:pPr>
          </w:p>
        </w:tc>
        <w:tc>
          <w:tcPr>
            <w:tcW w:w="144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4"/>
                <w:szCs w:val="14"/>
                <w:color w:val="auto"/>
              </w:rPr>
            </w:pPr>
          </w:p>
        </w:tc>
      </w:tr>
      <w:tr>
        <w:trPr>
          <w:trHeight w:val="236"/>
        </w:trPr>
        <w:tc>
          <w:tcPr>
            <w:tcW w:w="4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Risk-free interest rate (%)</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4.65-5.44</w:t>
            </w:r>
          </w:p>
        </w:tc>
        <w:tc>
          <w:tcPr>
            <w:tcW w:w="1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0.10-4.65</w:t>
            </w:r>
          </w:p>
        </w:tc>
        <w:tc>
          <w:tcPr>
            <w:tcW w:w="160" w:type="dxa"/>
            <w:vAlign w:val="bottom"/>
            <w:shd w:val="clear" w:color="auto" w:fill="CFF0FC"/>
          </w:tcPr>
          <w:p>
            <w:pPr>
              <w:spacing w:after="0"/>
              <w:rPr>
                <w:sz w:val="20"/>
                <w:szCs w:val="20"/>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0.04-0.10</w:t>
            </w:r>
          </w:p>
        </w:tc>
        <w:tc>
          <w:tcPr>
            <w:tcW w:w="80" w:type="dxa"/>
            <w:vAlign w:val="bottom"/>
            <w:shd w:val="clear" w:color="auto" w:fill="CFF0FC"/>
          </w:tcPr>
          <w:p>
            <w:pPr>
              <w:spacing w:after="0"/>
              <w:rPr>
                <w:sz w:val="20"/>
                <w:szCs w:val="20"/>
                <w:color w:val="auto"/>
              </w:rPr>
            </w:pPr>
          </w:p>
        </w:tc>
      </w:tr>
      <w:tr>
        <w:trPr>
          <w:trHeight w:val="239"/>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Expected term (years)</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0.50</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0.50</w:t>
            </w:r>
          </w:p>
        </w:tc>
        <w:tc>
          <w:tcPr>
            <w:tcW w:w="16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0.50</w:t>
            </w:r>
          </w:p>
        </w:tc>
        <w:tc>
          <w:tcPr>
            <w:tcW w:w="80" w:type="dxa"/>
            <w:vAlign w:val="bottom"/>
          </w:tcPr>
          <w:p>
            <w:pPr>
              <w:spacing w:after="0"/>
              <w:rPr>
                <w:sz w:val="20"/>
                <w:szCs w:val="20"/>
                <w:color w:val="auto"/>
              </w:rPr>
            </w:pPr>
          </w:p>
        </w:tc>
      </w:tr>
      <w:tr>
        <w:trPr>
          <w:trHeight w:val="247"/>
        </w:trPr>
        <w:tc>
          <w:tcPr>
            <w:tcW w:w="4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Volatility (%)</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38.83-76.02</w:t>
            </w:r>
          </w:p>
        </w:tc>
        <w:tc>
          <w:tcPr>
            <w:tcW w:w="1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39.85-76.02</w:t>
            </w:r>
          </w:p>
        </w:tc>
        <w:tc>
          <w:tcPr>
            <w:tcW w:w="160" w:type="dxa"/>
            <w:vAlign w:val="bottom"/>
            <w:shd w:val="clear" w:color="auto" w:fill="CFF0FC"/>
          </w:tcPr>
          <w:p>
            <w:pPr>
              <w:spacing w:after="0"/>
              <w:rPr>
                <w:sz w:val="21"/>
                <w:szCs w:val="21"/>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42.73-45.67</w:t>
            </w:r>
          </w:p>
        </w:tc>
        <w:tc>
          <w:tcPr>
            <w:tcW w:w="80" w:type="dxa"/>
            <w:vAlign w:val="bottom"/>
            <w:shd w:val="clear" w:color="auto" w:fill="CFF0FC"/>
          </w:tcPr>
          <w:p>
            <w:pPr>
              <w:spacing w:after="0"/>
              <w:rPr>
                <w:sz w:val="21"/>
                <w:szCs w:val="21"/>
                <w:color w:val="auto"/>
              </w:rPr>
            </w:pPr>
          </w:p>
        </w:tc>
      </w:tr>
      <w:tr>
        <w:trPr>
          <w:trHeight w:val="234"/>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Expected dividends</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bl>
    <w:p>
      <w:pPr>
        <w:spacing w:after="0" w:line="206"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The interest rate is based on the U.S. Treasury bond rate at the date of grant with a maturity approximately equal to the expected term. The expected term is based on the term of the offering period. The expected volatility for the Company’s common stock is based on the average of the Company's historical volatility over the expected term of the award. The assumed dividend yield is based upon the Company’s expectation of not paying dividends in the foreseeable future. The fair value of the Company’s common stock is the closing price of the stock on the date the offering period starts.</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93" w:name="page94"/>
    <w:bookmarkEnd w:id="93"/>
    <w:p>
      <w:pPr>
        <w:ind w:left="520"/>
        <w:spacing w:after="0"/>
        <w:rPr>
          <w:sz w:val="20"/>
          <w:szCs w:val="20"/>
          <w:color w:val="auto"/>
        </w:rPr>
      </w:pPr>
      <w:r>
        <w:rPr>
          <w:rFonts w:ascii="Times New Roman" w:cs="Times New Roman" w:eastAsia="Times New Roman" w:hAnsi="Times New Roman"/>
          <w:sz w:val="18"/>
          <w:szCs w:val="18"/>
          <w:color w:val="auto"/>
        </w:rPr>
        <w:t>The following table summarizes the activity related to ESPP:</w:t>
      </w:r>
    </w:p>
    <w:p>
      <w:pPr>
        <w:spacing w:after="0" w:line="220" w:lineRule="exact"/>
        <w:rPr>
          <w:sz w:val="20"/>
          <w:szCs w:val="20"/>
          <w:color w:val="auto"/>
        </w:rPr>
      </w:pPr>
    </w:p>
    <w:tbl>
      <w:tblPr>
        <w:tblLayout w:type="fixed"/>
        <w:tblInd w:w="5740" w:type="dxa"/>
        <w:tblCellMar>
          <w:top w:w="0" w:type="dxa"/>
          <w:left w:w="0" w:type="dxa"/>
          <w:bottom w:w="0" w:type="dxa"/>
          <w:right w:w="0" w:type="dxa"/>
        </w:tblCellMar>
      </w:tblPr>
      <w:tr>
        <w:trPr>
          <w:trHeight w:val="161"/>
        </w:trPr>
        <w:tc>
          <w:tcPr>
            <w:tcW w:w="12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Shares Issued</w:t>
            </w:r>
          </w:p>
        </w:tc>
        <w:tc>
          <w:tcPr>
            <w:tcW w:w="1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Weighted-</w:t>
            </w:r>
          </w:p>
        </w:tc>
        <w:tc>
          <w:tcPr>
            <w:tcW w:w="1200" w:type="dxa"/>
            <w:vAlign w:val="bottom"/>
          </w:tcPr>
          <w:p>
            <w:pPr>
              <w:jc w:val="center"/>
              <w:ind w:left="228"/>
              <w:spacing w:after="0"/>
              <w:rPr>
                <w:sz w:val="20"/>
                <w:szCs w:val="20"/>
                <w:color w:val="auto"/>
              </w:rPr>
            </w:pPr>
            <w:r>
              <w:rPr>
                <w:rFonts w:ascii="Times New Roman" w:cs="Times New Roman" w:eastAsia="Times New Roman" w:hAnsi="Times New Roman"/>
                <w:sz w:val="14"/>
                <w:szCs w:val="14"/>
                <w:b w:val="1"/>
                <w:bCs w:val="1"/>
                <w:color w:val="auto"/>
              </w:rPr>
              <w:t>Total Cash</w:t>
            </w:r>
          </w:p>
        </w:tc>
        <w:tc>
          <w:tcPr>
            <w:tcW w:w="0" w:type="dxa"/>
            <w:vAlign w:val="bottom"/>
          </w:tcPr>
          <w:p>
            <w:pPr>
              <w:spacing w:after="0"/>
              <w:rPr>
                <w:sz w:val="1"/>
                <w:szCs w:val="1"/>
                <w:color w:val="auto"/>
              </w:rPr>
            </w:pPr>
          </w:p>
        </w:tc>
      </w:tr>
      <w:tr>
        <w:trPr>
          <w:trHeight w:val="148"/>
        </w:trPr>
        <w:tc>
          <w:tcPr>
            <w:tcW w:w="1240" w:type="dxa"/>
            <w:vAlign w:val="bottom"/>
            <w:vMerge w:val="continue"/>
          </w:tcPr>
          <w:p>
            <w:pPr>
              <w:spacing w:after="0"/>
              <w:rPr>
                <w:sz w:val="12"/>
                <w:szCs w:val="12"/>
                <w:color w:val="auto"/>
              </w:rPr>
            </w:pPr>
          </w:p>
        </w:tc>
        <w:tc>
          <w:tcPr>
            <w:tcW w:w="16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200" w:type="dxa"/>
            <w:vAlign w:val="bottom"/>
          </w:tcPr>
          <w:p>
            <w:pPr>
              <w:jc w:val="center"/>
              <w:ind w:left="248"/>
              <w:spacing w:after="0" w:line="149" w:lineRule="exact"/>
              <w:rPr>
                <w:sz w:val="20"/>
                <w:szCs w:val="20"/>
                <w:color w:val="auto"/>
              </w:rPr>
            </w:pPr>
            <w:r>
              <w:rPr>
                <w:rFonts w:ascii="Times New Roman" w:cs="Times New Roman" w:eastAsia="Times New Roman" w:hAnsi="Times New Roman"/>
                <w:sz w:val="14"/>
                <w:szCs w:val="14"/>
                <w:b w:val="1"/>
                <w:bCs w:val="1"/>
                <w:color w:val="auto"/>
              </w:rPr>
              <w:t>Proceeds</w:t>
            </w:r>
          </w:p>
        </w:tc>
        <w:tc>
          <w:tcPr>
            <w:tcW w:w="0" w:type="dxa"/>
            <w:vAlign w:val="bottom"/>
          </w:tcPr>
          <w:p>
            <w:pPr>
              <w:spacing w:after="0"/>
              <w:rPr>
                <w:sz w:val="1"/>
                <w:szCs w:val="1"/>
                <w:color w:val="auto"/>
              </w:rPr>
            </w:pPr>
          </w:p>
        </w:tc>
      </w:tr>
      <w:tr>
        <w:trPr>
          <w:trHeight w:val="187"/>
        </w:trPr>
        <w:tc>
          <w:tcPr>
            <w:tcW w:w="12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Purchase Price</w:t>
            </w:r>
          </w:p>
        </w:tc>
        <w:tc>
          <w:tcPr>
            <w:tcW w:w="1200" w:type="dxa"/>
            <w:vAlign w:val="bottom"/>
          </w:tcPr>
          <w:p>
            <w:pPr>
              <w:jc w:val="center"/>
              <w:ind w:left="248"/>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240"/>
          </w:cols>
          <w:pgMar w:left="320" w:top="1242" w:right="339" w:bottom="1440" w:gutter="0" w:footer="0" w:header="0"/>
        </w:sectPr>
      </w:pPr>
    </w:p>
    <w:p>
      <w:pPr>
        <w:spacing w:after="0" w:line="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2023</w:t>
      </w:r>
    </w:p>
    <w:p>
      <w:pPr>
        <w:spacing w:after="0" w:line="36"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2022</w:t>
      </w:r>
    </w:p>
    <w:p>
      <w:pPr>
        <w:spacing w:after="0" w:line="36"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2021</w:t>
      </w: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Income Taxes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Loss before provision for income taxes was as follows: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United States</w:t>
      </w:r>
    </w:p>
    <w:p>
      <w:pPr>
        <w:spacing w:after="0" w:line="50"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Foreign</w:t>
      </w:r>
    </w:p>
    <w:p>
      <w:pPr>
        <w:spacing w:after="0" w:line="7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Total</w:t>
      </w:r>
    </w:p>
    <w:p>
      <w:pPr>
        <w:spacing w:after="0" w:line="2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The (provision) benefit for income taxes consists of the following:</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2"/>
        </w:trPr>
        <w:tc>
          <w:tcPr>
            <w:tcW w:w="1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200" w:type="dxa"/>
            <w:vAlign w:val="bottom"/>
          </w:tcPr>
          <w:p>
            <w:pPr>
              <w:spacing w:after="0"/>
              <w:rPr>
                <w:sz w:val="20"/>
                <w:szCs w:val="20"/>
                <w:color w:val="auto"/>
              </w:rPr>
            </w:pPr>
          </w:p>
        </w:tc>
        <w:tc>
          <w:tcPr>
            <w:tcW w:w="48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319.70</w:t>
            </w:r>
          </w:p>
        </w:tc>
        <w:tc>
          <w:tcPr>
            <w:tcW w:w="80" w:type="dxa"/>
            <w:vAlign w:val="bottom"/>
          </w:tcPr>
          <w:p>
            <w:pPr>
              <w:spacing w:after="0"/>
              <w:rPr>
                <w:sz w:val="20"/>
                <w:szCs w:val="20"/>
                <w:color w:val="auto"/>
              </w:rPr>
            </w:pPr>
          </w:p>
        </w:tc>
        <w:tc>
          <w:tcPr>
            <w:tcW w:w="580" w:type="dxa"/>
            <w:vAlign w:val="bottom"/>
            <w:tcBorders>
              <w:top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40,479</w:t>
            </w:r>
          </w:p>
        </w:tc>
      </w:tr>
      <w:tr>
        <w:trPr>
          <w:trHeight w:val="234"/>
        </w:trPr>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680" w:type="dxa"/>
            <w:vAlign w:val="bottom"/>
            <w:gridSpan w:val="2"/>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272.72</w:t>
            </w:r>
          </w:p>
        </w:tc>
        <w:tc>
          <w:tcPr>
            <w:tcW w:w="660" w:type="dxa"/>
            <w:vAlign w:val="bottom"/>
            <w:gridSpan w:val="2"/>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33,046</w:t>
            </w:r>
          </w:p>
        </w:tc>
      </w:tr>
      <w:tr>
        <w:trPr>
          <w:trHeight w:val="243"/>
        </w:trPr>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680" w:type="dxa"/>
            <w:vAlign w:val="bottom"/>
            <w:gridSpan w:val="2"/>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372.50</w:t>
            </w:r>
          </w:p>
        </w:tc>
        <w:tc>
          <w:tcPr>
            <w:tcW w:w="660" w:type="dxa"/>
            <w:vAlign w:val="bottom"/>
            <w:gridSpan w:val="2"/>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28,667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-2728595</wp:posOffset>
            </wp:positionH>
            <wp:positionV relativeFrom="paragraph">
              <wp:posOffset>-454025</wp:posOffset>
            </wp:positionV>
            <wp:extent cx="5700395" cy="15430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5700395" cy="154305"/>
                    </a:xfrm>
                    <a:prstGeom prst="rect">
                      <a:avLst/>
                    </a:prstGeom>
                    <a:noFill/>
                  </pic:spPr>
                </pic:pic>
              </a:graphicData>
            </a:graphic>
          </wp:anchor>
        </w:drawing>
        <w:drawing>
          <wp:anchor simplePos="0" relativeHeight="251657728" behindDoc="1" locked="0" layoutInCell="0" allowOverlap="1">
            <wp:simplePos x="0" y="0"/>
            <wp:positionH relativeFrom="column">
              <wp:posOffset>-2728595</wp:posOffset>
            </wp:positionH>
            <wp:positionV relativeFrom="paragraph">
              <wp:posOffset>-145415</wp:posOffset>
            </wp:positionV>
            <wp:extent cx="5700395" cy="15430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5700395" cy="154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Year Ended December 31,</w:t>
      </w:r>
    </w:p>
    <w:p>
      <w:pPr>
        <w:spacing w:after="0" w:line="26" w:lineRule="exact"/>
        <w:rPr>
          <w:sz w:val="20"/>
          <w:szCs w:val="20"/>
          <w:color w:val="auto"/>
        </w:rPr>
      </w:pPr>
    </w:p>
    <w:tbl>
      <w:tblPr>
        <w:tblLayout w:type="fixed"/>
        <w:tblInd w:w="1020" w:type="dxa"/>
        <w:tblCellMar>
          <w:top w:w="0" w:type="dxa"/>
          <w:left w:w="0" w:type="dxa"/>
          <w:bottom w:w="0" w:type="dxa"/>
          <w:right w:w="0" w:type="dxa"/>
        </w:tblCellMar>
      </w:tblPr>
      <w:tr>
        <w:trPr>
          <w:trHeight w:val="169"/>
        </w:trPr>
        <w:tc>
          <w:tcPr>
            <w:tcW w:w="240" w:type="dxa"/>
            <w:vAlign w:val="bottom"/>
            <w:tcBorders>
              <w:top w:val="single" w:sz="8" w:color="auto"/>
              <w:bottom w:val="single" w:sz="8" w:color="auto"/>
            </w:tcBorders>
          </w:tcPr>
          <w:p>
            <w:pPr>
              <w:spacing w:after="0"/>
              <w:rPr>
                <w:sz w:val="14"/>
                <w:szCs w:val="14"/>
                <w:color w:val="auto"/>
              </w:rPr>
            </w:pPr>
          </w:p>
        </w:tc>
        <w:tc>
          <w:tcPr>
            <w:tcW w:w="820" w:type="dxa"/>
            <w:vAlign w:val="bottom"/>
            <w:tcBorders>
              <w:top w:val="single" w:sz="8" w:color="auto"/>
              <w:bottom w:val="single" w:sz="8" w:color="auto"/>
            </w:tcBorders>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Borders>
              <w:top w:val="single" w:sz="8" w:color="auto"/>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820" w:type="dxa"/>
            <w:vAlign w:val="bottom"/>
            <w:tcBorders>
              <w:top w:val="single" w:sz="8" w:color="auto"/>
              <w:bottom w:val="single" w:sz="8" w:color="auto"/>
            </w:tcBorders>
          </w:tcPr>
          <w:p>
            <w:pPr>
              <w:jc w:val="right"/>
              <w:ind w:right="297"/>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Borders>
              <w:top w:val="single" w:sz="8" w:color="auto"/>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800" w:type="dxa"/>
            <w:vAlign w:val="bottom"/>
            <w:tcBorders>
              <w:top w:val="single" w:sz="8" w:color="auto"/>
              <w:bottom w:val="single" w:sz="8" w:color="auto"/>
            </w:tcBorders>
          </w:tcPr>
          <w:p>
            <w:pPr>
              <w:jc w:val="right"/>
              <w:ind w:right="297"/>
              <w:spacing w:after="0"/>
              <w:rPr>
                <w:sz w:val="20"/>
                <w:szCs w:val="20"/>
                <w:color w:val="auto"/>
              </w:rPr>
            </w:pPr>
            <w:r>
              <w:rPr>
                <w:rFonts w:ascii="Times New Roman" w:cs="Times New Roman" w:eastAsia="Times New Roman" w:hAnsi="Times New Roman"/>
                <w:sz w:val="14"/>
                <w:szCs w:val="14"/>
                <w:b w:val="1"/>
                <w:bCs w:val="1"/>
                <w:color w:val="auto"/>
              </w:rPr>
              <w:t>2021</w:t>
            </w:r>
          </w:p>
        </w:tc>
        <w:tc>
          <w:tcPr>
            <w:tcW w:w="60" w:type="dxa"/>
            <w:vAlign w:val="bottom"/>
          </w:tcPr>
          <w:p>
            <w:pPr>
              <w:spacing w:after="0"/>
              <w:rPr>
                <w:sz w:val="14"/>
                <w:szCs w:val="14"/>
                <w:color w:val="auto"/>
              </w:rPr>
            </w:pPr>
          </w:p>
        </w:tc>
      </w:tr>
      <w:tr>
        <w:trPr>
          <w:trHeight w:val="164"/>
        </w:trPr>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gridSpan w:val="2"/>
          </w:tcPr>
          <w:p>
            <w:pPr>
              <w:jc w:val="right"/>
              <w:ind w:right="37"/>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34"/>
        </w:trPr>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(218,655 )</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(124,452 )</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(89,000 )</w:t>
            </w:r>
          </w:p>
        </w:tc>
      </w:tr>
      <w:tr>
        <w:trPr>
          <w:trHeight w:val="250"/>
        </w:trPr>
        <w:tc>
          <w:tcPr>
            <w:tcW w:w="2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60,953</w:t>
            </w:r>
          </w:p>
        </w:tc>
        <w:tc>
          <w:tcPr>
            <w:tcW w:w="2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19,760</w:t>
            </w:r>
          </w:p>
        </w:tc>
        <w:tc>
          <w:tcPr>
            <w:tcW w:w="2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15,182</w:t>
            </w:r>
          </w:p>
        </w:tc>
        <w:tc>
          <w:tcPr>
            <w:tcW w:w="60" w:type="dxa"/>
            <w:vAlign w:val="bottom"/>
          </w:tcPr>
          <w:p>
            <w:pPr>
              <w:spacing w:after="0"/>
              <w:rPr>
                <w:sz w:val="21"/>
                <w:szCs w:val="21"/>
                <w:color w:val="auto"/>
              </w:rPr>
            </w:pPr>
          </w:p>
        </w:tc>
      </w:tr>
      <w:tr>
        <w:trPr>
          <w:trHeight w:val="239"/>
        </w:trPr>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(157,702</w:t>
            </w:r>
          </w:p>
        </w:tc>
        <w:tc>
          <w:tcPr>
            <w:tcW w:w="2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(104,692</w:t>
            </w:r>
          </w:p>
        </w:tc>
        <w:tc>
          <w:tcPr>
            <w:tcW w:w="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(73,818</w:t>
            </w:r>
          </w:p>
        </w:tc>
        <w:tc>
          <w:tcPr>
            <w:tcW w:w="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835"/>
        </w:trPr>
        <w:tc>
          <w:tcPr>
            <w:tcW w:w="24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gridSpan w:val="6"/>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80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169"/>
        </w:trPr>
        <w:tc>
          <w:tcPr>
            <w:tcW w:w="2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97"/>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97"/>
              <w:spacing w:after="0"/>
              <w:rPr>
                <w:sz w:val="20"/>
                <w:szCs w:val="20"/>
                <w:color w:val="auto"/>
              </w:rPr>
            </w:pPr>
            <w:r>
              <w:rPr>
                <w:rFonts w:ascii="Times New Roman" w:cs="Times New Roman" w:eastAsia="Times New Roman" w:hAnsi="Times New Roman"/>
                <w:sz w:val="14"/>
                <w:szCs w:val="14"/>
                <w:b w:val="1"/>
                <w:bCs w:val="1"/>
                <w:color w:val="auto"/>
              </w:rPr>
              <w:t>2021</w:t>
            </w:r>
          </w:p>
        </w:tc>
        <w:tc>
          <w:tcPr>
            <w:tcW w:w="60" w:type="dxa"/>
            <w:vAlign w:val="bottom"/>
          </w:tcPr>
          <w:p>
            <w:pPr>
              <w:spacing w:after="0"/>
              <w:rPr>
                <w:sz w:val="14"/>
                <w:szCs w:val="14"/>
                <w:color w:val="auto"/>
              </w:rPr>
            </w:pPr>
          </w:p>
        </w:tc>
      </w:tr>
      <w:tr>
        <w:trPr>
          <w:trHeight w:val="184"/>
        </w:trPr>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gridSpan w:val="2"/>
          </w:tcPr>
          <w:p>
            <w:pPr>
              <w:jc w:val="right"/>
              <w:ind w:right="37"/>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0" w:type="dxa"/>
            <w:vAlign w:val="bottom"/>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-2728595</wp:posOffset>
            </wp:positionH>
            <wp:positionV relativeFrom="paragraph">
              <wp:posOffset>-1285875</wp:posOffset>
            </wp:positionV>
            <wp:extent cx="5700395" cy="15430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5700395" cy="154305"/>
                    </a:xfrm>
                    <a:prstGeom prst="rect">
                      <a:avLst/>
                    </a:prstGeom>
                    <a:noFill/>
                  </pic:spPr>
                </pic:pic>
              </a:graphicData>
            </a:graphic>
          </wp:anchor>
        </w:drawing>
        <w:drawing>
          <wp:anchor simplePos="0" relativeHeight="251657728" behindDoc="1" locked="0" layoutInCell="0" allowOverlap="1">
            <wp:simplePos x="0" y="0"/>
            <wp:positionH relativeFrom="column">
              <wp:posOffset>-2728595</wp:posOffset>
            </wp:positionH>
            <wp:positionV relativeFrom="paragraph">
              <wp:posOffset>-969010</wp:posOffset>
            </wp:positionV>
            <wp:extent cx="5700395" cy="17970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5700395" cy="179705"/>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5300" w:space="140"/>
            <w:col w:w="5800"/>
          </w:cols>
          <w:pgMar w:left="320" w:top="1242" w:right="339" w:bottom="1440" w:gutter="0" w:footer="0" w:header="0"/>
          <w:type w:val="continuous"/>
        </w:sectPr>
      </w:pPr>
    </w:p>
    <w:tbl>
      <w:tblPr>
        <w:tblLayout w:type="fixed"/>
        <w:tblInd w:w="1140" w:type="dxa"/>
        <w:tblCellMar>
          <w:top w:w="0" w:type="dxa"/>
          <w:left w:w="0" w:type="dxa"/>
          <w:bottom w:w="0" w:type="dxa"/>
          <w:right w:w="0" w:type="dxa"/>
        </w:tblCellMar>
      </w:tblPr>
      <w:tr>
        <w:trPr>
          <w:trHeight w:val="228"/>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Current income tax provision</w:t>
            </w:r>
          </w:p>
        </w:tc>
        <w:tc>
          <w:tcPr>
            <w:tcW w:w="3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43"/>
        </w:trPr>
        <w:tc>
          <w:tcPr>
            <w:tcW w:w="53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Federal</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(1,162 )</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(1,002 )</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(709 )</w:t>
            </w:r>
          </w:p>
        </w:tc>
      </w:tr>
      <w:tr>
        <w:trPr>
          <w:trHeight w:val="239"/>
        </w:trPr>
        <w:tc>
          <w:tcPr>
            <w:tcW w:w="53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State</w:t>
            </w:r>
          </w:p>
        </w:tc>
        <w:tc>
          <w:tcPr>
            <w:tcW w:w="300" w:type="dxa"/>
            <w:vAlign w:val="bottom"/>
          </w:tcPr>
          <w:p>
            <w:pPr>
              <w:spacing w:after="0"/>
              <w:rPr>
                <w:sz w:val="20"/>
                <w:szCs w:val="20"/>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(803 )</w:t>
            </w:r>
          </w:p>
        </w:tc>
        <w:tc>
          <w:tcPr>
            <w:tcW w:w="300" w:type="dxa"/>
            <w:vAlign w:val="bottom"/>
          </w:tcPr>
          <w:p>
            <w:pPr>
              <w:spacing w:after="0"/>
              <w:rPr>
                <w:sz w:val="20"/>
                <w:szCs w:val="20"/>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(1,399 )</w:t>
            </w:r>
          </w:p>
        </w:tc>
        <w:tc>
          <w:tcPr>
            <w:tcW w:w="320" w:type="dxa"/>
            <w:vAlign w:val="bottom"/>
          </w:tcPr>
          <w:p>
            <w:pPr>
              <w:spacing w:after="0"/>
              <w:rPr>
                <w:sz w:val="20"/>
                <w:szCs w:val="20"/>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(570 )</w:t>
            </w:r>
          </w:p>
        </w:tc>
      </w:tr>
      <w:tr>
        <w:trPr>
          <w:trHeight w:val="247"/>
        </w:trPr>
        <w:tc>
          <w:tcPr>
            <w:tcW w:w="53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Foreign</w:t>
            </w:r>
          </w:p>
        </w:tc>
        <w:tc>
          <w:tcPr>
            <w:tcW w:w="300" w:type="dxa"/>
            <w:vAlign w:val="bottom"/>
            <w:shd w:val="clear" w:color="auto" w:fill="CFF0FC"/>
          </w:tcPr>
          <w:p>
            <w:pPr>
              <w:spacing w:after="0"/>
              <w:rPr>
                <w:sz w:val="21"/>
                <w:szCs w:val="21"/>
                <w:color w:val="auto"/>
              </w:rPr>
            </w:pPr>
          </w:p>
        </w:tc>
        <w:tc>
          <w:tcPr>
            <w:tcW w:w="9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(11,420 )</w:t>
            </w:r>
          </w:p>
        </w:tc>
        <w:tc>
          <w:tcPr>
            <w:tcW w:w="300" w:type="dxa"/>
            <w:vAlign w:val="bottom"/>
            <w:shd w:val="clear" w:color="auto" w:fill="CFF0FC"/>
          </w:tcPr>
          <w:p>
            <w:pPr>
              <w:spacing w:after="0"/>
              <w:rPr>
                <w:sz w:val="21"/>
                <w:szCs w:val="21"/>
                <w:color w:val="auto"/>
              </w:rPr>
            </w:pPr>
          </w:p>
        </w:tc>
        <w:tc>
          <w:tcPr>
            <w:tcW w:w="9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(7,778 )</w:t>
            </w:r>
          </w:p>
        </w:tc>
        <w:tc>
          <w:tcPr>
            <w:tcW w:w="320" w:type="dxa"/>
            <w:vAlign w:val="bottom"/>
            <w:shd w:val="clear" w:color="auto" w:fill="CFF0FC"/>
          </w:tcPr>
          <w:p>
            <w:pPr>
              <w:spacing w:after="0"/>
              <w:rPr>
                <w:sz w:val="21"/>
                <w:szCs w:val="21"/>
                <w:color w:val="auto"/>
              </w:rPr>
            </w:pPr>
          </w:p>
        </w:tc>
        <w:tc>
          <w:tcPr>
            <w:tcW w:w="8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(5,609 )</w:t>
            </w:r>
          </w:p>
        </w:tc>
      </w:tr>
      <w:tr>
        <w:trPr>
          <w:trHeight w:val="20"/>
        </w:trPr>
        <w:tc>
          <w:tcPr>
            <w:tcW w:w="532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r>
      <w:tr>
        <w:trPr>
          <w:trHeight w:val="237"/>
        </w:trPr>
        <w:tc>
          <w:tcPr>
            <w:tcW w:w="5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current income tax provision</w:t>
            </w:r>
          </w:p>
        </w:tc>
        <w:tc>
          <w:tcPr>
            <w:tcW w:w="300" w:type="dxa"/>
            <w:vAlign w:val="bottom"/>
          </w:tcPr>
          <w:p>
            <w:pPr>
              <w:spacing w:after="0"/>
              <w:rPr>
                <w:sz w:val="20"/>
                <w:szCs w:val="20"/>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(13,385 )</w:t>
            </w:r>
          </w:p>
        </w:tc>
        <w:tc>
          <w:tcPr>
            <w:tcW w:w="300" w:type="dxa"/>
            <w:vAlign w:val="bottom"/>
          </w:tcPr>
          <w:p>
            <w:pPr>
              <w:spacing w:after="0"/>
              <w:rPr>
                <w:sz w:val="20"/>
                <w:szCs w:val="20"/>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(10,179 )</w:t>
            </w:r>
          </w:p>
        </w:tc>
        <w:tc>
          <w:tcPr>
            <w:tcW w:w="320" w:type="dxa"/>
            <w:vAlign w:val="bottom"/>
          </w:tcPr>
          <w:p>
            <w:pPr>
              <w:spacing w:after="0"/>
              <w:rPr>
                <w:sz w:val="20"/>
                <w:szCs w:val="20"/>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(6,888 )</w:t>
            </w:r>
          </w:p>
        </w:tc>
      </w:tr>
      <w:tr>
        <w:trPr>
          <w:trHeight w:val="236"/>
        </w:trPr>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income tax (expense) benefit</w:t>
            </w:r>
          </w:p>
        </w:tc>
        <w:tc>
          <w:tcPr>
            <w:tcW w:w="300" w:type="dxa"/>
            <w:vAlign w:val="bottom"/>
            <w:tcBorders>
              <w:top w:val="single" w:sz="8" w:color="auto"/>
            </w:tcBorders>
            <w:shd w:val="clear" w:color="auto" w:fill="CFF0FC"/>
          </w:tcPr>
          <w:p>
            <w:pPr>
              <w:spacing w:after="0"/>
              <w:rPr>
                <w:sz w:val="20"/>
                <w:szCs w:val="20"/>
                <w:color w:val="auto"/>
              </w:rPr>
            </w:pPr>
          </w:p>
        </w:tc>
        <w:tc>
          <w:tcPr>
            <w:tcW w:w="760" w:type="dxa"/>
            <w:vAlign w:val="bottom"/>
            <w:tcBorders>
              <w:top w:val="single" w:sz="8" w:color="auto"/>
            </w:tcBorders>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300" w:type="dxa"/>
            <w:vAlign w:val="bottom"/>
            <w:tcBorders>
              <w:top w:val="single" w:sz="8" w:color="auto"/>
            </w:tcBorders>
            <w:shd w:val="clear" w:color="auto" w:fill="CFF0FC"/>
          </w:tcPr>
          <w:p>
            <w:pPr>
              <w:spacing w:after="0"/>
              <w:rPr>
                <w:sz w:val="20"/>
                <w:szCs w:val="20"/>
                <w:color w:val="auto"/>
              </w:rPr>
            </w:pPr>
          </w:p>
        </w:tc>
        <w:tc>
          <w:tcPr>
            <w:tcW w:w="760" w:type="dxa"/>
            <w:vAlign w:val="bottom"/>
            <w:tcBorders>
              <w:top w:val="single" w:sz="8" w:color="auto"/>
            </w:tcBorders>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320" w:type="dxa"/>
            <w:vAlign w:val="bottom"/>
            <w:tcBorders>
              <w:top w:val="single" w:sz="8" w:color="auto"/>
            </w:tcBorders>
            <w:shd w:val="clear" w:color="auto" w:fill="CFF0FC"/>
          </w:tcPr>
          <w:p>
            <w:pPr>
              <w:spacing w:after="0"/>
              <w:rPr>
                <w:sz w:val="20"/>
                <w:szCs w:val="20"/>
                <w:color w:val="auto"/>
              </w:rPr>
            </w:pPr>
          </w:p>
        </w:tc>
        <w:tc>
          <w:tcPr>
            <w:tcW w:w="720" w:type="dxa"/>
            <w:vAlign w:val="bottom"/>
            <w:tcBorders>
              <w:top w:val="single" w:sz="8" w:color="auto"/>
            </w:tcBorders>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r>
      <w:tr>
        <w:trPr>
          <w:trHeight w:val="239"/>
        </w:trPr>
        <w:tc>
          <w:tcPr>
            <w:tcW w:w="53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Federal</w:t>
            </w:r>
          </w:p>
        </w:tc>
        <w:tc>
          <w:tcPr>
            <w:tcW w:w="300" w:type="dxa"/>
            <w:vAlign w:val="bottom"/>
          </w:tcPr>
          <w:p>
            <w:pPr>
              <w:spacing w:after="0"/>
              <w:rPr>
                <w:sz w:val="20"/>
                <w:szCs w:val="20"/>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989</w:t>
            </w:r>
          </w:p>
        </w:tc>
        <w:tc>
          <w:tcPr>
            <w:tcW w:w="80" w:type="dxa"/>
            <w:vAlign w:val="bottom"/>
          </w:tcPr>
          <w:p>
            <w:pPr>
              <w:spacing w:after="0"/>
              <w:rPr>
                <w:sz w:val="20"/>
                <w:szCs w:val="20"/>
                <w:color w:val="auto"/>
              </w:rPr>
            </w:pPr>
          </w:p>
        </w:tc>
      </w:tr>
      <w:tr>
        <w:trPr>
          <w:trHeight w:val="247"/>
        </w:trPr>
        <w:tc>
          <w:tcPr>
            <w:tcW w:w="53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State</w:t>
            </w:r>
          </w:p>
        </w:tc>
        <w:tc>
          <w:tcPr>
            <w:tcW w:w="300" w:type="dxa"/>
            <w:vAlign w:val="bottom"/>
            <w:shd w:val="clear" w:color="auto" w:fill="CFF0FC"/>
          </w:tcPr>
          <w:p>
            <w:pPr>
              <w:spacing w:after="0"/>
              <w:rPr>
                <w:sz w:val="21"/>
                <w:szCs w:val="21"/>
                <w:color w:val="auto"/>
              </w:rPr>
            </w:pPr>
          </w:p>
        </w:tc>
        <w:tc>
          <w:tcPr>
            <w:tcW w:w="9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21"/>
                <w:szCs w:val="21"/>
                <w:color w:val="auto"/>
              </w:rPr>
            </w:pPr>
          </w:p>
        </w:tc>
        <w:tc>
          <w:tcPr>
            <w:tcW w:w="9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spacing w:after="0"/>
              <w:rPr>
                <w:sz w:val="21"/>
                <w:szCs w:val="21"/>
                <w:color w:val="auto"/>
              </w:rPr>
            </w:pPr>
          </w:p>
        </w:tc>
        <w:tc>
          <w:tcPr>
            <w:tcW w:w="8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53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Foreign</w:t>
            </w:r>
          </w:p>
        </w:tc>
        <w:tc>
          <w:tcPr>
            <w:tcW w:w="300" w:type="dxa"/>
            <w:vAlign w:val="bottom"/>
          </w:tcPr>
          <w:p>
            <w:pPr>
              <w:spacing w:after="0"/>
              <w:rPr>
                <w:sz w:val="21"/>
                <w:szCs w:val="21"/>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(5,208 )</w:t>
            </w:r>
          </w:p>
        </w:tc>
        <w:tc>
          <w:tcPr>
            <w:tcW w:w="3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2,122</w:t>
            </w:r>
          </w:p>
        </w:tc>
        <w:tc>
          <w:tcPr>
            <w:tcW w:w="2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1,880</w:t>
            </w:r>
          </w:p>
        </w:tc>
        <w:tc>
          <w:tcPr>
            <w:tcW w:w="80" w:type="dxa"/>
            <w:vAlign w:val="bottom"/>
          </w:tcPr>
          <w:p>
            <w:pPr>
              <w:spacing w:after="0"/>
              <w:rPr>
                <w:sz w:val="21"/>
                <w:szCs w:val="21"/>
                <w:color w:val="auto"/>
              </w:rPr>
            </w:pPr>
          </w:p>
        </w:tc>
      </w:tr>
      <w:tr>
        <w:trPr>
          <w:trHeight w:val="20"/>
        </w:trPr>
        <w:tc>
          <w:tcPr>
            <w:tcW w:w="53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6"/>
        </w:trPr>
        <w:tc>
          <w:tcPr>
            <w:tcW w:w="53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Total deferred income tax (expense) benefit</w:t>
            </w:r>
          </w:p>
        </w:tc>
        <w:tc>
          <w:tcPr>
            <w:tcW w:w="300" w:type="dxa"/>
            <w:vAlign w:val="bottom"/>
            <w:shd w:val="clear" w:color="auto" w:fill="CFF0FC"/>
          </w:tcPr>
          <w:p>
            <w:pPr>
              <w:spacing w:after="0"/>
              <w:rPr>
                <w:sz w:val="20"/>
                <w:szCs w:val="20"/>
                <w:color w:val="auto"/>
              </w:rPr>
            </w:pPr>
          </w:p>
        </w:tc>
        <w:tc>
          <w:tcPr>
            <w:tcW w:w="9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(5,208 )</w:t>
            </w:r>
          </w:p>
        </w:tc>
        <w:tc>
          <w:tcPr>
            <w:tcW w:w="30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2,122</w:t>
            </w:r>
          </w:p>
        </w:tc>
        <w:tc>
          <w:tcPr>
            <w:tcW w:w="20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2,869</w:t>
            </w:r>
          </w:p>
        </w:tc>
        <w:tc>
          <w:tcPr>
            <w:tcW w:w="80" w:type="dxa"/>
            <w:vAlign w:val="bottom"/>
            <w:shd w:val="clear" w:color="auto" w:fill="CFF0FC"/>
          </w:tcPr>
          <w:p>
            <w:pPr>
              <w:spacing w:after="0"/>
              <w:rPr>
                <w:sz w:val="20"/>
                <w:szCs w:val="20"/>
                <w:color w:val="auto"/>
              </w:rPr>
            </w:pPr>
          </w:p>
        </w:tc>
      </w:tr>
      <w:tr>
        <w:trPr>
          <w:trHeight w:val="20"/>
        </w:trPr>
        <w:tc>
          <w:tcPr>
            <w:tcW w:w="532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r>
      <w:tr>
        <w:trPr>
          <w:trHeight w:val="237"/>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Total income tax provision</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(18,593 )</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(8,057 )</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(4,019 )</w:t>
            </w:r>
          </w:p>
        </w:tc>
      </w:tr>
      <w:tr>
        <w:trPr>
          <w:trHeight w:val="20"/>
        </w:trPr>
        <w:tc>
          <w:tcPr>
            <w:tcW w:w="53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4779645</wp:posOffset>
            </wp:positionH>
            <wp:positionV relativeFrom="paragraph">
              <wp:posOffset>-1139190</wp:posOffset>
            </wp:positionV>
            <wp:extent cx="59690" cy="825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-1139190</wp:posOffset>
            </wp:positionV>
            <wp:extent cx="51435" cy="825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-1139190</wp:posOffset>
            </wp:positionV>
            <wp:extent cx="51435" cy="825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-187960</wp:posOffset>
            </wp:positionV>
            <wp:extent cx="59690" cy="889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-187960</wp:posOffset>
            </wp:positionV>
            <wp:extent cx="51435" cy="889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-187960</wp:posOffset>
            </wp:positionV>
            <wp:extent cx="51435" cy="889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259" w:lineRule="exact"/>
        <w:rPr>
          <w:sz w:val="20"/>
          <w:szCs w:val="20"/>
          <w:color w:val="auto"/>
        </w:rPr>
      </w:pPr>
    </w:p>
    <w:p>
      <w:pPr>
        <w:ind w:right="400" w:firstLine="509"/>
        <w:spacing w:after="0" w:line="282" w:lineRule="auto"/>
        <w:rPr>
          <w:sz w:val="20"/>
          <w:szCs w:val="20"/>
          <w:color w:val="auto"/>
        </w:rPr>
      </w:pPr>
      <w:r>
        <w:rPr>
          <w:rFonts w:ascii="Times New Roman" w:cs="Times New Roman" w:eastAsia="Times New Roman" w:hAnsi="Times New Roman"/>
          <w:sz w:val="18"/>
          <w:szCs w:val="18"/>
          <w:color w:val="auto"/>
        </w:rPr>
        <w:t>The following reconciles the differences between income taxes computed at the federal statutory rate of 21% for 2023, 2022 and 2021 and the provision for income taxes: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140" w:type="dxa"/>
            <w:vAlign w:val="bottom"/>
          </w:tcPr>
          <w:p>
            <w:pPr>
              <w:spacing w:after="0"/>
              <w:rPr>
                <w:sz w:val="16"/>
                <w:szCs w:val="16"/>
                <w:color w:val="auto"/>
              </w:rPr>
            </w:pPr>
          </w:p>
        </w:tc>
        <w:tc>
          <w:tcPr>
            <w:tcW w:w="4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6"/>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8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169"/>
        </w:trPr>
        <w:tc>
          <w:tcPr>
            <w:tcW w:w="114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9"/>
        </w:trPr>
        <w:tc>
          <w:tcPr>
            <w:tcW w:w="114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gridSpan w:val="2"/>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243"/>
        </w:trPr>
        <w:tc>
          <w:tcPr>
            <w:tcW w:w="1140" w:type="dxa"/>
            <w:vAlign w:val="bottom"/>
          </w:tcPr>
          <w:p>
            <w:pPr>
              <w:spacing w:after="0"/>
              <w:rPr>
                <w:sz w:val="21"/>
                <w:szCs w:val="21"/>
                <w:color w:val="auto"/>
              </w:rPr>
            </w:pPr>
          </w:p>
        </w:tc>
        <w:tc>
          <w:tcPr>
            <w:tcW w:w="4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income tax benefit at the federal statutory rate</w:t>
            </w:r>
          </w:p>
        </w:tc>
        <w:tc>
          <w:tcPr>
            <w:tcW w:w="134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33,187</w:t>
            </w:r>
          </w:p>
        </w:tc>
        <w:tc>
          <w:tcPr>
            <w:tcW w:w="220" w:type="dxa"/>
            <w:vAlign w:val="bottom"/>
            <w:shd w:val="clear" w:color="auto" w:fill="CFF0FC"/>
          </w:tcPr>
          <w:p>
            <w:pPr>
              <w:spacing w:after="0"/>
              <w:rPr>
                <w:sz w:val="21"/>
                <w:szCs w:val="21"/>
                <w:color w:val="auto"/>
              </w:rPr>
            </w:pPr>
          </w:p>
        </w:tc>
        <w:tc>
          <w:tcPr>
            <w:tcW w:w="24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21,866</w:t>
            </w:r>
          </w:p>
        </w:tc>
        <w:tc>
          <w:tcPr>
            <w:tcW w:w="200" w:type="dxa"/>
            <w:vAlign w:val="bottom"/>
            <w:shd w:val="clear" w:color="auto" w:fill="CFF0FC"/>
          </w:tcPr>
          <w:p>
            <w:pPr>
              <w:spacing w:after="0"/>
              <w:rPr>
                <w:sz w:val="21"/>
                <w:szCs w:val="21"/>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15,459</w:t>
            </w:r>
          </w:p>
        </w:tc>
        <w:tc>
          <w:tcPr>
            <w:tcW w:w="80" w:type="dxa"/>
            <w:vAlign w:val="bottom"/>
            <w:shd w:val="clear" w:color="auto" w:fill="CFF0FC"/>
          </w:tcPr>
          <w:p>
            <w:pPr>
              <w:spacing w:after="0"/>
              <w:rPr>
                <w:sz w:val="21"/>
                <w:szCs w:val="21"/>
                <w:color w:val="auto"/>
              </w:rPr>
            </w:pPr>
          </w:p>
        </w:tc>
        <w:tc>
          <w:tcPr>
            <w:tcW w:w="1120" w:type="dxa"/>
            <w:vAlign w:val="bottom"/>
          </w:tcPr>
          <w:p>
            <w:pPr>
              <w:spacing w:after="0"/>
              <w:rPr>
                <w:sz w:val="21"/>
                <w:szCs w:val="21"/>
                <w:color w:val="auto"/>
              </w:rPr>
            </w:pPr>
          </w:p>
        </w:tc>
      </w:tr>
      <w:tr>
        <w:trPr>
          <w:trHeight w:val="239"/>
        </w:trPr>
        <w:tc>
          <w:tcPr>
            <w:tcW w:w="1140" w:type="dxa"/>
            <w:vAlign w:val="bottom"/>
          </w:tcPr>
          <w:p>
            <w:pPr>
              <w:spacing w:after="0"/>
              <w:rPr>
                <w:sz w:val="20"/>
                <w:szCs w:val="20"/>
                <w:color w:val="auto"/>
              </w:rPr>
            </w:pPr>
          </w:p>
        </w:tc>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State taxes net of federal benefit</w:t>
            </w:r>
          </w:p>
        </w:tc>
        <w:tc>
          <w:tcPr>
            <w:tcW w:w="1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9,131</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5,047</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13,975</w:t>
            </w: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47"/>
        </w:trPr>
        <w:tc>
          <w:tcPr>
            <w:tcW w:w="1140" w:type="dxa"/>
            <w:vAlign w:val="bottom"/>
          </w:tcPr>
          <w:p>
            <w:pPr>
              <w:spacing w:after="0"/>
              <w:rPr>
                <w:sz w:val="21"/>
                <w:szCs w:val="21"/>
                <w:color w:val="auto"/>
              </w:rPr>
            </w:pPr>
          </w:p>
        </w:tc>
        <w:tc>
          <w:tcPr>
            <w:tcW w:w="4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1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7,741</w:t>
            </w:r>
          </w:p>
        </w:tc>
        <w:tc>
          <w:tcPr>
            <w:tcW w:w="2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4,414</w:t>
            </w:r>
          </w:p>
        </w:tc>
        <w:tc>
          <w:tcPr>
            <w:tcW w:w="2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79,800</w:t>
            </w:r>
          </w:p>
        </w:tc>
        <w:tc>
          <w:tcPr>
            <w:tcW w:w="80" w:type="dxa"/>
            <w:vAlign w:val="bottom"/>
            <w:shd w:val="clear" w:color="auto" w:fill="CFF0FC"/>
          </w:tcPr>
          <w:p>
            <w:pPr>
              <w:spacing w:after="0"/>
              <w:rPr>
                <w:sz w:val="21"/>
                <w:szCs w:val="21"/>
                <w:color w:val="auto"/>
              </w:rPr>
            </w:pPr>
          </w:p>
        </w:tc>
        <w:tc>
          <w:tcPr>
            <w:tcW w:w="1120" w:type="dxa"/>
            <w:vAlign w:val="bottom"/>
          </w:tcPr>
          <w:p>
            <w:pPr>
              <w:spacing w:after="0"/>
              <w:rPr>
                <w:sz w:val="21"/>
                <w:szCs w:val="21"/>
                <w:color w:val="auto"/>
              </w:rPr>
            </w:pPr>
          </w:p>
        </w:tc>
      </w:tr>
      <w:tr>
        <w:trPr>
          <w:trHeight w:val="239"/>
        </w:trPr>
        <w:tc>
          <w:tcPr>
            <w:tcW w:w="1140" w:type="dxa"/>
            <w:vAlign w:val="bottom"/>
          </w:tcPr>
          <w:p>
            <w:pPr>
              <w:spacing w:after="0"/>
              <w:rPr>
                <w:sz w:val="20"/>
                <w:szCs w:val="20"/>
                <w:color w:val="auto"/>
              </w:rPr>
            </w:pPr>
          </w:p>
        </w:tc>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Executive compensation limitation</w:t>
            </w:r>
          </w:p>
        </w:tc>
        <w:tc>
          <w:tcPr>
            <w:tcW w:w="1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(4,151 )</w:t>
            </w:r>
          </w:p>
        </w:tc>
        <w:tc>
          <w:tcPr>
            <w:tcW w:w="240" w:type="dxa"/>
            <w:vAlign w:val="bottom"/>
          </w:tcPr>
          <w:p>
            <w:pPr>
              <w:spacing w:after="0"/>
              <w:rPr>
                <w:sz w:val="20"/>
                <w:szCs w:val="20"/>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(5,179 )</w:t>
            </w:r>
          </w:p>
        </w:tc>
        <w:tc>
          <w:tcPr>
            <w:tcW w:w="240" w:type="dxa"/>
            <w:vAlign w:val="bottom"/>
          </w:tcPr>
          <w:p>
            <w:pPr>
              <w:spacing w:after="0"/>
              <w:rPr>
                <w:sz w:val="20"/>
                <w:szCs w:val="20"/>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(9,000 )</w:t>
            </w:r>
          </w:p>
        </w:tc>
        <w:tc>
          <w:tcPr>
            <w:tcW w:w="1120" w:type="dxa"/>
            <w:vAlign w:val="bottom"/>
          </w:tcPr>
          <w:p>
            <w:pPr>
              <w:spacing w:after="0"/>
              <w:rPr>
                <w:sz w:val="20"/>
                <w:szCs w:val="20"/>
                <w:color w:val="auto"/>
              </w:rPr>
            </w:pPr>
          </w:p>
        </w:tc>
      </w:tr>
      <w:tr>
        <w:trPr>
          <w:trHeight w:val="247"/>
        </w:trPr>
        <w:tc>
          <w:tcPr>
            <w:tcW w:w="1140" w:type="dxa"/>
            <w:vAlign w:val="bottom"/>
          </w:tcPr>
          <w:p>
            <w:pPr>
              <w:spacing w:after="0"/>
              <w:rPr>
                <w:sz w:val="21"/>
                <w:szCs w:val="21"/>
                <w:color w:val="auto"/>
              </w:rPr>
            </w:pPr>
          </w:p>
        </w:tc>
        <w:tc>
          <w:tcPr>
            <w:tcW w:w="4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Difference in foreign tax rates</w:t>
            </w:r>
          </w:p>
        </w:tc>
        <w:tc>
          <w:tcPr>
            <w:tcW w:w="11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0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(2,614 )</w:t>
            </w:r>
          </w:p>
        </w:tc>
        <w:tc>
          <w:tcPr>
            <w:tcW w:w="24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2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486</w:t>
            </w:r>
          </w:p>
        </w:tc>
        <w:tc>
          <w:tcPr>
            <w:tcW w:w="80" w:type="dxa"/>
            <w:vAlign w:val="bottom"/>
            <w:shd w:val="clear" w:color="auto" w:fill="CFF0FC"/>
          </w:tcPr>
          <w:p>
            <w:pPr>
              <w:spacing w:after="0"/>
              <w:rPr>
                <w:sz w:val="21"/>
                <w:szCs w:val="21"/>
                <w:color w:val="auto"/>
              </w:rPr>
            </w:pPr>
          </w:p>
        </w:tc>
        <w:tc>
          <w:tcPr>
            <w:tcW w:w="1120" w:type="dxa"/>
            <w:vAlign w:val="bottom"/>
          </w:tcPr>
          <w:p>
            <w:pPr>
              <w:spacing w:after="0"/>
              <w:rPr>
                <w:sz w:val="21"/>
                <w:szCs w:val="21"/>
                <w:color w:val="auto"/>
              </w:rPr>
            </w:pPr>
          </w:p>
        </w:tc>
      </w:tr>
      <w:tr>
        <w:trPr>
          <w:trHeight w:val="239"/>
        </w:trPr>
        <w:tc>
          <w:tcPr>
            <w:tcW w:w="1140" w:type="dxa"/>
            <w:vAlign w:val="bottom"/>
          </w:tcPr>
          <w:p>
            <w:pPr>
              <w:spacing w:after="0"/>
              <w:rPr>
                <w:sz w:val="20"/>
                <w:szCs w:val="20"/>
                <w:color w:val="auto"/>
              </w:rPr>
            </w:pPr>
          </w:p>
        </w:tc>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U.S. tax credits</w:t>
            </w:r>
          </w:p>
        </w:tc>
        <w:tc>
          <w:tcPr>
            <w:tcW w:w="1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45,274</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15,561</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15,995</w:t>
            </w: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47"/>
        </w:trPr>
        <w:tc>
          <w:tcPr>
            <w:tcW w:w="1140" w:type="dxa"/>
            <w:vAlign w:val="bottom"/>
          </w:tcPr>
          <w:p>
            <w:pPr>
              <w:spacing w:after="0"/>
              <w:rPr>
                <w:sz w:val="21"/>
                <w:szCs w:val="21"/>
                <w:color w:val="auto"/>
              </w:rPr>
            </w:pPr>
          </w:p>
        </w:tc>
        <w:tc>
          <w:tcPr>
            <w:tcW w:w="4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Acquisition</w:t>
            </w:r>
          </w:p>
        </w:tc>
        <w:tc>
          <w:tcPr>
            <w:tcW w:w="11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0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1,033</w:t>
            </w:r>
          </w:p>
        </w:tc>
        <w:tc>
          <w:tcPr>
            <w:tcW w:w="80" w:type="dxa"/>
            <w:vAlign w:val="bottom"/>
            <w:shd w:val="clear" w:color="auto" w:fill="CFF0FC"/>
          </w:tcPr>
          <w:p>
            <w:pPr>
              <w:spacing w:after="0"/>
              <w:rPr>
                <w:sz w:val="21"/>
                <w:szCs w:val="21"/>
                <w:color w:val="auto"/>
              </w:rPr>
            </w:pPr>
          </w:p>
        </w:tc>
        <w:tc>
          <w:tcPr>
            <w:tcW w:w="1120" w:type="dxa"/>
            <w:vAlign w:val="bottom"/>
          </w:tcPr>
          <w:p>
            <w:pPr>
              <w:spacing w:after="0"/>
              <w:rPr>
                <w:sz w:val="21"/>
                <w:szCs w:val="21"/>
                <w:color w:val="auto"/>
              </w:rPr>
            </w:pPr>
          </w:p>
        </w:tc>
      </w:tr>
      <w:tr>
        <w:trPr>
          <w:trHeight w:val="239"/>
        </w:trPr>
        <w:tc>
          <w:tcPr>
            <w:tcW w:w="1140" w:type="dxa"/>
            <w:vAlign w:val="bottom"/>
          </w:tcPr>
          <w:p>
            <w:pPr>
              <w:spacing w:after="0"/>
              <w:rPr>
                <w:sz w:val="20"/>
                <w:szCs w:val="20"/>
                <w:color w:val="auto"/>
              </w:rPr>
            </w:pPr>
          </w:p>
        </w:tc>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Foreign withholding taxes</w:t>
            </w:r>
          </w:p>
        </w:tc>
        <w:tc>
          <w:tcPr>
            <w:tcW w:w="1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(1,449 )</w:t>
            </w:r>
          </w:p>
        </w:tc>
        <w:tc>
          <w:tcPr>
            <w:tcW w:w="240" w:type="dxa"/>
            <w:vAlign w:val="bottom"/>
          </w:tcPr>
          <w:p>
            <w:pPr>
              <w:spacing w:after="0"/>
              <w:rPr>
                <w:sz w:val="20"/>
                <w:szCs w:val="20"/>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(1,268 )</w:t>
            </w:r>
          </w:p>
        </w:tc>
        <w:tc>
          <w:tcPr>
            <w:tcW w:w="240" w:type="dxa"/>
            <w:vAlign w:val="bottom"/>
          </w:tcPr>
          <w:p>
            <w:pPr>
              <w:spacing w:after="0"/>
              <w:rPr>
                <w:sz w:val="20"/>
                <w:szCs w:val="20"/>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(1,006 )</w:t>
            </w:r>
          </w:p>
        </w:tc>
        <w:tc>
          <w:tcPr>
            <w:tcW w:w="1120" w:type="dxa"/>
            <w:vAlign w:val="bottom"/>
          </w:tcPr>
          <w:p>
            <w:pPr>
              <w:spacing w:after="0"/>
              <w:rPr>
                <w:sz w:val="20"/>
                <w:szCs w:val="20"/>
                <w:color w:val="auto"/>
              </w:rPr>
            </w:pPr>
          </w:p>
        </w:tc>
      </w:tr>
      <w:tr>
        <w:trPr>
          <w:trHeight w:val="247"/>
        </w:trPr>
        <w:tc>
          <w:tcPr>
            <w:tcW w:w="1140" w:type="dxa"/>
            <w:vAlign w:val="bottom"/>
          </w:tcPr>
          <w:p>
            <w:pPr>
              <w:spacing w:after="0"/>
              <w:rPr>
                <w:sz w:val="21"/>
                <w:szCs w:val="21"/>
                <w:color w:val="auto"/>
              </w:rPr>
            </w:pPr>
          </w:p>
        </w:tc>
        <w:tc>
          <w:tcPr>
            <w:tcW w:w="4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11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0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(105,181 )</w:t>
            </w:r>
          </w:p>
        </w:tc>
        <w:tc>
          <w:tcPr>
            <w:tcW w:w="24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(47,552 )</w:t>
            </w:r>
          </w:p>
        </w:tc>
        <w:tc>
          <w:tcPr>
            <w:tcW w:w="240" w:type="dxa"/>
            <w:vAlign w:val="bottom"/>
            <w:shd w:val="clear" w:color="auto" w:fill="CFF0FC"/>
          </w:tcPr>
          <w:p>
            <w:pPr>
              <w:spacing w:after="0"/>
              <w:rPr>
                <w:sz w:val="21"/>
                <w:szCs w:val="21"/>
                <w:color w:val="auto"/>
              </w:rPr>
            </w:pPr>
          </w:p>
        </w:tc>
        <w:tc>
          <w:tcPr>
            <w:tcW w:w="8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(119,843 )</w:t>
            </w:r>
          </w:p>
        </w:tc>
        <w:tc>
          <w:tcPr>
            <w:tcW w:w="1120" w:type="dxa"/>
            <w:vAlign w:val="bottom"/>
          </w:tcPr>
          <w:p>
            <w:pPr>
              <w:spacing w:after="0"/>
              <w:rPr>
                <w:sz w:val="21"/>
                <w:szCs w:val="21"/>
                <w:color w:val="auto"/>
              </w:rPr>
            </w:pPr>
          </w:p>
        </w:tc>
      </w:tr>
      <w:tr>
        <w:trPr>
          <w:trHeight w:val="243"/>
        </w:trPr>
        <w:tc>
          <w:tcPr>
            <w:tcW w:w="1140" w:type="dxa"/>
            <w:vAlign w:val="bottom"/>
          </w:tcPr>
          <w:p>
            <w:pPr>
              <w:spacing w:after="0"/>
              <w:rPr>
                <w:sz w:val="21"/>
                <w:szCs w:val="21"/>
                <w:color w:val="auto"/>
              </w:rPr>
            </w:pPr>
          </w:p>
        </w:tc>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(531 )</w:t>
            </w:r>
          </w:p>
        </w:tc>
        <w:tc>
          <w:tcPr>
            <w:tcW w:w="240" w:type="dxa"/>
            <w:vAlign w:val="bottom"/>
          </w:tcPr>
          <w:p>
            <w:pPr>
              <w:spacing w:after="0"/>
              <w:rPr>
                <w:sz w:val="21"/>
                <w:szCs w:val="21"/>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(1,236 )</w:t>
            </w:r>
          </w:p>
        </w:tc>
        <w:tc>
          <w:tcPr>
            <w:tcW w:w="240" w:type="dxa"/>
            <w:vAlign w:val="bottom"/>
          </w:tcPr>
          <w:p>
            <w:pPr>
              <w:spacing w:after="0"/>
              <w:rPr>
                <w:sz w:val="21"/>
                <w:szCs w:val="21"/>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(918 )</w:t>
            </w:r>
          </w:p>
        </w:tc>
        <w:tc>
          <w:tcPr>
            <w:tcW w:w="1120" w:type="dxa"/>
            <w:vAlign w:val="bottom"/>
          </w:tcPr>
          <w:p>
            <w:pPr>
              <w:spacing w:after="0"/>
              <w:rPr>
                <w:sz w:val="21"/>
                <w:szCs w:val="21"/>
                <w:color w:val="auto"/>
              </w:rPr>
            </w:pPr>
          </w:p>
        </w:tc>
      </w:tr>
      <w:tr>
        <w:trPr>
          <w:trHeight w:val="20"/>
        </w:trPr>
        <w:tc>
          <w:tcPr>
            <w:tcW w:w="114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76"/>
        </w:trPr>
        <w:tc>
          <w:tcPr>
            <w:tcW w:w="1140" w:type="dxa"/>
            <w:vAlign w:val="bottom"/>
          </w:tcPr>
          <w:p>
            <w:pPr>
              <w:spacing w:after="0"/>
              <w:rPr>
                <w:sz w:val="24"/>
                <w:szCs w:val="24"/>
                <w:color w:val="auto"/>
              </w:rPr>
            </w:pPr>
          </w:p>
        </w:tc>
        <w:tc>
          <w:tcPr>
            <w:tcW w:w="4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tax provision</w:t>
            </w:r>
          </w:p>
        </w:tc>
        <w:tc>
          <w:tcPr>
            <w:tcW w:w="1100" w:type="dxa"/>
            <w:vAlign w:val="bottom"/>
            <w:shd w:val="clear" w:color="auto" w:fill="CFF0FC"/>
          </w:tcPr>
          <w:p>
            <w:pPr>
              <w:spacing w:after="0"/>
              <w:rPr>
                <w:sz w:val="24"/>
                <w:szCs w:val="24"/>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(18,593 )</w:t>
            </w:r>
          </w:p>
        </w:tc>
        <w:tc>
          <w:tcPr>
            <w:tcW w:w="24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(8,057 )</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(4,019 )</w:t>
            </w:r>
          </w:p>
        </w:tc>
        <w:tc>
          <w:tcPr>
            <w:tcW w:w="1120" w:type="dxa"/>
            <w:vAlign w:val="bottom"/>
          </w:tcPr>
          <w:p>
            <w:pPr>
              <w:spacing w:after="0"/>
              <w:rPr>
                <w:sz w:val="24"/>
                <w:szCs w:val="24"/>
                <w:color w:val="auto"/>
              </w:rPr>
            </w:pPr>
          </w:p>
        </w:tc>
      </w:tr>
      <w:tr>
        <w:trPr>
          <w:trHeight w:val="629"/>
        </w:trPr>
        <w:tc>
          <w:tcPr>
            <w:tcW w:w="1140" w:type="dxa"/>
            <w:vAlign w:val="bottom"/>
          </w:tcPr>
          <w:p>
            <w:pPr>
              <w:spacing w:after="0"/>
              <w:rPr>
                <w:sz w:val="24"/>
                <w:szCs w:val="24"/>
                <w:color w:val="auto"/>
              </w:rPr>
            </w:pPr>
          </w:p>
        </w:tc>
        <w:tc>
          <w:tcPr>
            <w:tcW w:w="4220" w:type="dxa"/>
            <w:vAlign w:val="bottom"/>
            <w:tcBorders>
              <w:top w:val="single" w:sz="8" w:color="CFF0FC"/>
            </w:tcBorders>
          </w:tcPr>
          <w:p>
            <w:pPr>
              <w:spacing w:after="0"/>
              <w:rPr>
                <w:sz w:val="24"/>
                <w:szCs w:val="24"/>
                <w:color w:val="auto"/>
              </w:rPr>
            </w:pPr>
          </w:p>
        </w:tc>
        <w:tc>
          <w:tcPr>
            <w:tcW w:w="1100" w:type="dxa"/>
            <w:vAlign w:val="bottom"/>
            <w:tcBorders>
              <w:top w:val="single" w:sz="8" w:color="CFF0FC"/>
            </w:tcBorders>
          </w:tcPr>
          <w:p>
            <w:pPr>
              <w:jc w:val="right"/>
              <w:ind w:right="650"/>
              <w:spacing w:after="0"/>
              <w:rPr>
                <w:sz w:val="20"/>
                <w:szCs w:val="20"/>
                <w:color w:val="auto"/>
              </w:rPr>
            </w:pPr>
            <w:r>
              <w:rPr>
                <w:rFonts w:ascii="Times New Roman" w:cs="Times New Roman" w:eastAsia="Times New Roman" w:hAnsi="Times New Roman"/>
                <w:sz w:val="18"/>
                <w:szCs w:val="18"/>
                <w:color w:val="auto"/>
              </w:rPr>
              <w:t>94</w:t>
            </w:r>
          </w:p>
        </w:tc>
        <w:tc>
          <w:tcPr>
            <w:tcW w:w="24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200" w:type="dxa"/>
            <w:vAlign w:val="bottom"/>
            <w:tcBorders>
              <w:top w:val="single" w:sz="8" w:color="CFF0FC"/>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1120" w:type="dxa"/>
            <w:vAlign w:val="bottom"/>
          </w:tcPr>
          <w:p>
            <w:pPr>
              <w:spacing w:after="0"/>
              <w:rPr>
                <w:sz w:val="24"/>
                <w:szCs w:val="24"/>
                <w:color w:val="auto"/>
              </w:rPr>
            </w:pPr>
          </w:p>
        </w:tc>
      </w:tr>
      <w:tr>
        <w:trPr>
          <w:trHeight w:val="763"/>
        </w:trPr>
        <w:tc>
          <w:tcPr>
            <w:tcW w:w="1140" w:type="dxa"/>
            <w:vAlign w:val="bottom"/>
            <w:tcBorders>
              <w:bottom w:val="single" w:sz="8" w:color="9A9A9A"/>
            </w:tcBorders>
          </w:tcPr>
          <w:p>
            <w:pPr>
              <w:spacing w:after="0"/>
              <w:rPr>
                <w:sz w:val="24"/>
                <w:szCs w:val="24"/>
                <w:color w:val="auto"/>
              </w:rPr>
            </w:pPr>
          </w:p>
        </w:tc>
        <w:tc>
          <w:tcPr>
            <w:tcW w:w="422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4779645</wp:posOffset>
            </wp:positionH>
            <wp:positionV relativeFrom="paragraph">
              <wp:posOffset>-933450</wp:posOffset>
            </wp:positionV>
            <wp:extent cx="59690" cy="889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-916305</wp:posOffset>
            </wp:positionV>
            <wp:extent cx="59690" cy="889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-933450</wp:posOffset>
            </wp:positionV>
            <wp:extent cx="51435" cy="889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-916305</wp:posOffset>
            </wp:positionV>
            <wp:extent cx="51435" cy="889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-933450</wp:posOffset>
            </wp:positionV>
            <wp:extent cx="51435" cy="889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-916305</wp:posOffset>
            </wp:positionV>
            <wp:extent cx="51435" cy="889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42" w:right="339" w:bottom="1440" w:gutter="0" w:footer="0" w:header="0"/>
          <w:type w:val="continuous"/>
        </w:sectPr>
      </w:pPr>
    </w:p>
    <w:bookmarkStart w:id="94" w:name="page95"/>
    <w:bookmarkEnd w:id="94"/>
    <w:p>
      <w:pPr>
        <w:ind w:right="40" w:firstLine="509"/>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Deferred Tax Assets and Liabilities </w:t>
      </w:r>
      <w:r>
        <w:rPr>
          <w:rFonts w:ascii="Times New Roman" w:cs="Times New Roman" w:eastAsia="Times New Roman" w:hAnsi="Times New Roman"/>
          <w:sz w:val="18"/>
          <w:szCs w:val="18"/>
          <w:color w:val="auto"/>
        </w:rPr>
        <w:t>— Deferred income taxes reflect the net effects of temporary differences between the carrying amounts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assets and liabilities for financial reporting purposes and the amounts used for income tax purposes. Significant components of the Company’s deferred tax assets and liabilities were as follows:</w:t>
      </w:r>
    </w:p>
    <w:p>
      <w:pPr>
        <w:spacing w:after="0" w:line="182" w:lineRule="exact"/>
        <w:rPr>
          <w:sz w:val="20"/>
          <w:szCs w:val="20"/>
          <w:color w:val="auto"/>
        </w:rPr>
      </w:pPr>
    </w:p>
    <w:tbl>
      <w:tblPr>
        <w:tblLayout w:type="fixed"/>
        <w:tblInd w:w="1140" w:type="dxa"/>
        <w:tblCellMar>
          <w:top w:w="0" w:type="dxa"/>
          <w:left w:w="0" w:type="dxa"/>
          <w:bottom w:w="0" w:type="dxa"/>
          <w:right w:w="0" w:type="dxa"/>
        </w:tblCellMar>
      </w:tblPr>
      <w:tr>
        <w:trPr>
          <w:trHeight w:val="187"/>
        </w:trPr>
        <w:tc>
          <w:tcPr>
            <w:tcW w:w="6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500" w:type="dxa"/>
            <w:vAlign w:val="bottom"/>
            <w:gridSpan w:val="5"/>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69"/>
        </w:trPr>
        <w:tc>
          <w:tcPr>
            <w:tcW w:w="6180" w:type="dxa"/>
            <w:vAlign w:val="bottom"/>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960" w:type="dxa"/>
            <w:vAlign w:val="bottom"/>
            <w:tcBorders>
              <w:top w:val="single" w:sz="8" w:color="auto"/>
              <w:bottom w:val="single" w:sz="8" w:color="auto"/>
            </w:tcBorders>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Borders>
              <w:top w:val="single" w:sz="8" w:color="auto"/>
            </w:tcBorders>
          </w:tcPr>
          <w:p>
            <w:pPr>
              <w:spacing w:after="0"/>
              <w:rPr>
                <w:sz w:val="14"/>
                <w:szCs w:val="14"/>
                <w:color w:val="auto"/>
              </w:rPr>
            </w:pPr>
          </w:p>
        </w:tc>
        <w:tc>
          <w:tcPr>
            <w:tcW w:w="400" w:type="dxa"/>
            <w:vAlign w:val="bottom"/>
            <w:tcBorders>
              <w:top w:val="single" w:sz="8" w:color="auto"/>
              <w:bottom w:val="single" w:sz="8" w:color="auto"/>
            </w:tcBorders>
          </w:tcPr>
          <w:p>
            <w:pPr>
              <w:spacing w:after="0"/>
              <w:rPr>
                <w:sz w:val="14"/>
                <w:szCs w:val="14"/>
                <w:color w:val="auto"/>
              </w:rPr>
            </w:pPr>
          </w:p>
        </w:tc>
        <w:tc>
          <w:tcPr>
            <w:tcW w:w="840" w:type="dxa"/>
            <w:vAlign w:val="bottom"/>
            <w:tcBorders>
              <w:top w:val="single" w:sz="8" w:color="auto"/>
              <w:bottom w:val="single" w:sz="8" w:color="auto"/>
            </w:tcBorders>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4"/>
                <w:szCs w:val="14"/>
                <w:color w:val="auto"/>
              </w:rPr>
            </w:pPr>
          </w:p>
        </w:tc>
      </w:tr>
      <w:tr>
        <w:trPr>
          <w:trHeight w:val="169"/>
        </w:trPr>
        <w:tc>
          <w:tcPr>
            <w:tcW w:w="6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(in</w:t>
            </w:r>
          </w:p>
        </w:tc>
        <w:tc>
          <w:tcPr>
            <w:tcW w:w="6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82"/>
              </w:rPr>
              <w:t>thousands)</w:t>
            </w: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243"/>
        </w:trPr>
        <w:tc>
          <w:tcPr>
            <w:tcW w:w="6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30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r>
      <w:tr>
        <w:trPr>
          <w:trHeight w:val="239"/>
        </w:trPr>
        <w:tc>
          <w:tcPr>
            <w:tcW w:w="6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227,731</w:t>
            </w:r>
          </w:p>
        </w:tc>
        <w:tc>
          <w:tcPr>
            <w:tcW w:w="220" w:type="dxa"/>
            <w:vAlign w:val="bottom"/>
          </w:tcPr>
          <w:p>
            <w:pPr>
              <w:spacing w:after="0"/>
              <w:rPr>
                <w:sz w:val="20"/>
                <w:szCs w:val="20"/>
                <w:color w:val="auto"/>
              </w:rPr>
            </w:pPr>
          </w:p>
        </w:tc>
        <w:tc>
          <w:tcPr>
            <w:tcW w:w="40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244,603</w:t>
            </w:r>
          </w:p>
        </w:tc>
        <w:tc>
          <w:tcPr>
            <w:tcW w:w="80" w:type="dxa"/>
            <w:vAlign w:val="bottom"/>
          </w:tcPr>
          <w:p>
            <w:pPr>
              <w:spacing w:after="0"/>
              <w:rPr>
                <w:sz w:val="20"/>
                <w:szCs w:val="20"/>
                <w:color w:val="auto"/>
              </w:rPr>
            </w:pPr>
          </w:p>
        </w:tc>
      </w:tr>
      <w:tr>
        <w:trPr>
          <w:trHeight w:val="247"/>
        </w:trPr>
        <w:tc>
          <w:tcPr>
            <w:tcW w:w="61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Research and investment credits</w:t>
            </w:r>
          </w:p>
        </w:tc>
        <w:tc>
          <w:tcPr>
            <w:tcW w:w="30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125,424</w:t>
            </w:r>
          </w:p>
        </w:tc>
        <w:tc>
          <w:tcPr>
            <w:tcW w:w="22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78,049</w:t>
            </w:r>
          </w:p>
        </w:tc>
        <w:tc>
          <w:tcPr>
            <w:tcW w:w="80" w:type="dxa"/>
            <w:vAlign w:val="bottom"/>
            <w:shd w:val="clear" w:color="auto" w:fill="CFF0FC"/>
          </w:tcPr>
          <w:p>
            <w:pPr>
              <w:spacing w:after="0"/>
              <w:rPr>
                <w:sz w:val="21"/>
                <w:szCs w:val="21"/>
                <w:color w:val="auto"/>
              </w:rPr>
            </w:pPr>
          </w:p>
        </w:tc>
      </w:tr>
      <w:tr>
        <w:trPr>
          <w:trHeight w:val="239"/>
        </w:trPr>
        <w:tc>
          <w:tcPr>
            <w:tcW w:w="6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Accruals and reserves</w:t>
            </w: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31,304</w:t>
            </w: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18,073</w:t>
            </w:r>
          </w:p>
        </w:tc>
        <w:tc>
          <w:tcPr>
            <w:tcW w:w="80" w:type="dxa"/>
            <w:vAlign w:val="bottom"/>
          </w:tcPr>
          <w:p>
            <w:pPr>
              <w:spacing w:after="0"/>
              <w:rPr>
                <w:sz w:val="20"/>
                <w:szCs w:val="20"/>
                <w:color w:val="auto"/>
              </w:rPr>
            </w:pPr>
          </w:p>
        </w:tc>
      </w:tr>
      <w:tr>
        <w:trPr>
          <w:trHeight w:val="247"/>
        </w:trPr>
        <w:tc>
          <w:tcPr>
            <w:tcW w:w="61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Depreciation</w:t>
            </w:r>
          </w:p>
        </w:tc>
        <w:tc>
          <w:tcPr>
            <w:tcW w:w="30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688</w:t>
            </w:r>
          </w:p>
        </w:tc>
        <w:tc>
          <w:tcPr>
            <w:tcW w:w="22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392</w:t>
            </w:r>
          </w:p>
        </w:tc>
        <w:tc>
          <w:tcPr>
            <w:tcW w:w="80" w:type="dxa"/>
            <w:vAlign w:val="bottom"/>
            <w:shd w:val="clear" w:color="auto" w:fill="CFF0FC"/>
          </w:tcPr>
          <w:p>
            <w:pPr>
              <w:spacing w:after="0"/>
              <w:rPr>
                <w:sz w:val="21"/>
                <w:szCs w:val="21"/>
                <w:color w:val="auto"/>
              </w:rPr>
            </w:pPr>
          </w:p>
        </w:tc>
      </w:tr>
      <w:tr>
        <w:trPr>
          <w:trHeight w:val="239"/>
        </w:trPr>
        <w:tc>
          <w:tcPr>
            <w:tcW w:w="6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Capitalized software development</w:t>
            </w: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177,792</w:t>
            </w: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80,424</w:t>
            </w:r>
          </w:p>
        </w:tc>
        <w:tc>
          <w:tcPr>
            <w:tcW w:w="80" w:type="dxa"/>
            <w:vAlign w:val="bottom"/>
          </w:tcPr>
          <w:p>
            <w:pPr>
              <w:spacing w:after="0"/>
              <w:rPr>
                <w:sz w:val="20"/>
                <w:szCs w:val="20"/>
                <w:color w:val="auto"/>
              </w:rPr>
            </w:pPr>
          </w:p>
        </w:tc>
      </w:tr>
      <w:tr>
        <w:trPr>
          <w:trHeight w:val="247"/>
        </w:trPr>
        <w:tc>
          <w:tcPr>
            <w:tcW w:w="618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Stock-based compensation</w:t>
            </w:r>
          </w:p>
        </w:tc>
        <w:tc>
          <w:tcPr>
            <w:tcW w:w="300" w:type="dxa"/>
            <w:vAlign w:val="bottom"/>
            <w:tcBorders>
              <w:bottom w:val="single" w:sz="8" w:color="auto"/>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20,283</w:t>
            </w:r>
          </w:p>
        </w:tc>
        <w:tc>
          <w:tcPr>
            <w:tcW w:w="220" w:type="dxa"/>
            <w:vAlign w:val="bottom"/>
            <w:tcBorders>
              <w:bottom w:val="single" w:sz="8" w:color="CFF0FC"/>
            </w:tcBorders>
            <w:shd w:val="clear" w:color="auto" w:fill="CFF0FC"/>
          </w:tcPr>
          <w:p>
            <w:pPr>
              <w:spacing w:after="0"/>
              <w:rPr>
                <w:sz w:val="21"/>
                <w:szCs w:val="21"/>
                <w:color w:val="auto"/>
              </w:rPr>
            </w:pPr>
          </w:p>
        </w:tc>
        <w:tc>
          <w:tcPr>
            <w:tcW w:w="400" w:type="dxa"/>
            <w:vAlign w:val="bottom"/>
            <w:tcBorders>
              <w:bottom w:val="single" w:sz="8" w:color="auto"/>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14,875</w:t>
            </w:r>
          </w:p>
        </w:tc>
        <w:tc>
          <w:tcPr>
            <w:tcW w:w="80" w:type="dxa"/>
            <w:vAlign w:val="bottom"/>
            <w:tcBorders>
              <w:bottom w:val="single" w:sz="8" w:color="CFF0FC"/>
            </w:tcBorders>
            <w:shd w:val="clear" w:color="auto" w:fill="CFF0FC"/>
          </w:tcPr>
          <w:p>
            <w:pPr>
              <w:spacing w:after="0"/>
              <w:rPr>
                <w:sz w:val="21"/>
                <w:szCs w:val="21"/>
                <w:color w:val="auto"/>
              </w:rPr>
            </w:pPr>
          </w:p>
        </w:tc>
      </w:tr>
      <w:tr>
        <w:trPr>
          <w:trHeight w:val="237"/>
        </w:trPr>
        <w:tc>
          <w:tcPr>
            <w:tcW w:w="6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deferred tax assets</w:t>
            </w:r>
          </w:p>
        </w:tc>
        <w:tc>
          <w:tcPr>
            <w:tcW w:w="3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583,222</w:t>
            </w:r>
          </w:p>
        </w:tc>
        <w:tc>
          <w:tcPr>
            <w:tcW w:w="22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436,416</w:t>
            </w:r>
          </w:p>
        </w:tc>
        <w:tc>
          <w:tcPr>
            <w:tcW w:w="80" w:type="dxa"/>
            <w:vAlign w:val="bottom"/>
          </w:tcPr>
          <w:p>
            <w:pPr>
              <w:spacing w:after="0"/>
              <w:rPr>
                <w:sz w:val="20"/>
                <w:szCs w:val="20"/>
                <w:color w:val="auto"/>
              </w:rPr>
            </w:pPr>
          </w:p>
        </w:tc>
      </w:tr>
      <w:tr>
        <w:trPr>
          <w:trHeight w:val="237"/>
        </w:trPr>
        <w:tc>
          <w:tcPr>
            <w:tcW w:w="6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30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r>
      <w:tr>
        <w:trPr>
          <w:trHeight w:val="239"/>
        </w:trPr>
        <w:tc>
          <w:tcPr>
            <w:tcW w:w="6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Intangible assets</w:t>
            </w:r>
          </w:p>
        </w:tc>
        <w:tc>
          <w:tcPr>
            <w:tcW w:w="300" w:type="dxa"/>
            <w:vAlign w:val="bottom"/>
          </w:tcPr>
          <w:p>
            <w:pPr>
              <w:spacing w:after="0"/>
              <w:rPr>
                <w:sz w:val="20"/>
                <w:szCs w:val="20"/>
                <w:color w:val="auto"/>
              </w:rPr>
            </w:pPr>
          </w:p>
        </w:tc>
        <w:tc>
          <w:tcPr>
            <w:tcW w:w="1180" w:type="dxa"/>
            <w:vAlign w:val="bottom"/>
            <w:gridSpan w:val="2"/>
          </w:tcPr>
          <w:p>
            <w:pPr>
              <w:jc w:val="right"/>
              <w:ind w:right="88"/>
              <w:spacing w:after="0"/>
              <w:rPr>
                <w:sz w:val="20"/>
                <w:szCs w:val="20"/>
                <w:color w:val="auto"/>
              </w:rPr>
            </w:pPr>
            <w:r>
              <w:rPr>
                <w:rFonts w:ascii="Times New Roman" w:cs="Times New Roman" w:eastAsia="Times New Roman" w:hAnsi="Times New Roman"/>
                <w:sz w:val="18"/>
                <w:szCs w:val="18"/>
                <w:color w:val="auto"/>
              </w:rPr>
              <w:t>(8,185 )</w:t>
            </w:r>
          </w:p>
        </w:tc>
        <w:tc>
          <w:tcPr>
            <w:tcW w:w="400" w:type="dxa"/>
            <w:vAlign w:val="bottom"/>
          </w:tcPr>
          <w:p>
            <w:pPr>
              <w:spacing w:after="0"/>
              <w:rPr>
                <w:sz w:val="20"/>
                <w:szCs w:val="20"/>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(1,857 )</w:t>
            </w:r>
          </w:p>
        </w:tc>
      </w:tr>
      <w:tr>
        <w:trPr>
          <w:trHeight w:val="247"/>
        </w:trPr>
        <w:tc>
          <w:tcPr>
            <w:tcW w:w="61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Convertible debt</w:t>
            </w:r>
          </w:p>
        </w:tc>
        <w:tc>
          <w:tcPr>
            <w:tcW w:w="30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jc w:val="right"/>
              <w:ind w:right="88"/>
              <w:spacing w:after="0"/>
              <w:rPr>
                <w:sz w:val="20"/>
                <w:szCs w:val="20"/>
                <w:color w:val="auto"/>
              </w:rPr>
            </w:pPr>
            <w:r>
              <w:rPr>
                <w:rFonts w:ascii="Times New Roman" w:cs="Times New Roman" w:eastAsia="Times New Roman" w:hAnsi="Times New Roman"/>
                <w:sz w:val="18"/>
                <w:szCs w:val="18"/>
                <w:color w:val="auto"/>
              </w:rPr>
              <w:t>(52 )</w:t>
            </w:r>
          </w:p>
        </w:tc>
        <w:tc>
          <w:tcPr>
            <w:tcW w:w="400" w:type="dxa"/>
            <w:vAlign w:val="bottom"/>
            <w:shd w:val="clear" w:color="auto" w:fill="CFF0FC"/>
          </w:tcPr>
          <w:p>
            <w:pPr>
              <w:spacing w:after="0"/>
              <w:rPr>
                <w:sz w:val="21"/>
                <w:szCs w:val="21"/>
                <w:color w:val="auto"/>
              </w:rPr>
            </w:pPr>
          </w:p>
        </w:tc>
        <w:tc>
          <w:tcPr>
            <w:tcW w:w="9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(44 )</w:t>
            </w:r>
          </w:p>
        </w:tc>
      </w:tr>
      <w:tr>
        <w:trPr>
          <w:trHeight w:val="239"/>
        </w:trPr>
        <w:tc>
          <w:tcPr>
            <w:tcW w:w="6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Capitalized costs</w:t>
            </w:r>
          </w:p>
        </w:tc>
        <w:tc>
          <w:tcPr>
            <w:tcW w:w="300" w:type="dxa"/>
            <w:vAlign w:val="bottom"/>
          </w:tcPr>
          <w:p>
            <w:pPr>
              <w:spacing w:after="0"/>
              <w:rPr>
                <w:sz w:val="20"/>
                <w:szCs w:val="20"/>
                <w:color w:val="auto"/>
              </w:rPr>
            </w:pPr>
          </w:p>
        </w:tc>
        <w:tc>
          <w:tcPr>
            <w:tcW w:w="1180" w:type="dxa"/>
            <w:vAlign w:val="bottom"/>
            <w:gridSpan w:val="2"/>
          </w:tcPr>
          <w:p>
            <w:pPr>
              <w:jc w:val="right"/>
              <w:ind w:right="88"/>
              <w:spacing w:after="0"/>
              <w:rPr>
                <w:sz w:val="20"/>
                <w:szCs w:val="20"/>
                <w:color w:val="auto"/>
              </w:rPr>
            </w:pPr>
            <w:r>
              <w:rPr>
                <w:rFonts w:ascii="Times New Roman" w:cs="Times New Roman" w:eastAsia="Times New Roman" w:hAnsi="Times New Roman"/>
                <w:sz w:val="18"/>
                <w:szCs w:val="18"/>
                <w:color w:val="auto"/>
              </w:rPr>
              <w:t>(35,799 )</w:t>
            </w:r>
          </w:p>
        </w:tc>
        <w:tc>
          <w:tcPr>
            <w:tcW w:w="400" w:type="dxa"/>
            <w:vAlign w:val="bottom"/>
          </w:tcPr>
          <w:p>
            <w:pPr>
              <w:spacing w:after="0"/>
              <w:rPr>
                <w:sz w:val="20"/>
                <w:szCs w:val="20"/>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(19,879 )</w:t>
            </w:r>
          </w:p>
        </w:tc>
      </w:tr>
      <w:tr>
        <w:trPr>
          <w:trHeight w:val="247"/>
        </w:trPr>
        <w:tc>
          <w:tcPr>
            <w:tcW w:w="61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Depreciation</w:t>
            </w:r>
          </w:p>
        </w:tc>
        <w:tc>
          <w:tcPr>
            <w:tcW w:w="30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jc w:val="right"/>
              <w:ind w:right="88"/>
              <w:spacing w:after="0"/>
              <w:rPr>
                <w:sz w:val="20"/>
                <w:szCs w:val="20"/>
                <w:color w:val="auto"/>
              </w:rPr>
            </w:pPr>
            <w:r>
              <w:rPr>
                <w:rFonts w:ascii="Times New Roman" w:cs="Times New Roman" w:eastAsia="Times New Roman" w:hAnsi="Times New Roman"/>
                <w:sz w:val="18"/>
                <w:szCs w:val="18"/>
                <w:color w:val="auto"/>
              </w:rPr>
              <w:t>(2,608 )</w:t>
            </w:r>
          </w:p>
        </w:tc>
        <w:tc>
          <w:tcPr>
            <w:tcW w:w="400" w:type="dxa"/>
            <w:vAlign w:val="bottom"/>
            <w:shd w:val="clear" w:color="auto" w:fill="CFF0FC"/>
          </w:tcPr>
          <w:p>
            <w:pPr>
              <w:spacing w:after="0"/>
              <w:rPr>
                <w:sz w:val="21"/>
                <w:szCs w:val="21"/>
                <w:color w:val="auto"/>
              </w:rPr>
            </w:pPr>
          </w:p>
        </w:tc>
        <w:tc>
          <w:tcPr>
            <w:tcW w:w="9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(258 )</w:t>
            </w:r>
          </w:p>
        </w:tc>
      </w:tr>
      <w:tr>
        <w:trPr>
          <w:trHeight w:val="20"/>
        </w:trPr>
        <w:tc>
          <w:tcPr>
            <w:tcW w:w="618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r>
      <w:tr>
        <w:trPr>
          <w:trHeight w:val="237"/>
        </w:trPr>
        <w:tc>
          <w:tcPr>
            <w:tcW w:w="6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300" w:type="dxa"/>
            <w:vAlign w:val="bottom"/>
          </w:tcPr>
          <w:p>
            <w:pPr>
              <w:spacing w:after="0"/>
              <w:rPr>
                <w:sz w:val="20"/>
                <w:szCs w:val="20"/>
                <w:color w:val="auto"/>
              </w:rPr>
            </w:pPr>
          </w:p>
        </w:tc>
        <w:tc>
          <w:tcPr>
            <w:tcW w:w="1180" w:type="dxa"/>
            <w:vAlign w:val="bottom"/>
            <w:gridSpan w:val="2"/>
          </w:tcPr>
          <w:p>
            <w:pPr>
              <w:jc w:val="right"/>
              <w:ind w:right="88"/>
              <w:spacing w:after="0"/>
              <w:rPr>
                <w:sz w:val="20"/>
                <w:szCs w:val="20"/>
                <w:color w:val="auto"/>
              </w:rPr>
            </w:pPr>
            <w:r>
              <w:rPr>
                <w:rFonts w:ascii="Times New Roman" w:cs="Times New Roman" w:eastAsia="Times New Roman" w:hAnsi="Times New Roman"/>
                <w:sz w:val="18"/>
                <w:szCs w:val="18"/>
                <w:color w:val="auto"/>
              </w:rPr>
              <w:t>(46,644 )</w:t>
            </w:r>
          </w:p>
        </w:tc>
        <w:tc>
          <w:tcPr>
            <w:tcW w:w="400" w:type="dxa"/>
            <w:vAlign w:val="bottom"/>
          </w:tcPr>
          <w:p>
            <w:pPr>
              <w:spacing w:after="0"/>
              <w:rPr>
                <w:sz w:val="20"/>
                <w:szCs w:val="20"/>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(22,038 )</w:t>
            </w:r>
          </w:p>
        </w:tc>
      </w:tr>
      <w:tr>
        <w:trPr>
          <w:trHeight w:val="20"/>
        </w:trPr>
        <w:tc>
          <w:tcPr>
            <w:tcW w:w="61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7"/>
        </w:trPr>
        <w:tc>
          <w:tcPr>
            <w:tcW w:w="6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Valuation allowance</w:t>
            </w:r>
          </w:p>
        </w:tc>
        <w:tc>
          <w:tcPr>
            <w:tcW w:w="300" w:type="dxa"/>
            <w:vAlign w:val="bottom"/>
            <w:shd w:val="clear" w:color="auto" w:fill="CFF0FC"/>
          </w:tcPr>
          <w:p>
            <w:pPr>
              <w:spacing w:after="0"/>
              <w:rPr>
                <w:sz w:val="20"/>
                <w:szCs w:val="20"/>
                <w:color w:val="auto"/>
              </w:rPr>
            </w:pPr>
          </w:p>
        </w:tc>
        <w:tc>
          <w:tcPr>
            <w:tcW w:w="1180" w:type="dxa"/>
            <w:vAlign w:val="bottom"/>
            <w:gridSpan w:val="2"/>
            <w:shd w:val="clear" w:color="auto" w:fill="CFF0FC"/>
          </w:tcPr>
          <w:p>
            <w:pPr>
              <w:jc w:val="right"/>
              <w:ind w:right="88"/>
              <w:spacing w:after="0"/>
              <w:rPr>
                <w:sz w:val="20"/>
                <w:szCs w:val="20"/>
                <w:color w:val="auto"/>
              </w:rPr>
            </w:pPr>
            <w:r>
              <w:rPr>
                <w:rFonts w:ascii="Times New Roman" w:cs="Times New Roman" w:eastAsia="Times New Roman" w:hAnsi="Times New Roman"/>
                <w:sz w:val="18"/>
                <w:szCs w:val="18"/>
                <w:color w:val="auto"/>
              </w:rPr>
              <w:t>(536,311 )</w:t>
            </w:r>
          </w:p>
        </w:tc>
        <w:tc>
          <w:tcPr>
            <w:tcW w:w="400" w:type="dxa"/>
            <w:vAlign w:val="bottom"/>
            <w:shd w:val="clear" w:color="auto" w:fill="CFF0FC"/>
          </w:tcPr>
          <w:p>
            <w:pPr>
              <w:spacing w:after="0"/>
              <w:rPr>
                <w:sz w:val="20"/>
                <w:szCs w:val="20"/>
                <w:color w:val="auto"/>
              </w:rPr>
            </w:pPr>
          </w:p>
        </w:tc>
        <w:tc>
          <w:tcPr>
            <w:tcW w:w="9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(408,794 )</w:t>
            </w:r>
          </w:p>
        </w:tc>
      </w:tr>
      <w:tr>
        <w:trPr>
          <w:trHeight w:val="236"/>
        </w:trPr>
        <w:tc>
          <w:tcPr>
            <w:tcW w:w="618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Net deferred tax assets</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220" w:type="dxa"/>
            <w:vAlign w:val="bottom"/>
            <w:tcBorders>
              <w:top w:val="single" w:sz="8" w:color="CFF0FC"/>
            </w:tcBorders>
          </w:tcPr>
          <w:p>
            <w:pPr>
              <w:spacing w:after="0"/>
              <w:rPr>
                <w:sz w:val="20"/>
                <w:szCs w:val="20"/>
                <w:color w:val="auto"/>
              </w:rPr>
            </w:pPr>
          </w:p>
        </w:tc>
        <w:tc>
          <w:tcPr>
            <w:tcW w:w="400" w:type="dxa"/>
            <w:vAlign w:val="bottom"/>
            <w:tcBorders>
              <w:top w:val="single" w:sz="8" w:color="auto"/>
              <w:bottom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5,584</w:t>
            </w:r>
          </w:p>
        </w:tc>
        <w:tc>
          <w:tcPr>
            <w:tcW w:w="80" w:type="dxa"/>
            <w:vAlign w:val="bottom"/>
            <w:tcBorders>
              <w:top w:val="single" w:sz="8" w:color="CFF0FC"/>
            </w:tcBorders>
          </w:tcPr>
          <w:p>
            <w:pPr>
              <w:spacing w:after="0"/>
              <w:rPr>
                <w:sz w:val="20"/>
                <w:szCs w:val="20"/>
                <w:color w:val="auto"/>
              </w:rPr>
            </w:pPr>
          </w:p>
        </w:tc>
      </w:tr>
      <w:tr>
        <w:trPr>
          <w:trHeight w:val="20"/>
        </w:trPr>
        <w:tc>
          <w:tcPr>
            <w:tcW w:w="6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5448300</wp:posOffset>
            </wp:positionH>
            <wp:positionV relativeFrom="paragraph">
              <wp:posOffset>-1456690</wp:posOffset>
            </wp:positionV>
            <wp:extent cx="59690" cy="825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-1456690</wp:posOffset>
            </wp:positionV>
            <wp:extent cx="51435" cy="825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5448300</wp:posOffset>
            </wp:positionH>
            <wp:positionV relativeFrom="paragraph">
              <wp:posOffset>-513715</wp:posOffset>
            </wp:positionV>
            <wp:extent cx="59690" cy="825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-513715</wp:posOffset>
            </wp:positionV>
            <wp:extent cx="51435" cy="825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5448300</wp:posOffset>
            </wp:positionH>
            <wp:positionV relativeFrom="paragraph">
              <wp:posOffset>-187960</wp:posOffset>
            </wp:positionV>
            <wp:extent cx="59690" cy="825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-187960</wp:posOffset>
            </wp:positionV>
            <wp:extent cx="51435" cy="825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367"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The Company reviews all available evidence to evaluate the realizability of its deferred tax assets, including its recent history of accumulated losses over the most recent three years as well as its ability to generate income in future periods. The Company has provided a valuation allowance against its U.S. net deferred tax assets as it is more likely than not that these assets will not be realized given the nature of the assets and the likelihood of future utilization.</w:t>
      </w:r>
    </w:p>
    <w:p>
      <w:pPr>
        <w:spacing w:after="0" w:line="139" w:lineRule="exact"/>
        <w:rPr>
          <w:sz w:val="20"/>
          <w:szCs w:val="20"/>
          <w:color w:val="auto"/>
        </w:rPr>
      </w:pPr>
    </w:p>
    <w:p>
      <w:pPr>
        <w:ind w:right="160" w:firstLine="509"/>
        <w:spacing w:after="0" w:line="266" w:lineRule="auto"/>
        <w:rPr>
          <w:sz w:val="20"/>
          <w:szCs w:val="20"/>
          <w:color w:val="auto"/>
        </w:rPr>
      </w:pPr>
      <w:r>
        <w:rPr>
          <w:rFonts w:ascii="Times New Roman" w:cs="Times New Roman" w:eastAsia="Times New Roman" w:hAnsi="Times New Roman"/>
          <w:sz w:val="18"/>
          <w:szCs w:val="18"/>
          <w:color w:val="auto"/>
        </w:rPr>
        <w:t>The valuation allowance increased by $127.5 million in 2023, $62.4 million in 2022 and $119.3 million in 2021, primarily due to the increase in deductible temporary differences for U.S. research and development capitalization. The Company does not expect any significant changes in its valuation allowance positions within the next 12 months.</w:t>
      </w:r>
    </w:p>
    <w:p>
      <w:pPr>
        <w:spacing w:after="0" w:line="135"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Company had federal and state net operating loss carryforwards of $861.4 million and $741.0 million at December 31, 2023 and $960.7 million and $677.0 million at December 31, 2022. The Company also had international net operating loss carryforwards of $8.6 million at December 31, 2023 and $8.5 million at December 31, 2022. All federal net operating losses have an indefinite carryforward period. State net operating losses will begin to expire in 2025.</w:t>
      </w:r>
    </w:p>
    <w:p>
      <w:pPr>
        <w:spacing w:after="0" w:line="15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 has net federal research and development credit carryforwards of $89.2 million at December 31, 2023 that begin to expire in 2030.</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also has state research and investment tax credit carryforwards of $34.1 million that begin to expire in 2026.</w:t>
      </w:r>
    </w:p>
    <w:p>
      <w:pPr>
        <w:spacing w:after="0" w:line="166"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Under Section 382 of the Internal Revenue Code of 1986, as amended, substantial changes in the Company's ownership may limit the amount of net operating loss carryforwards that could be utilized annually in the future to offset taxable income. Specifically, this limitation may arise in the event of a cumulative change in ownership of the Company of more than 50% within a three-year period. Any such annual limitation may significantly reduce the utilization of net operating loss carryforwards before they expire.</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57" w:right="359" w:bottom="1440" w:gutter="0" w:footer="0" w:header="0"/>
        </w:sectPr>
      </w:pPr>
    </w:p>
    <w:bookmarkStart w:id="95" w:name="page96"/>
    <w:bookmarkEnd w:id="95"/>
    <w:p>
      <w:pPr>
        <w:ind w:right="180" w:firstLine="509"/>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Uncertain Tax Positions </w:t>
      </w:r>
      <w:r>
        <w:rPr>
          <w:rFonts w:ascii="Times New Roman" w:cs="Times New Roman" w:eastAsia="Times New Roman" w:hAnsi="Times New Roman"/>
          <w:sz w:val="18"/>
          <w:szCs w:val="18"/>
          <w:color w:val="auto"/>
        </w:rPr>
        <w:t>— The Company accounts for uncertainty in income taxes using a two-step process. The Company first determines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whether it is more likely than not that a tax position will be sustained upon examination by a tax authority, including resolutions of any related appeals or litigation processes, based on technical merit. If a tax position meets the more-likely-than-not recognition threshold it is then measured to determine the amount of benefit to recognize in the financial statements. The tax position is measured as the largest amount of benefit that is greater than 50% likely of being realized upon ultimate settlement.</w:t>
      </w:r>
    </w:p>
    <w:p>
      <w:pPr>
        <w:spacing w:after="0" w:line="3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summarizes activity related to unrecognized tax benefits:</w:t>
      </w:r>
    </w:p>
    <w:p>
      <w:pPr>
        <w:spacing w:after="0" w:line="232" w:lineRule="exact"/>
        <w:rPr>
          <w:sz w:val="20"/>
          <w:szCs w:val="20"/>
          <w:color w:val="auto"/>
        </w:rPr>
      </w:pPr>
    </w:p>
    <w:tbl>
      <w:tblPr>
        <w:tblLayout w:type="fixed"/>
        <w:tblInd w:w="1140" w:type="dxa"/>
        <w:tblCellMar>
          <w:top w:w="0" w:type="dxa"/>
          <w:left w:w="0" w:type="dxa"/>
          <w:bottom w:w="0" w:type="dxa"/>
          <w:right w:w="0" w:type="dxa"/>
        </w:tblCellMar>
      </w:tblPr>
      <w:tr>
        <w:trPr>
          <w:trHeight w:val="187"/>
        </w:trPr>
        <w:tc>
          <w:tcPr>
            <w:tcW w:w="53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6"/>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8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169"/>
        </w:trPr>
        <w:tc>
          <w:tcPr>
            <w:tcW w:w="53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4"/>
                <w:szCs w:val="14"/>
                <w:color w:val="auto"/>
              </w:rPr>
            </w:pPr>
          </w:p>
        </w:tc>
      </w:tr>
      <w:tr>
        <w:trPr>
          <w:trHeight w:val="169"/>
        </w:trPr>
        <w:tc>
          <w:tcPr>
            <w:tcW w:w="5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gridSpan w:val="2"/>
          </w:tcPr>
          <w:p>
            <w:pPr>
              <w:jc w:val="right"/>
              <w:ind w:right="33"/>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243"/>
        </w:trPr>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Unrecognized benefit—beginning of the year</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16,888</w:t>
            </w:r>
          </w:p>
        </w:tc>
        <w:tc>
          <w:tcPr>
            <w:tcW w:w="220" w:type="dxa"/>
            <w:vAlign w:val="bottom"/>
            <w:shd w:val="clear" w:color="auto" w:fill="CFF0FC"/>
          </w:tcPr>
          <w:p>
            <w:pPr>
              <w:spacing w:after="0"/>
              <w:rPr>
                <w:sz w:val="21"/>
                <w:szCs w:val="21"/>
                <w:color w:val="auto"/>
              </w:rPr>
            </w:pPr>
          </w:p>
        </w:tc>
        <w:tc>
          <w:tcPr>
            <w:tcW w:w="24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12,823</w:t>
            </w:r>
          </w:p>
        </w:tc>
        <w:tc>
          <w:tcPr>
            <w:tcW w:w="44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8,448</w:t>
            </w:r>
          </w:p>
        </w:tc>
        <w:tc>
          <w:tcPr>
            <w:tcW w:w="80" w:type="dxa"/>
            <w:vAlign w:val="bottom"/>
            <w:shd w:val="clear" w:color="auto" w:fill="CFF0FC"/>
          </w:tcPr>
          <w:p>
            <w:pPr>
              <w:spacing w:after="0"/>
              <w:rPr>
                <w:sz w:val="21"/>
                <w:szCs w:val="21"/>
                <w:color w:val="auto"/>
              </w:rPr>
            </w:pPr>
          </w:p>
        </w:tc>
      </w:tr>
      <w:tr>
        <w:trPr>
          <w:trHeight w:val="239"/>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Gross increases—current period positions</w:t>
            </w: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8,071</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4,065</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4,375</w:t>
            </w:r>
          </w:p>
        </w:tc>
        <w:tc>
          <w:tcPr>
            <w:tcW w:w="80" w:type="dxa"/>
            <w:vAlign w:val="bottom"/>
          </w:tcPr>
          <w:p>
            <w:pPr>
              <w:spacing w:after="0"/>
              <w:rPr>
                <w:sz w:val="20"/>
                <w:szCs w:val="20"/>
                <w:color w:val="auto"/>
              </w:rPr>
            </w:pPr>
          </w:p>
        </w:tc>
      </w:tr>
      <w:tr>
        <w:trPr>
          <w:trHeight w:val="247"/>
        </w:trPr>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Gross increases—current period business acquisitions</w:t>
            </w:r>
          </w:p>
        </w:tc>
        <w:tc>
          <w:tcPr>
            <w:tcW w:w="24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1,381</w:t>
            </w:r>
          </w:p>
        </w:tc>
        <w:tc>
          <w:tcPr>
            <w:tcW w:w="2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Gross decrease—prior period positions</w:t>
            </w:r>
          </w:p>
        </w:tc>
        <w:tc>
          <w:tcPr>
            <w:tcW w:w="240" w:type="dxa"/>
            <w:vAlign w:val="bottom"/>
          </w:tcPr>
          <w:p>
            <w:pPr>
              <w:spacing w:after="0"/>
              <w:rPr>
                <w:sz w:val="21"/>
                <w:szCs w:val="21"/>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(5,871 )</w:t>
            </w:r>
          </w:p>
        </w:tc>
        <w:tc>
          <w:tcPr>
            <w:tcW w:w="2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77"/>
        </w:trPr>
        <w:tc>
          <w:tcPr>
            <w:tcW w:w="53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Unrecognized benefit—end of period</w:t>
            </w: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20,469</w:t>
            </w:r>
          </w:p>
        </w:tc>
        <w:tc>
          <w:tcPr>
            <w:tcW w:w="22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top w:val="single" w:sz="8" w:color="auto"/>
              <w:bottom w:val="single" w:sz="8" w:color="auto"/>
            </w:tcBorders>
            <w:shd w:val="clear" w:color="auto" w:fill="CFF0FC"/>
          </w:tcPr>
          <w:p>
            <w:pPr>
              <w:jc w:val="right"/>
              <w:ind w:right="56"/>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16,888</w:t>
            </w:r>
          </w:p>
        </w:tc>
        <w:tc>
          <w:tcPr>
            <w:tcW w:w="20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12,823</w:t>
            </w:r>
          </w:p>
        </w:tc>
        <w:tc>
          <w:tcPr>
            <w:tcW w:w="8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4779645</wp:posOffset>
            </wp:positionH>
            <wp:positionV relativeFrom="paragraph">
              <wp:posOffset>-24765</wp:posOffset>
            </wp:positionV>
            <wp:extent cx="59690" cy="825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-7620</wp:posOffset>
            </wp:positionV>
            <wp:extent cx="59690" cy="825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-24765</wp:posOffset>
            </wp:positionV>
            <wp:extent cx="51435" cy="825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-7620</wp:posOffset>
            </wp:positionV>
            <wp:extent cx="51435" cy="825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-24765</wp:posOffset>
            </wp:positionV>
            <wp:extent cx="51435" cy="825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-7620</wp:posOffset>
            </wp:positionV>
            <wp:extent cx="51435" cy="825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05"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All of the gross unrecognized tax benefits represent a reduction to the research and development tax credit carryforward. All of the unrecognized tax benefits decrease deferred tax assets with a corresponding decrease to the valuation allowance. None of the unrecognized tax benefits would affect the Company’s effective tax rate if recognized in the future.</w:t>
      </w:r>
    </w:p>
    <w:p>
      <w:pPr>
        <w:spacing w:after="0" w:line="392"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The Company has elected to recognize interest and penalties related to uncertain tax positions as a component of income tax expense. No interest or penalties have been recorded through December 31, 2023 as the Company had no tax due because of significant net operating loss carryforwards.</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 does not expect any significant change in its unrecognized tax benefits within the next 12 months.</w:t>
      </w:r>
    </w:p>
    <w:p>
      <w:pPr>
        <w:spacing w:after="0" w:line="225"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The Company files tax returns in the United States and various jurisdictions throughout the world where the Company has operations or has established a taxable presence. All of the Company’s tax years remain open to examination in the United States, as carryforward attributes generated in past years may still be adjusted upon examination by the Internal Revenue Service or state tax authorities if they have or will be used in future periods. The Company is no longer subject to examination for years prior to 2017 in various significant tax jurisdictions and continues to be routinely examined by various taxing authorities.</w:t>
      </w:r>
    </w:p>
    <w:p>
      <w:pPr>
        <w:spacing w:after="0" w:line="3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Employee Benefit Plan</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Company maintains a defined contribution savings plan under Section 401(k) of the Internal Revenue Code. This plan covers certain employees who meet minimum age and service requirements and allows participants to defer a portion of their annual compensation on a pretax basis, subject to legal limitations. Total employer contributions were $11.0 million in 2023, $10.6 million in 2022, and $8.2 million in 2021.</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Restructuring Plan</w:t>
      </w:r>
    </w:p>
    <w:p>
      <w:pPr>
        <w:spacing w:after="0" w:line="121" w:lineRule="exact"/>
        <w:rPr>
          <w:sz w:val="20"/>
          <w:szCs w:val="20"/>
          <w:color w:val="auto"/>
        </w:rPr>
      </w:pPr>
    </w:p>
    <w:p>
      <w:pPr>
        <w:ind w:right="220" w:firstLine="509"/>
        <w:spacing w:after="0" w:line="266" w:lineRule="auto"/>
        <w:rPr>
          <w:sz w:val="20"/>
          <w:szCs w:val="20"/>
          <w:color w:val="auto"/>
        </w:rPr>
      </w:pPr>
      <w:r>
        <w:rPr>
          <w:rFonts w:ascii="Times New Roman" w:cs="Times New Roman" w:eastAsia="Times New Roman" w:hAnsi="Times New Roman"/>
          <w:sz w:val="18"/>
          <w:szCs w:val="18"/>
          <w:color w:val="auto"/>
        </w:rPr>
        <w:t>On January 25, 2023, the Company's board of directors authorized a restructuring plan (the “Restructuring Plan”) that was designed to reduce operating costs and enable investment in key opportunities for long-term growth while driving continued profitability. The Restructuring Plan included a reduction of the Company’s workforce by approximately 7% and a global lease consolidation to create higher density across our workspaces.</w:t>
      </w:r>
    </w:p>
    <w:p>
      <w:pPr>
        <w:spacing w:after="0" w:line="68"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During the year ended December 31, 2023, the Company terminated and abandoned various leases of office spaces globally. The Company recorded a reduction in right-of-use assets of $46.8 million and an increase in lease liabilities of $5.9 million for these leases upon the lease terminations or abandonments. The Company also incurred $96.8 million of restructuring charges, composed of $70.0 million related to facilities and $26.8 million for severance, employee related benefits, and other costs, including $1.0 million of stock-based compensation expense. The charges are recorded to the restructuring line item within the consolidated statements of operations.</w:t>
      </w:r>
    </w:p>
    <w:p>
      <w:pPr>
        <w:spacing w:after="0" w:line="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of December 31, 2023, the Company did not have any liabilities accrued related to the Restructuring Plan.</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57" w:right="35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10"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9A.</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117" w:lineRule="exact"/>
        <w:rPr>
          <w:sz w:val="20"/>
          <w:szCs w:val="20"/>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35"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Chief Financial Officer, has evaluated the effectiveness of our disclosure controls and procedures (as defined in Rules 13a-15(e) and 15d-15(e) under the Securities Exchange Act of 1934, as amended (the Exchange Act)), as of the end of the period covered by this Annual Report on Form 10-K. Based on such evaluation, our Chief Executive Officer and Chief Financial Officer have concluded that as of December 31, 2023, our disclosure controls and procedures were effective at the reasonable assurance level.</w:t>
      </w:r>
    </w:p>
    <w:p>
      <w:pPr>
        <w:spacing w:after="0" w:line="108" w:lineRule="exact"/>
        <w:rPr>
          <w:sz w:val="20"/>
          <w:szCs w:val="20"/>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Management’s Report on Internal Control Over Financial Reporting</w:t>
      </w:r>
    </w:p>
    <w:p>
      <w:pPr>
        <w:spacing w:after="0" w:line="135"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Chief Financial Officer, is responsible for establishing and maintaining adequate internal control over financial reporting. Internal control over financial reporting is defined in Rules 13a-15(f) or 15d-15(f) promulgated under the Exchange Act as a process designed by, or under the supervision of, the company's principal executive and principal financial officers and effected by the company’s board of directors, management and other personnel, to provide reasonable assurance regarding the reliability of financial reporting and the preparation of financial statements for external purposes in accordance with generally accepted accounting principles and includes those policies and procedures that:</w:t>
      </w:r>
    </w:p>
    <w:p>
      <w:pPr>
        <w:spacing w:after="0" w:line="106" w:lineRule="exact"/>
        <w:rPr>
          <w:sz w:val="20"/>
          <w:szCs w:val="20"/>
          <w:color w:val="auto"/>
        </w:rPr>
      </w:pPr>
    </w:p>
    <w:p>
      <w:pPr>
        <w:ind w:left="1540" w:right="400" w:hanging="513"/>
        <w:spacing w:after="0" w:line="282" w:lineRule="auto"/>
        <w:tabs>
          <w:tab w:leader="none" w:pos="15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pertain to the maintenance of records that in reasonable detail accurately and fairly reflect the transactions and dispositions of the assets of the company;</w:t>
      </w:r>
    </w:p>
    <w:p>
      <w:pPr>
        <w:spacing w:after="0" w:line="67" w:lineRule="exact"/>
        <w:rPr>
          <w:rFonts w:ascii="Times New Roman" w:cs="Times New Roman" w:eastAsia="Times New Roman" w:hAnsi="Times New Roman"/>
          <w:sz w:val="18"/>
          <w:szCs w:val="18"/>
          <w:color w:val="auto"/>
        </w:rPr>
      </w:pPr>
    </w:p>
    <w:p>
      <w:pPr>
        <w:ind w:left="1540" w:right="160" w:hanging="513"/>
        <w:spacing w:after="0" w:line="266" w:lineRule="auto"/>
        <w:tabs>
          <w:tab w:leader="none" w:pos="15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w:t>
      </w:r>
    </w:p>
    <w:p>
      <w:pPr>
        <w:spacing w:after="0" w:line="81" w:lineRule="exact"/>
        <w:rPr>
          <w:rFonts w:ascii="Times New Roman" w:cs="Times New Roman" w:eastAsia="Times New Roman" w:hAnsi="Times New Roman"/>
          <w:sz w:val="18"/>
          <w:szCs w:val="18"/>
          <w:color w:val="auto"/>
        </w:rPr>
      </w:pPr>
    </w:p>
    <w:p>
      <w:pPr>
        <w:ind w:left="1540" w:right="800" w:hanging="513"/>
        <w:spacing w:after="0" w:line="282" w:lineRule="auto"/>
        <w:tabs>
          <w:tab w:leader="none" w:pos="15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regarding prevention or timely detection of unauthorized acquisition, use or disposition of the company’s assets that could have a material effect on the financial statements.</w:t>
      </w:r>
    </w:p>
    <w:p>
      <w:pPr>
        <w:spacing w:after="0" w:line="189"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3"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Management has excluded Clearbit, which the Company acquired in December 2023, from its assessment of internal control over financial reporting as of December 31, 2023. Clearbit is a wholly owned subsidiary of the Company whose total assets and total revenues excluded from management's assessment represented less than 1% each of the related consolidated financial statement amounts for the Company as of and for the year ended December 31, 2023.</w:t>
      </w:r>
    </w:p>
    <w:p>
      <w:pPr>
        <w:spacing w:after="0" w:line="180"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 xml:space="preserve">Our management assessed the effectiveness of the Company’s internal control over financial reporting as of December 31, 2023. In making this assessment, our management used the criteria set forth by the Committee of Sponsoring Organizations of the Treadway Commission (“COSO”) in </w:t>
      </w:r>
      <w:r>
        <w:rPr>
          <w:rFonts w:ascii="Times New Roman" w:cs="Times New Roman" w:eastAsia="Times New Roman" w:hAnsi="Times New Roman"/>
          <w:sz w:val="18"/>
          <w:szCs w:val="18"/>
          <w:i w:val="1"/>
          <w:iCs w:val="1"/>
          <w:color w:val="auto"/>
        </w:rPr>
        <w:t>Internal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Control — Integrated Framework </w:t>
      </w:r>
      <w:r>
        <w:rPr>
          <w:rFonts w:ascii="Times New Roman" w:cs="Times New Roman" w:eastAsia="Times New Roman" w:hAnsi="Times New Roman"/>
          <w:sz w:val="18"/>
          <w:szCs w:val="18"/>
          <w:color w:val="auto"/>
        </w:rPr>
        <w:t>(2013).</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97" w:name="page98"/>
    <w:bookmarkEnd w:id="97"/>
    <w:p>
      <w:pPr>
        <w:ind w:right="380" w:firstLine="509"/>
        <w:spacing w:after="0" w:line="282" w:lineRule="auto"/>
        <w:rPr>
          <w:sz w:val="20"/>
          <w:szCs w:val="20"/>
          <w:color w:val="auto"/>
        </w:rPr>
      </w:pPr>
      <w:r>
        <w:rPr>
          <w:rFonts w:ascii="Times New Roman" w:cs="Times New Roman" w:eastAsia="Times New Roman" w:hAnsi="Times New Roman"/>
          <w:sz w:val="18"/>
          <w:szCs w:val="18"/>
          <w:color w:val="auto"/>
        </w:rPr>
        <w:t>Based on our assessment, management, with the participation of our Chief Executive Officer and Chief Financial Officer, concluded that, as of December 31, 2023, our internal control over financial reporting was effective based on those criteria.</w:t>
      </w:r>
    </w:p>
    <w:p>
      <w:pPr>
        <w:spacing w:after="0" w:line="189" w:lineRule="exact"/>
        <w:rPr>
          <w:sz w:val="20"/>
          <w:szCs w:val="20"/>
          <w:color w:val="auto"/>
        </w:rPr>
      </w:pPr>
    </w:p>
    <w:p>
      <w:pPr>
        <w:ind w:right="40" w:firstLine="509"/>
        <w:spacing w:after="0" w:line="312" w:lineRule="auto"/>
        <w:rPr>
          <w:sz w:val="20"/>
          <w:szCs w:val="20"/>
          <w:color w:val="auto"/>
        </w:rPr>
      </w:pPr>
      <w:r>
        <w:rPr>
          <w:rFonts w:ascii="Times New Roman" w:cs="Times New Roman" w:eastAsia="Times New Roman" w:hAnsi="Times New Roman"/>
          <w:sz w:val="17"/>
          <w:szCs w:val="17"/>
          <w:color w:val="auto"/>
        </w:rPr>
        <w:t>The effectiveness of the Company’s internal control over financial reporting as of December 31, 2023 has been audited by PricewaterhouseCoopers LLP, an independent registered public accounting firm, as stated in its report, which is included under Item 8 of this annual report on Form 10-K.</w:t>
      </w:r>
    </w:p>
    <w:p>
      <w:pPr>
        <w:spacing w:after="0" w:line="68" w:lineRule="exact"/>
        <w:rPr>
          <w:sz w:val="20"/>
          <w:szCs w:val="20"/>
          <w:color w:val="auto"/>
        </w:rPr>
      </w:pPr>
    </w:p>
    <w:p>
      <w:pPr>
        <w:ind w:left="540"/>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(c)</w:t>
      </w:r>
      <w:r>
        <w:rPr>
          <w:sz w:val="20"/>
          <w:szCs w:val="20"/>
          <w:color w:val="auto"/>
        </w:rPr>
        <w:tab/>
      </w:r>
      <w:r>
        <w:rPr>
          <w:rFonts w:ascii="Times New Roman" w:cs="Times New Roman" w:eastAsia="Times New Roman" w:hAnsi="Times New Roman"/>
          <w:sz w:val="17"/>
          <w:szCs w:val="17"/>
          <w:b w:val="1"/>
          <w:bCs w:val="1"/>
          <w:color w:val="auto"/>
        </w:rPr>
        <w:t>Inherent Limitations of Internal Controls</w:t>
      </w:r>
    </w:p>
    <w:p>
      <w:pPr>
        <w:spacing w:after="0" w:line="12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Our management, including our Chief Executive Officer and Chief Financial Officer, does not expect that our disclosure controls and procedures or our internal control over financial reporting will prevent all errors and all fraud. A control system, no matter how well conceived and operated, can provide only reasonable, not absolute, assurance that the objectives of the control system are met. Because of the inherent limitations in all control systems, no evaluation of controls can provide absolute assurance that all control issues and instances of fraud, if any, within the Company have been detected. These inherent limitations include the realities that judgments in decision-making can be faulty, and that breakdowns can occur because of a simple error or mistake. Additionally, controls can be circumvented by the individual acts of some persons, by collusion of two or more people, or by management override of the control.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the policies or procedures may deteriorate. Because of the inherent limitations, misstatements due to error or fraud may occur and not be detected.</w:t>
      </w:r>
    </w:p>
    <w:p>
      <w:pPr>
        <w:spacing w:after="0" w:line="10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(d)  Changes in Internal Control over Financial Reporting</w:t>
      </w:r>
    </w:p>
    <w:p>
      <w:pPr>
        <w:spacing w:after="0" w:line="121" w:lineRule="exact"/>
        <w:rPr>
          <w:sz w:val="20"/>
          <w:szCs w:val="20"/>
          <w:color w:val="auto"/>
        </w:rPr>
      </w:pPr>
    </w:p>
    <w:p>
      <w:pPr>
        <w:ind w:right="180" w:firstLine="509"/>
        <w:spacing w:after="0" w:line="282" w:lineRule="auto"/>
        <w:rPr>
          <w:sz w:val="20"/>
          <w:szCs w:val="20"/>
          <w:color w:val="auto"/>
        </w:rPr>
      </w:pPr>
      <w:r>
        <w:rPr>
          <w:rFonts w:ascii="Times New Roman" w:cs="Times New Roman" w:eastAsia="Times New Roman" w:hAnsi="Times New Roman"/>
          <w:sz w:val="18"/>
          <w:szCs w:val="18"/>
          <w:color w:val="auto"/>
        </w:rPr>
        <w:t>No change in our internal control over financial reporting occurred during the quarter ended December 31, 2023 that has materially affected, or is reasonably likely to materially affect, our internal control over financial reporting.</w:t>
      </w:r>
    </w:p>
    <w:p>
      <w:pPr>
        <w:spacing w:after="0" w:line="347"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9B.</w:t>
      </w:r>
      <w:r>
        <w:rPr>
          <w:sz w:val="20"/>
          <w:szCs w:val="20"/>
          <w:color w:val="auto"/>
        </w:rPr>
        <w:tab/>
      </w:r>
      <w:r>
        <w:rPr>
          <w:rFonts w:ascii="Times New Roman" w:cs="Times New Roman" w:eastAsia="Times New Roman" w:hAnsi="Times New Roman"/>
          <w:sz w:val="18"/>
          <w:szCs w:val="18"/>
          <w:b w:val="1"/>
          <w:bCs w:val="1"/>
          <w:color w:val="auto"/>
        </w:rPr>
        <w:t>Other Information</w:t>
      </w:r>
    </w:p>
    <w:p>
      <w:pPr>
        <w:spacing w:after="0" w:line="121"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The following table describes contracts, instructions or written plans for the sale or purchase of our securities adopted by our directors and certain officers during the fourth quarter of 2023, each of which is intended to satisfy the affirmative defense conditions of Exchange Act Rule 10b5-1(c), referred to as Rule 10b5-1 trading plans.</w:t>
      </w:r>
    </w:p>
    <w:p>
      <w:pPr>
        <w:spacing w:after="0" w:line="192" w:lineRule="exact"/>
        <w:rPr>
          <w:sz w:val="20"/>
          <w:szCs w:val="20"/>
          <w:color w:val="auto"/>
        </w:rPr>
      </w:pPr>
    </w:p>
    <w:tbl>
      <w:tblPr>
        <w:tblLayout w:type="fixed"/>
        <w:tblInd w:w="580" w:type="dxa"/>
        <w:tblCellMar>
          <w:top w:w="0" w:type="dxa"/>
          <w:left w:w="0" w:type="dxa"/>
          <w:bottom w:w="0" w:type="dxa"/>
          <w:right w:w="0" w:type="dxa"/>
        </w:tblCellMar>
      </w:tblPr>
      <w:tr>
        <w:trPr>
          <w:trHeight w:val="203"/>
        </w:trPr>
        <w:tc>
          <w:tcPr>
            <w:tcW w:w="1740" w:type="dxa"/>
            <w:vAlign w:val="bottom"/>
            <w:vMerge w:val="restart"/>
          </w:tcPr>
          <w:p>
            <w:pPr>
              <w:ind w:left="720"/>
              <w:spacing w:after="0"/>
              <w:rPr>
                <w:sz w:val="20"/>
                <w:szCs w:val="20"/>
                <w:color w:val="auto"/>
              </w:rPr>
            </w:pPr>
            <w:r>
              <w:rPr>
                <w:rFonts w:ascii="Times New Roman" w:cs="Times New Roman" w:eastAsia="Times New Roman" w:hAnsi="Times New Roman"/>
                <w:sz w:val="16"/>
                <w:szCs w:val="16"/>
                <w:b w:val="1"/>
                <w:bCs w:val="1"/>
                <w:color w:val="auto"/>
              </w:rPr>
              <w:t>Name</w:t>
            </w:r>
          </w:p>
        </w:tc>
        <w:tc>
          <w:tcPr>
            <w:tcW w:w="1660" w:type="dxa"/>
            <w:vAlign w:val="bottom"/>
            <w:vMerge w:val="restart"/>
          </w:tcPr>
          <w:p>
            <w:pPr>
              <w:ind w:left="520"/>
              <w:spacing w:after="0"/>
              <w:rPr>
                <w:sz w:val="20"/>
                <w:szCs w:val="20"/>
                <w:color w:val="auto"/>
              </w:rPr>
            </w:pPr>
            <w:r>
              <w:rPr>
                <w:rFonts w:ascii="Times New Roman" w:cs="Times New Roman" w:eastAsia="Times New Roman" w:hAnsi="Times New Roman"/>
                <w:sz w:val="16"/>
                <w:szCs w:val="16"/>
                <w:b w:val="1"/>
                <w:bCs w:val="1"/>
                <w:color w:val="auto"/>
              </w:rPr>
              <w:t>Action Taken</w:t>
            </w:r>
          </w:p>
        </w:tc>
        <w:tc>
          <w:tcPr>
            <w:tcW w:w="2920" w:type="dxa"/>
            <w:vAlign w:val="bottom"/>
            <w:vMerge w:val="restart"/>
          </w:tcPr>
          <w:p>
            <w:pPr>
              <w:ind w:left="460"/>
              <w:spacing w:after="0"/>
              <w:rPr>
                <w:sz w:val="20"/>
                <w:szCs w:val="20"/>
                <w:color w:val="auto"/>
              </w:rPr>
            </w:pPr>
            <w:r>
              <w:rPr>
                <w:rFonts w:ascii="Times New Roman" w:cs="Times New Roman" w:eastAsia="Times New Roman" w:hAnsi="Times New Roman"/>
                <w:sz w:val="16"/>
                <w:szCs w:val="16"/>
                <w:b w:val="1"/>
                <w:bCs w:val="1"/>
                <w:color w:val="auto"/>
              </w:rPr>
              <w:t>Nature of Trading Arrangement</w:t>
            </w:r>
          </w:p>
        </w:tc>
        <w:tc>
          <w:tcPr>
            <w:tcW w:w="1760" w:type="dxa"/>
            <w:vAlign w:val="bottom"/>
          </w:tcPr>
          <w:p>
            <w:pPr>
              <w:jc w:val="center"/>
              <w:ind w:left="39"/>
              <w:spacing w:after="0"/>
              <w:rPr>
                <w:sz w:val="20"/>
                <w:szCs w:val="20"/>
                <w:color w:val="auto"/>
              </w:rPr>
            </w:pPr>
            <w:r>
              <w:rPr>
                <w:rFonts w:ascii="Times New Roman" w:cs="Times New Roman" w:eastAsia="Times New Roman" w:hAnsi="Times New Roman"/>
                <w:sz w:val="16"/>
                <w:szCs w:val="16"/>
                <w:b w:val="1"/>
                <w:bCs w:val="1"/>
                <w:color w:val="auto"/>
              </w:rPr>
              <w:t>Duration of Trading</w:t>
            </w:r>
          </w:p>
        </w:tc>
        <w:tc>
          <w:tcPr>
            <w:tcW w:w="20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Aggregate Number of</w:t>
            </w:r>
          </w:p>
        </w:tc>
        <w:tc>
          <w:tcPr>
            <w:tcW w:w="0" w:type="dxa"/>
            <w:vAlign w:val="bottom"/>
          </w:tcPr>
          <w:p>
            <w:pPr>
              <w:spacing w:after="0"/>
              <w:rPr>
                <w:sz w:val="1"/>
                <w:szCs w:val="1"/>
                <w:color w:val="auto"/>
              </w:rPr>
            </w:pPr>
          </w:p>
        </w:tc>
      </w:tr>
      <w:tr>
        <w:trPr>
          <w:trHeight w:val="104"/>
        </w:trPr>
        <w:tc>
          <w:tcPr>
            <w:tcW w:w="1740" w:type="dxa"/>
            <w:vAlign w:val="bottom"/>
            <w:vMerge w:val="continue"/>
          </w:tcPr>
          <w:p>
            <w:pPr>
              <w:spacing w:after="0"/>
              <w:rPr>
                <w:sz w:val="9"/>
                <w:szCs w:val="9"/>
                <w:color w:val="auto"/>
              </w:rPr>
            </w:pPr>
          </w:p>
        </w:tc>
        <w:tc>
          <w:tcPr>
            <w:tcW w:w="1660" w:type="dxa"/>
            <w:vAlign w:val="bottom"/>
            <w:vMerge w:val="continue"/>
          </w:tcPr>
          <w:p>
            <w:pPr>
              <w:spacing w:after="0"/>
              <w:rPr>
                <w:sz w:val="9"/>
                <w:szCs w:val="9"/>
                <w:color w:val="auto"/>
              </w:rPr>
            </w:pPr>
          </w:p>
        </w:tc>
        <w:tc>
          <w:tcPr>
            <w:tcW w:w="2920" w:type="dxa"/>
            <w:vAlign w:val="bottom"/>
            <w:vMerge w:val="continue"/>
          </w:tcPr>
          <w:p>
            <w:pPr>
              <w:spacing w:after="0"/>
              <w:rPr>
                <w:sz w:val="9"/>
                <w:szCs w:val="9"/>
                <w:color w:val="auto"/>
              </w:rPr>
            </w:pPr>
          </w:p>
        </w:tc>
        <w:tc>
          <w:tcPr>
            <w:tcW w:w="1760" w:type="dxa"/>
            <w:vAlign w:val="bottom"/>
            <w:vMerge w:val="restart"/>
          </w:tcPr>
          <w:p>
            <w:pPr>
              <w:jc w:val="center"/>
              <w:ind w:left="79"/>
              <w:spacing w:after="0"/>
              <w:rPr>
                <w:sz w:val="20"/>
                <w:szCs w:val="20"/>
                <w:color w:val="auto"/>
              </w:rPr>
            </w:pPr>
            <w:r>
              <w:rPr>
                <w:rFonts w:ascii="Times New Roman" w:cs="Times New Roman" w:eastAsia="Times New Roman" w:hAnsi="Times New Roman"/>
                <w:sz w:val="16"/>
                <w:szCs w:val="16"/>
                <w:b w:val="1"/>
                <w:bCs w:val="1"/>
                <w:color w:val="auto"/>
                <w:w w:val="99"/>
              </w:rPr>
              <w:t>Arrangement</w:t>
            </w:r>
          </w:p>
        </w:tc>
        <w:tc>
          <w:tcPr>
            <w:tcW w:w="2020" w:type="dxa"/>
            <w:vAlign w:val="bottom"/>
            <w:vMerge w:val="restart"/>
          </w:tcPr>
          <w:p>
            <w:pPr>
              <w:jc w:val="center"/>
              <w:ind w:left="36"/>
              <w:spacing w:after="0"/>
              <w:rPr>
                <w:sz w:val="20"/>
                <w:szCs w:val="20"/>
                <w:color w:val="auto"/>
              </w:rPr>
            </w:pPr>
            <w:r>
              <w:rPr>
                <w:rFonts w:ascii="Times New Roman" w:cs="Times New Roman" w:eastAsia="Times New Roman" w:hAnsi="Times New Roman"/>
                <w:sz w:val="16"/>
                <w:szCs w:val="16"/>
                <w:b w:val="1"/>
                <w:bCs w:val="1"/>
                <w:color w:val="auto"/>
                <w:w w:val="98"/>
              </w:rPr>
              <w:t>Securities</w:t>
            </w:r>
          </w:p>
        </w:tc>
        <w:tc>
          <w:tcPr>
            <w:tcW w:w="0" w:type="dxa"/>
            <w:vAlign w:val="bottom"/>
          </w:tcPr>
          <w:p>
            <w:pPr>
              <w:spacing w:after="0"/>
              <w:rPr>
                <w:sz w:val="1"/>
                <w:szCs w:val="1"/>
                <w:color w:val="auto"/>
              </w:rPr>
            </w:pPr>
          </w:p>
        </w:tc>
      </w:tr>
      <w:tr>
        <w:trPr>
          <w:trHeight w:val="121"/>
        </w:trPr>
        <w:tc>
          <w:tcPr>
            <w:tcW w:w="1740" w:type="dxa"/>
            <w:vAlign w:val="bottom"/>
            <w:tcBorders>
              <w:bottom w:val="single" w:sz="8" w:color="auto"/>
            </w:tcBorders>
          </w:tcPr>
          <w:p>
            <w:pPr>
              <w:spacing w:after="0"/>
              <w:rPr>
                <w:sz w:val="10"/>
                <w:szCs w:val="10"/>
                <w:color w:val="auto"/>
              </w:rPr>
            </w:pPr>
          </w:p>
        </w:tc>
        <w:tc>
          <w:tcPr>
            <w:tcW w:w="1660" w:type="dxa"/>
            <w:vAlign w:val="bottom"/>
            <w:tcBorders>
              <w:bottom w:val="single" w:sz="8" w:color="auto"/>
            </w:tcBorders>
          </w:tcPr>
          <w:p>
            <w:pPr>
              <w:spacing w:after="0"/>
              <w:rPr>
                <w:sz w:val="10"/>
                <w:szCs w:val="10"/>
                <w:color w:val="auto"/>
              </w:rPr>
            </w:pPr>
          </w:p>
        </w:tc>
        <w:tc>
          <w:tcPr>
            <w:tcW w:w="2920" w:type="dxa"/>
            <w:vAlign w:val="bottom"/>
            <w:tcBorders>
              <w:bottom w:val="single" w:sz="8" w:color="auto"/>
            </w:tcBorders>
          </w:tcPr>
          <w:p>
            <w:pPr>
              <w:spacing w:after="0"/>
              <w:rPr>
                <w:sz w:val="10"/>
                <w:szCs w:val="10"/>
                <w:color w:val="auto"/>
              </w:rPr>
            </w:pPr>
          </w:p>
        </w:tc>
        <w:tc>
          <w:tcPr>
            <w:tcW w:w="1760" w:type="dxa"/>
            <w:vAlign w:val="bottom"/>
            <w:tcBorders>
              <w:bottom w:val="single" w:sz="8" w:color="auto"/>
            </w:tcBorders>
            <w:vMerge w:val="continue"/>
          </w:tcPr>
          <w:p>
            <w:pPr>
              <w:spacing w:after="0"/>
              <w:rPr>
                <w:sz w:val="10"/>
                <w:szCs w:val="10"/>
                <w:color w:val="auto"/>
              </w:rPr>
            </w:pPr>
          </w:p>
        </w:tc>
        <w:tc>
          <w:tcPr>
            <w:tcW w:w="202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1"/>
        </w:trPr>
        <w:tc>
          <w:tcPr>
            <w:tcW w:w="1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Yamini Rangan (Chief</w:t>
            </w:r>
          </w:p>
        </w:tc>
        <w:tc>
          <w:tcPr>
            <w:tcW w:w="6340" w:type="dxa"/>
            <w:vAlign w:val="bottom"/>
            <w:gridSpan w:val="3"/>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Adoption (December 1, Trading plan intended to satisfy the  455 days</w:t>
            </w:r>
          </w:p>
        </w:tc>
        <w:tc>
          <w:tcPr>
            <w:tcW w:w="20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42,079 shares</w:t>
            </w:r>
          </w:p>
        </w:tc>
        <w:tc>
          <w:tcPr>
            <w:tcW w:w="0" w:type="dxa"/>
            <w:vAlign w:val="bottom"/>
          </w:tcPr>
          <w:p>
            <w:pPr>
              <w:spacing w:after="0"/>
              <w:rPr>
                <w:sz w:val="1"/>
                <w:szCs w:val="1"/>
                <w:color w:val="auto"/>
              </w:rPr>
            </w:pPr>
          </w:p>
        </w:tc>
      </w:tr>
      <w:tr>
        <w:trPr>
          <w:trHeight w:val="216"/>
        </w:trPr>
        <w:tc>
          <w:tcPr>
            <w:tcW w:w="1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Executive Officer)</w:t>
            </w:r>
          </w:p>
        </w:tc>
        <w:tc>
          <w:tcPr>
            <w:tcW w:w="16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2023)</w:t>
            </w:r>
          </w:p>
        </w:tc>
        <w:tc>
          <w:tcPr>
            <w:tcW w:w="292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affirmative defense conditions of</w:t>
            </w:r>
          </w:p>
        </w:tc>
        <w:tc>
          <w:tcPr>
            <w:tcW w:w="1760" w:type="dxa"/>
            <w:vAlign w:val="bottom"/>
            <w:shd w:val="clear" w:color="auto" w:fill="CFF0FC"/>
          </w:tcPr>
          <w:p>
            <w:pPr>
              <w:spacing w:after="0"/>
              <w:rPr>
                <w:sz w:val="18"/>
                <w:szCs w:val="18"/>
                <w:color w:val="auto"/>
              </w:rPr>
            </w:pPr>
          </w:p>
        </w:tc>
        <w:tc>
          <w:tcPr>
            <w:tcW w:w="20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1740" w:type="dxa"/>
            <w:vAlign w:val="bottom"/>
            <w:shd w:val="clear" w:color="auto" w:fill="CFF0FC"/>
          </w:tcPr>
          <w:p>
            <w:pPr>
              <w:spacing w:after="0"/>
              <w:rPr>
                <w:sz w:val="21"/>
                <w:szCs w:val="21"/>
                <w:color w:val="auto"/>
              </w:rPr>
            </w:pPr>
          </w:p>
        </w:tc>
        <w:tc>
          <w:tcPr>
            <w:tcW w:w="1660" w:type="dxa"/>
            <w:vAlign w:val="bottom"/>
            <w:shd w:val="clear" w:color="auto" w:fill="CFF0FC"/>
          </w:tcPr>
          <w:p>
            <w:pPr>
              <w:spacing w:after="0"/>
              <w:rPr>
                <w:sz w:val="21"/>
                <w:szCs w:val="21"/>
                <w:color w:val="auto"/>
              </w:rPr>
            </w:pPr>
          </w:p>
        </w:tc>
        <w:tc>
          <w:tcPr>
            <w:tcW w:w="292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Exchange Act Rule 10b5-1(c)</w:t>
            </w:r>
          </w:p>
        </w:tc>
        <w:tc>
          <w:tcPr>
            <w:tcW w:w="1760" w:type="dxa"/>
            <w:vAlign w:val="bottom"/>
            <w:shd w:val="clear" w:color="auto" w:fill="CFF0FC"/>
          </w:tcPr>
          <w:p>
            <w:pPr>
              <w:spacing w:after="0"/>
              <w:rPr>
                <w:sz w:val="21"/>
                <w:szCs w:val="21"/>
                <w:color w:val="auto"/>
              </w:rPr>
            </w:pPr>
          </w:p>
        </w:tc>
        <w:tc>
          <w:tcPr>
            <w:tcW w:w="20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04"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9C.</w:t>
        <w:tab/>
        <w:t>Disclosure Regarding Foreign Jurisdictions that Prevent Inspections.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985" w:right="399" w:bottom="1440" w:gutter="0" w:footer="0" w:header="0"/>
        </w:sectPr>
      </w:pPr>
    </w:p>
    <w:bookmarkStart w:id="98" w:name="page99"/>
    <w:bookmarkEnd w:id="98"/>
    <w:p>
      <w:pPr>
        <w:ind w:left="5260"/>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52"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8"/>
          <w:szCs w:val="18"/>
          <w:b w:val="1"/>
          <w:bCs w:val="1"/>
          <w:color w:val="auto"/>
        </w:rPr>
        <w:t>Directors, Executive Officers and Corporate Governance</w:t>
      </w:r>
    </w:p>
    <w:p>
      <w:pPr>
        <w:spacing w:after="0" w:line="121"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The complete response to this Item regarding the backgrounds of our executive officers and directors and other information required by Items 401, 405 and 407 of Regulation S-K will be contained in our definitive proxy statement for our 2024 Annual Meeting of Stockholders.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Code of Business Conduct and Ethics</w:t>
      </w:r>
    </w:p>
    <w:p>
      <w:pPr>
        <w:spacing w:after="0" w:line="121"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We have adopted a code of business conduct and ethics that is applicable to all of our employees, officers and directors including our chief executive officer and senior financial officers, which is available on our website under “Investor Relations—Leadership &amp; Governance.”</w:t>
      </w:r>
    </w:p>
    <w:p>
      <w:pPr>
        <w:spacing w:after="0" w:line="347"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11.</w:t>
      </w:r>
      <w:r>
        <w:rPr>
          <w:sz w:val="20"/>
          <w:szCs w:val="20"/>
          <w:color w:val="auto"/>
        </w:rPr>
        <w:tab/>
      </w:r>
      <w:r>
        <w:rPr>
          <w:rFonts w:ascii="Times New Roman" w:cs="Times New Roman" w:eastAsia="Times New Roman" w:hAnsi="Times New Roman"/>
          <w:sz w:val="18"/>
          <w:szCs w:val="18"/>
          <w:b w:val="1"/>
          <w:bCs w:val="1"/>
          <w:color w:val="auto"/>
        </w:rPr>
        <w:t>Executive Compensation</w:t>
      </w:r>
    </w:p>
    <w:p>
      <w:pPr>
        <w:spacing w:after="0" w:line="121" w:lineRule="exact"/>
        <w:rPr>
          <w:sz w:val="20"/>
          <w:szCs w:val="20"/>
          <w:color w:val="auto"/>
        </w:rPr>
      </w:pPr>
    </w:p>
    <w:p>
      <w:pPr>
        <w:ind w:right="660" w:firstLine="509"/>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herein to our definitive proxy statement for our 2024 Annual Meeting of Stockholders.</w:t>
      </w:r>
    </w:p>
    <w:p>
      <w:pPr>
        <w:spacing w:after="0" w:line="347"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12.</w:t>
      </w:r>
      <w:r>
        <w:rPr>
          <w:sz w:val="20"/>
          <w:szCs w:val="20"/>
          <w:color w:val="auto"/>
        </w:rPr>
        <w:tab/>
      </w:r>
      <w:r>
        <w:rPr>
          <w:rFonts w:ascii="Times New Roman" w:cs="Times New Roman" w:eastAsia="Times New Roman" w:hAnsi="Times New Roman"/>
          <w:sz w:val="17"/>
          <w:szCs w:val="17"/>
          <w:b w:val="1"/>
          <w:bCs w:val="1"/>
          <w:color w:val="auto"/>
        </w:rPr>
        <w:t>Security Ownership of Certain Beneficial Owners and Management and Related Stockholder Matters</w:t>
      </w:r>
    </w:p>
    <w:p>
      <w:pPr>
        <w:spacing w:after="0" w:line="121" w:lineRule="exact"/>
        <w:rPr>
          <w:sz w:val="20"/>
          <w:szCs w:val="20"/>
          <w:color w:val="auto"/>
        </w:rPr>
      </w:pPr>
    </w:p>
    <w:p>
      <w:pPr>
        <w:ind w:right="660" w:firstLine="509"/>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herein to our definitive proxy statement for our 2024 Annual Meeting of Stockholders.</w:t>
      </w:r>
    </w:p>
    <w:p>
      <w:pPr>
        <w:spacing w:after="0" w:line="347"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13.</w:t>
      </w:r>
      <w:r>
        <w:rPr>
          <w:sz w:val="20"/>
          <w:szCs w:val="20"/>
          <w:color w:val="auto"/>
        </w:rPr>
        <w:tab/>
      </w:r>
      <w:r>
        <w:rPr>
          <w:rFonts w:ascii="Times New Roman" w:cs="Times New Roman" w:eastAsia="Times New Roman" w:hAnsi="Times New Roman"/>
          <w:sz w:val="17"/>
          <w:szCs w:val="17"/>
          <w:b w:val="1"/>
          <w:bCs w:val="1"/>
          <w:color w:val="auto"/>
        </w:rPr>
        <w:t>Certain Relationships and Related Transactions, and Director Independence</w:t>
      </w:r>
    </w:p>
    <w:p>
      <w:pPr>
        <w:spacing w:after="0" w:line="121" w:lineRule="exact"/>
        <w:rPr>
          <w:sz w:val="20"/>
          <w:szCs w:val="20"/>
          <w:color w:val="auto"/>
        </w:rPr>
      </w:pPr>
    </w:p>
    <w:p>
      <w:pPr>
        <w:ind w:right="660" w:firstLine="509"/>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herein to our definitive proxy statement for our 2024 Annual Meeting of Stockholders.</w:t>
      </w:r>
    </w:p>
    <w:p>
      <w:pPr>
        <w:spacing w:after="0" w:line="347"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14.</w:t>
      </w:r>
      <w:r>
        <w:rPr>
          <w:sz w:val="20"/>
          <w:szCs w:val="20"/>
          <w:color w:val="auto"/>
        </w:rPr>
        <w:tab/>
      </w:r>
      <w:r>
        <w:rPr>
          <w:rFonts w:ascii="Times New Roman" w:cs="Times New Roman" w:eastAsia="Times New Roman" w:hAnsi="Times New Roman"/>
          <w:sz w:val="17"/>
          <w:szCs w:val="17"/>
          <w:b w:val="1"/>
          <w:bCs w:val="1"/>
          <w:color w:val="auto"/>
        </w:rPr>
        <w:t>Principal Accountant Fees and Services</w:t>
      </w:r>
    </w:p>
    <w:p>
      <w:pPr>
        <w:spacing w:after="0" w:line="121" w:lineRule="exact"/>
        <w:rPr>
          <w:sz w:val="20"/>
          <w:szCs w:val="20"/>
          <w:color w:val="auto"/>
        </w:rPr>
      </w:pPr>
    </w:p>
    <w:p>
      <w:pPr>
        <w:ind w:right="660" w:firstLine="509"/>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herein to our definitive proxy statement for our 2024 Annual Meeting of Stockholders.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99" w:name="page100"/>
    <w:bookmarkEnd w:id="99"/>
    <w:p>
      <w:pPr>
        <w:jc w:val="center"/>
        <w:ind w:right="-459"/>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52"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15.</w:t>
      </w:r>
      <w:r>
        <w:rPr>
          <w:sz w:val="20"/>
          <w:szCs w:val="20"/>
          <w:color w:val="auto"/>
        </w:rPr>
        <w:tab/>
      </w:r>
      <w:r>
        <w:rPr>
          <w:rFonts w:ascii="Times New Roman" w:cs="Times New Roman" w:eastAsia="Times New Roman" w:hAnsi="Times New Roman"/>
          <w:sz w:val="17"/>
          <w:szCs w:val="17"/>
          <w:b w:val="1"/>
          <w:bCs w:val="1"/>
          <w:color w:val="auto"/>
        </w:rPr>
        <w:t>Exhibits, Financial Statement Schedules</w:t>
      </w:r>
    </w:p>
    <w:p>
      <w:pPr>
        <w:spacing w:after="0" w:line="121"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color w:val="auto"/>
        </w:rPr>
        <w:t>(a)</w:t>
        <w:tab/>
        <w:t>Documents Filed as Part of this Annual Report on Form 10-K</w:t>
      </w:r>
    </w:p>
    <w:p>
      <w:pPr>
        <w:spacing w:after="0" w:line="117" w:lineRule="exact"/>
        <w:rPr>
          <w:sz w:val="20"/>
          <w:szCs w:val="20"/>
          <w:color w:val="auto"/>
        </w:rPr>
      </w:pPr>
    </w:p>
    <w:p>
      <w:pPr>
        <w:ind w:left="360" w:hanging="352"/>
        <w:spacing w:after="0"/>
        <w:tabs>
          <w:tab w:leader="none" w:pos="3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Statements (included in Item 8 of this Annual Report on Form 10-K):</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 of Independent Registered Public Accounting Firm</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Balance Sheets as of December 31, 2023 and 2022</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Statements of Operations for the years ended December 31, 2023, 2022 and 2021</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Statements of Comprehensive Loss for the years ended December 31, 2023, 2022 and 2021</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Statements of Cash Flows for the years ended December 31, 2023, 2022 and 2021</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Statements of Stockholders’ Equity for the years ended December 31, 2023, 2022 and 2021</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Notes to Consolidated Financial Statements</w:t>
      </w:r>
    </w:p>
    <w:p>
      <w:pPr>
        <w:spacing w:after="0" w:line="117" w:lineRule="exact"/>
        <w:rPr>
          <w:rFonts w:ascii="Times New Roman" w:cs="Times New Roman" w:eastAsia="Times New Roman" w:hAnsi="Times New Roman"/>
          <w:sz w:val="18"/>
          <w:szCs w:val="18"/>
          <w:color w:val="auto"/>
        </w:rPr>
      </w:pPr>
    </w:p>
    <w:p>
      <w:pPr>
        <w:ind w:left="360" w:hanging="352"/>
        <w:spacing w:after="0"/>
        <w:tabs>
          <w:tab w:leader="none" w:pos="3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 Schedules</w:t>
      </w:r>
    </w:p>
    <w:p>
      <w:pPr>
        <w:spacing w:after="0" w:line="225"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Financial statements schedules are omitted as they are either not required or the information is otherwise included in the consolidated financial statements.</w:t>
      </w:r>
    </w:p>
    <w:p>
      <w:pPr>
        <w:spacing w:after="0" w:line="54" w:lineRule="exact"/>
        <w:rPr>
          <w:sz w:val="20"/>
          <w:szCs w:val="20"/>
          <w:color w:val="auto"/>
        </w:rPr>
      </w:pPr>
    </w:p>
    <w:p>
      <w:pPr>
        <w:ind w:left="360" w:hanging="352"/>
        <w:spacing w:after="0"/>
        <w:tabs>
          <w:tab w:leader="none" w:pos="3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exhibits required by Item 601 of Regulation S-K are listed in the Exhibit List on the following page and are incorporated herein.</w:t>
      </w:r>
    </w:p>
    <w:p>
      <w:pPr>
        <w:spacing w:after="0" w:line="370"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16.</w:t>
      </w:r>
      <w:r>
        <w:rPr>
          <w:sz w:val="20"/>
          <w:szCs w:val="20"/>
          <w:color w:val="auto"/>
        </w:rPr>
        <w:tab/>
      </w:r>
      <w:r>
        <w:rPr>
          <w:rFonts w:ascii="Times New Roman" w:cs="Times New Roman" w:eastAsia="Times New Roman" w:hAnsi="Times New Roman"/>
          <w:sz w:val="18"/>
          <w:szCs w:val="18"/>
          <w:b w:val="1"/>
          <w:bCs w:val="1"/>
          <w:color w:val="auto"/>
        </w:rPr>
        <w:t>10-K Summary</w:t>
      </w:r>
    </w:p>
    <w:p>
      <w:pPr>
        <w:spacing w:after="0" w:line="13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80"/>
          </w:cols>
          <w:pgMar w:left="320" w:top="981" w:right="799" w:bottom="1440" w:gutter="0" w:footer="0" w:header="0"/>
        </w:sectPr>
      </w:pPr>
    </w:p>
    <w:bookmarkStart w:id="100" w:name="page101"/>
    <w:bookmarkEnd w:id="100"/>
    <w:tbl>
      <w:tblPr>
        <w:tblLayout w:type="fixed"/>
        <w:tblInd w:w="0" w:type="dxa"/>
        <w:tblCellMar>
          <w:top w:w="0" w:type="dxa"/>
          <w:left w:w="0" w:type="dxa"/>
          <w:bottom w:w="0" w:type="dxa"/>
          <w:right w:w="0" w:type="dxa"/>
        </w:tblCellMar>
      </w:tblPr>
      <w:tr>
        <w:trPr>
          <w:trHeight w:val="238"/>
        </w:trPr>
        <w:tc>
          <w:tcPr>
            <w:tcW w:w="1140" w:type="dxa"/>
            <w:vAlign w:val="bottom"/>
            <w:vMerge w:val="restart"/>
          </w:tcPr>
          <w:p>
            <w:pPr>
              <w:jc w:val="right"/>
              <w:ind w:right="251"/>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320" w:type="dxa"/>
            <w:vAlign w:val="bottom"/>
            <w:gridSpan w:val="19"/>
          </w:tcPr>
          <w:p>
            <w:pPr>
              <w:jc w:val="center"/>
              <w:ind w:right="4900"/>
              <w:spacing w:after="0"/>
              <w:rPr>
                <w:sz w:val="20"/>
                <w:szCs w:val="20"/>
                <w:color w:val="auto"/>
              </w:rPr>
            </w:pPr>
            <w:r>
              <w:rPr>
                <w:rFonts w:ascii="Times New Roman" w:cs="Times New Roman" w:eastAsia="Times New Roman" w:hAnsi="Times New Roman"/>
                <w:sz w:val="18"/>
                <w:szCs w:val="18"/>
                <w:b w:val="1"/>
                <w:bCs w:val="1"/>
                <w:color w:val="auto"/>
                <w:w w:val="99"/>
              </w:rPr>
              <w:t>EXHIBIT LIST</w:t>
            </w:r>
          </w:p>
        </w:tc>
        <w:tc>
          <w:tcPr>
            <w:tcW w:w="0" w:type="dxa"/>
            <w:vAlign w:val="bottom"/>
          </w:tcPr>
          <w:p>
            <w:pPr>
              <w:spacing w:after="0"/>
              <w:rPr>
                <w:sz w:val="1"/>
                <w:szCs w:val="1"/>
                <w:color w:val="auto"/>
              </w:rPr>
            </w:pPr>
          </w:p>
        </w:tc>
      </w:tr>
      <w:tr>
        <w:trPr>
          <w:trHeight w:val="137"/>
        </w:trPr>
        <w:tc>
          <w:tcPr>
            <w:tcW w:w="114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7"/>
        </w:trPr>
        <w:tc>
          <w:tcPr>
            <w:tcW w:w="114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20" w:type="dxa"/>
            <w:vAlign w:val="bottom"/>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320" w:type="dxa"/>
            <w:vAlign w:val="bottom"/>
            <w:tcBorders>
              <w:bottom w:val="single" w:sz="8" w:color="auto"/>
            </w:tcBorders>
            <w:gridSpan w:val="19"/>
          </w:tcPr>
          <w:p>
            <w:pPr>
              <w:ind w:left="660"/>
              <w:spacing w:after="0"/>
              <w:rPr>
                <w:sz w:val="20"/>
                <w:szCs w:val="20"/>
                <w:color w:val="auto"/>
              </w:rPr>
            </w:pPr>
            <w:r>
              <w:rPr>
                <w:rFonts w:ascii="Times New Roman" w:cs="Times New Roman" w:eastAsia="Times New Roman" w:hAnsi="Times New Roman"/>
                <w:sz w:val="14"/>
                <w:szCs w:val="14"/>
                <w:b w:val="1"/>
                <w:bCs w:val="1"/>
                <w:color w:val="auto"/>
              </w:rPr>
              <w:t>Description of exhibit</w:t>
            </w:r>
          </w:p>
        </w:tc>
        <w:tc>
          <w:tcPr>
            <w:tcW w:w="0" w:type="dxa"/>
            <w:vAlign w:val="bottom"/>
          </w:tcPr>
          <w:p>
            <w:pPr>
              <w:spacing w:after="0"/>
              <w:rPr>
                <w:sz w:val="1"/>
                <w:szCs w:val="1"/>
                <w:color w:val="auto"/>
              </w:rPr>
            </w:pPr>
          </w:p>
        </w:tc>
      </w:tr>
      <w:tr>
        <w:trPr>
          <w:trHeight w:val="169"/>
        </w:trPr>
        <w:tc>
          <w:tcPr>
            <w:tcW w:w="1140" w:type="dxa"/>
            <w:vAlign w:val="bottom"/>
          </w:tcPr>
          <w:p>
            <w:pPr>
              <w:jc w:val="right"/>
              <w:ind w:right="411"/>
              <w:spacing w:after="0" w:line="169" w:lineRule="exact"/>
              <w:rPr>
                <w:sz w:val="20"/>
                <w:szCs w:val="20"/>
                <w:color w:val="auto"/>
              </w:rPr>
            </w:pPr>
            <w:r>
              <w:rPr>
                <w:rFonts w:ascii="Times New Roman" w:cs="Times New Roman" w:eastAsia="Times New Roman" w:hAnsi="Times New Roman"/>
                <w:sz w:val="18"/>
                <w:szCs w:val="18"/>
                <w:color w:val="auto"/>
              </w:rPr>
              <w:t>3.1(1)</w:t>
            </w:r>
          </w:p>
        </w:tc>
        <w:tc>
          <w:tcPr>
            <w:tcW w:w="120" w:type="dxa"/>
            <w:vAlign w:val="bottom"/>
          </w:tcPr>
          <w:p>
            <w:pPr>
              <w:spacing w:after="0"/>
              <w:rPr>
                <w:sz w:val="14"/>
                <w:szCs w:val="14"/>
                <w:color w:val="auto"/>
              </w:rPr>
            </w:pPr>
          </w:p>
        </w:tc>
        <w:tc>
          <w:tcPr>
            <w:tcW w:w="9980" w:type="dxa"/>
            <w:vAlign w:val="bottom"/>
            <w:gridSpan w:val="30"/>
          </w:tcPr>
          <w:p>
            <w:pPr>
              <w:spacing w:after="0" w:line="169" w:lineRule="exact"/>
              <w:rPr>
                <w:rFonts w:ascii="Times New Roman" w:cs="Times New Roman" w:eastAsia="Times New Roman" w:hAnsi="Times New Roman"/>
                <w:sz w:val="18"/>
                <w:szCs w:val="18"/>
                <w:color w:val="0000FF"/>
              </w:rPr>
            </w:pPr>
            <w:hyperlink r:id="rId463">
              <w:r>
                <w:rPr>
                  <w:rFonts w:ascii="Times New Roman" w:cs="Times New Roman" w:eastAsia="Times New Roman" w:hAnsi="Times New Roman"/>
                  <w:sz w:val="18"/>
                  <w:szCs w:val="18"/>
                  <w:color w:val="0000FF"/>
                </w:rPr>
                <w:t>Seventh Amended and Restated Certificate of Incorporation (as amended and currently in effect)</w:t>
              </w:r>
            </w:hyperlink>
          </w:p>
        </w:tc>
        <w:tc>
          <w:tcPr>
            <w:tcW w:w="0" w:type="dxa"/>
            <w:vAlign w:val="bottom"/>
          </w:tcPr>
          <w:p>
            <w:pPr>
              <w:spacing w:after="0"/>
              <w:rPr>
                <w:sz w:val="1"/>
                <w:szCs w:val="1"/>
                <w:color w:val="auto"/>
              </w:rPr>
            </w:pPr>
          </w:p>
        </w:tc>
      </w:tr>
      <w:tr>
        <w:trPr>
          <w:trHeight w:val="344"/>
        </w:trPr>
        <w:tc>
          <w:tcPr>
            <w:tcW w:w="1140" w:type="dxa"/>
            <w:vAlign w:val="bottom"/>
          </w:tcPr>
          <w:p>
            <w:pPr>
              <w:jc w:val="right"/>
              <w:ind w:right="411"/>
              <w:spacing w:after="0"/>
              <w:rPr>
                <w:sz w:val="20"/>
                <w:szCs w:val="20"/>
                <w:color w:val="auto"/>
              </w:rPr>
            </w:pPr>
            <w:r>
              <w:rPr>
                <w:rFonts w:ascii="Times New Roman" w:cs="Times New Roman" w:eastAsia="Times New Roman" w:hAnsi="Times New Roman"/>
                <w:sz w:val="18"/>
                <w:szCs w:val="18"/>
                <w:color w:val="auto"/>
              </w:rPr>
              <w:t>3.2(2)</w:t>
            </w:r>
          </w:p>
        </w:tc>
        <w:tc>
          <w:tcPr>
            <w:tcW w:w="120" w:type="dxa"/>
            <w:vAlign w:val="bottom"/>
          </w:tcPr>
          <w:p>
            <w:pPr>
              <w:spacing w:after="0"/>
              <w:rPr>
                <w:sz w:val="24"/>
                <w:szCs w:val="24"/>
                <w:color w:val="auto"/>
              </w:rPr>
            </w:pPr>
          </w:p>
        </w:tc>
        <w:tc>
          <w:tcPr>
            <w:tcW w:w="6960" w:type="dxa"/>
            <w:vAlign w:val="bottom"/>
            <w:tcBorders>
              <w:top w:val="single" w:sz="8" w:color="0000FF"/>
            </w:tcBorders>
            <w:gridSpan w:val="16"/>
          </w:tcPr>
          <w:p>
            <w:pPr>
              <w:spacing w:after="0"/>
              <w:rPr>
                <w:rFonts w:ascii="Times New Roman" w:cs="Times New Roman" w:eastAsia="Times New Roman" w:hAnsi="Times New Roman"/>
                <w:sz w:val="18"/>
                <w:szCs w:val="18"/>
                <w:color w:val="0000FF"/>
              </w:rPr>
            </w:pPr>
            <w:hyperlink r:id="rId464">
              <w:r>
                <w:rPr>
                  <w:rFonts w:ascii="Times New Roman" w:cs="Times New Roman" w:eastAsia="Times New Roman" w:hAnsi="Times New Roman"/>
                  <w:sz w:val="18"/>
                  <w:szCs w:val="18"/>
                  <w:color w:val="0000FF"/>
                </w:rPr>
                <w:t>Fourth Amended and Restated Bylaws</w:t>
              </w:r>
            </w:hyperlink>
          </w:p>
        </w:tc>
        <w:tc>
          <w:tcPr>
            <w:tcW w:w="3020" w:type="dxa"/>
            <w:vAlign w:val="bottom"/>
            <w:gridSpan w:val="14"/>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1140" w:type="dxa"/>
            <w:vAlign w:val="bottom"/>
          </w:tcPr>
          <w:p>
            <w:pPr>
              <w:jc w:val="right"/>
              <w:ind w:right="411"/>
              <w:spacing w:after="0"/>
              <w:rPr>
                <w:sz w:val="20"/>
                <w:szCs w:val="20"/>
                <w:color w:val="auto"/>
              </w:rPr>
            </w:pPr>
            <w:r>
              <w:rPr>
                <w:rFonts w:ascii="Times New Roman" w:cs="Times New Roman" w:eastAsia="Times New Roman" w:hAnsi="Times New Roman"/>
                <w:sz w:val="18"/>
                <w:szCs w:val="18"/>
                <w:color w:val="auto"/>
              </w:rPr>
              <w:t>4.1(3)</w:t>
            </w:r>
          </w:p>
        </w:tc>
        <w:tc>
          <w:tcPr>
            <w:tcW w:w="120" w:type="dxa"/>
            <w:vAlign w:val="bottom"/>
          </w:tcPr>
          <w:p>
            <w:pPr>
              <w:spacing w:after="0"/>
              <w:rPr>
                <w:sz w:val="24"/>
                <w:szCs w:val="24"/>
                <w:color w:val="auto"/>
              </w:rPr>
            </w:pPr>
          </w:p>
        </w:tc>
        <w:tc>
          <w:tcPr>
            <w:tcW w:w="2780" w:type="dxa"/>
            <w:vAlign w:val="bottom"/>
            <w:tcBorders>
              <w:top w:val="single" w:sz="8" w:color="0000FF"/>
            </w:tcBorders>
            <w:gridSpan w:val="4"/>
          </w:tcPr>
          <w:p>
            <w:pPr>
              <w:spacing w:after="0"/>
              <w:rPr>
                <w:rFonts w:ascii="Times New Roman" w:cs="Times New Roman" w:eastAsia="Times New Roman" w:hAnsi="Times New Roman"/>
                <w:sz w:val="18"/>
                <w:szCs w:val="18"/>
                <w:color w:val="0000FF"/>
              </w:rPr>
            </w:pPr>
            <w:hyperlink r:id="rId465">
              <w:r>
                <w:rPr>
                  <w:rFonts w:ascii="Times New Roman" w:cs="Times New Roman" w:eastAsia="Times New Roman" w:hAnsi="Times New Roman"/>
                  <w:sz w:val="18"/>
                  <w:szCs w:val="18"/>
                  <w:color w:val="0000FF"/>
                </w:rPr>
                <w:t>Form of Common Stock Certificate</w:t>
              </w:r>
            </w:hyperlink>
          </w:p>
        </w:tc>
        <w:tc>
          <w:tcPr>
            <w:tcW w:w="7200" w:type="dxa"/>
            <w:vAlign w:val="bottom"/>
            <w:gridSpan w:val="26"/>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84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right w:val="single" w:sz="8" w:color="0000EE"/>
            </w:tcBorders>
            <w:shd w:val="clear" w:color="auto" w:fill="0000FF"/>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1140" w:type="dxa"/>
            <w:vAlign w:val="bottom"/>
          </w:tcPr>
          <w:p>
            <w:pPr>
              <w:jc w:val="right"/>
              <w:ind w:right="411"/>
              <w:spacing w:after="0"/>
              <w:rPr>
                <w:sz w:val="20"/>
                <w:szCs w:val="20"/>
                <w:color w:val="auto"/>
              </w:rPr>
            </w:pPr>
            <w:r>
              <w:rPr>
                <w:rFonts w:ascii="Times New Roman" w:cs="Times New Roman" w:eastAsia="Times New Roman" w:hAnsi="Times New Roman"/>
                <w:sz w:val="18"/>
                <w:szCs w:val="18"/>
                <w:color w:val="auto"/>
              </w:rPr>
              <w:t>4.2(4)</w:t>
            </w:r>
          </w:p>
        </w:tc>
        <w:tc>
          <w:tcPr>
            <w:tcW w:w="120" w:type="dxa"/>
            <w:vAlign w:val="bottom"/>
          </w:tcPr>
          <w:p>
            <w:pPr>
              <w:spacing w:after="0"/>
              <w:rPr>
                <w:sz w:val="24"/>
                <w:szCs w:val="24"/>
                <w:color w:val="auto"/>
              </w:rPr>
            </w:pPr>
          </w:p>
        </w:tc>
        <w:tc>
          <w:tcPr>
            <w:tcW w:w="8320" w:type="dxa"/>
            <w:vAlign w:val="bottom"/>
            <w:tcBorders>
              <w:bottom w:val="single" w:sz="8" w:color="0000FF"/>
            </w:tcBorders>
            <w:gridSpan w:val="23"/>
          </w:tcPr>
          <w:p>
            <w:pPr>
              <w:spacing w:after="0"/>
              <w:rPr>
                <w:rFonts w:ascii="Times New Roman" w:cs="Times New Roman" w:eastAsia="Times New Roman" w:hAnsi="Times New Roman"/>
                <w:sz w:val="18"/>
                <w:szCs w:val="18"/>
                <w:color w:val="0000FF"/>
                <w:w w:val="99"/>
              </w:rPr>
            </w:pPr>
            <w:hyperlink r:id="rId466">
              <w:r>
                <w:rPr>
                  <w:rFonts w:ascii="Times New Roman" w:cs="Times New Roman" w:eastAsia="Times New Roman" w:hAnsi="Times New Roman"/>
                  <w:sz w:val="18"/>
                  <w:szCs w:val="18"/>
                  <w:color w:val="0000FF"/>
                  <w:w w:val="99"/>
                </w:rPr>
                <w:t>Indenture, dated as of June 4, 2020, between the Registrant, and Wilmington Trust, National Association, as trustee</w:t>
              </w:r>
            </w:hyperlink>
          </w:p>
        </w:tc>
        <w:tc>
          <w:tcPr>
            <w:tcW w:w="166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1140" w:type="dxa"/>
            <w:vAlign w:val="bottom"/>
          </w:tcPr>
          <w:p>
            <w:pPr>
              <w:jc w:val="right"/>
              <w:ind w:right="411"/>
              <w:spacing w:after="0"/>
              <w:rPr>
                <w:sz w:val="20"/>
                <w:szCs w:val="20"/>
                <w:color w:val="auto"/>
              </w:rPr>
            </w:pPr>
            <w:r>
              <w:rPr>
                <w:rFonts w:ascii="Times New Roman" w:cs="Times New Roman" w:eastAsia="Times New Roman" w:hAnsi="Times New Roman"/>
                <w:sz w:val="18"/>
                <w:szCs w:val="18"/>
                <w:color w:val="auto"/>
              </w:rPr>
              <w:t>4.3(4)</w:t>
            </w:r>
          </w:p>
        </w:tc>
        <w:tc>
          <w:tcPr>
            <w:tcW w:w="120" w:type="dxa"/>
            <w:vAlign w:val="bottom"/>
          </w:tcPr>
          <w:p>
            <w:pPr>
              <w:spacing w:after="0"/>
              <w:rPr>
                <w:sz w:val="24"/>
                <w:szCs w:val="24"/>
                <w:color w:val="auto"/>
              </w:rPr>
            </w:pPr>
          </w:p>
        </w:tc>
        <w:tc>
          <w:tcPr>
            <w:tcW w:w="9980" w:type="dxa"/>
            <w:vAlign w:val="bottom"/>
            <w:gridSpan w:val="30"/>
          </w:tcPr>
          <w:p>
            <w:pPr>
              <w:spacing w:after="0"/>
              <w:rPr>
                <w:rFonts w:ascii="Times New Roman" w:cs="Times New Roman" w:eastAsia="Times New Roman" w:hAnsi="Times New Roman"/>
                <w:sz w:val="18"/>
                <w:szCs w:val="18"/>
                <w:color w:val="0000FF"/>
              </w:rPr>
            </w:pPr>
            <w:hyperlink r:id="rId466">
              <w:r>
                <w:rPr>
                  <w:rFonts w:ascii="Times New Roman" w:cs="Times New Roman" w:eastAsia="Times New Roman" w:hAnsi="Times New Roman"/>
                  <w:sz w:val="18"/>
                  <w:szCs w:val="18"/>
                  <w:color w:val="0000FF"/>
                </w:rPr>
                <w:t>Form of 0.375% Convertible Senior Notes due 2025 (included in Exhibit 4.2)</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840" w:type="dxa"/>
            <w:vAlign w:val="bottom"/>
            <w:tcBorders>
              <w:right w:val="single" w:sz="8" w:color="0000FF"/>
            </w:tcBorders>
            <w:shd w:val="clear" w:color="auto" w:fill="0000FF"/>
          </w:tcPr>
          <w:p>
            <w:pPr>
              <w:spacing w:after="0" w:line="20" w:lineRule="exact"/>
              <w:rPr>
                <w:sz w:val="1"/>
                <w:szCs w:val="1"/>
                <w:color w:val="auto"/>
              </w:rPr>
            </w:pPr>
          </w:p>
        </w:tc>
        <w:tc>
          <w:tcPr>
            <w:tcW w:w="70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240" w:type="dxa"/>
            <w:vAlign w:val="bottom"/>
            <w:tcBorders>
              <w:right w:val="single" w:sz="8" w:color="0000EE"/>
            </w:tcBorders>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140" w:type="dxa"/>
            <w:vAlign w:val="bottom"/>
          </w:tcPr>
          <w:p>
            <w:pPr>
              <w:jc w:val="right"/>
              <w:ind w:right="411"/>
              <w:spacing w:after="0"/>
              <w:rPr>
                <w:sz w:val="20"/>
                <w:szCs w:val="20"/>
                <w:color w:val="auto"/>
              </w:rPr>
            </w:pPr>
            <w:r>
              <w:rPr>
                <w:rFonts w:ascii="Times New Roman" w:cs="Times New Roman" w:eastAsia="Times New Roman" w:hAnsi="Times New Roman"/>
                <w:sz w:val="18"/>
                <w:szCs w:val="18"/>
                <w:color w:val="auto"/>
              </w:rPr>
              <w:t>4.4(5)</w:t>
            </w:r>
          </w:p>
        </w:tc>
        <w:tc>
          <w:tcPr>
            <w:tcW w:w="120" w:type="dxa"/>
            <w:vAlign w:val="bottom"/>
          </w:tcPr>
          <w:p>
            <w:pPr>
              <w:spacing w:after="0"/>
              <w:rPr>
                <w:sz w:val="21"/>
                <w:szCs w:val="21"/>
                <w:color w:val="auto"/>
              </w:rPr>
            </w:pPr>
          </w:p>
        </w:tc>
        <w:tc>
          <w:tcPr>
            <w:tcW w:w="9980" w:type="dxa"/>
            <w:vAlign w:val="bottom"/>
            <w:gridSpan w:val="30"/>
          </w:tcPr>
          <w:p>
            <w:pPr>
              <w:spacing w:after="0"/>
              <w:rPr>
                <w:rFonts w:ascii="Times New Roman" w:cs="Times New Roman" w:eastAsia="Times New Roman" w:hAnsi="Times New Roman"/>
                <w:sz w:val="18"/>
                <w:szCs w:val="18"/>
                <w:color w:val="0000FF"/>
              </w:rPr>
            </w:pPr>
            <w:hyperlink r:id="rId467">
              <w:r>
                <w:rPr>
                  <w:rFonts w:ascii="Times New Roman" w:cs="Times New Roman" w:eastAsia="Times New Roman" w:hAnsi="Times New Roman"/>
                  <w:sz w:val="18"/>
                  <w:szCs w:val="18"/>
                  <w:color w:val="0000FF"/>
                </w:rPr>
                <w:t>Description of the Registrant's Securities Registered Pursuant to Section 12 of the Securities Exchange Act of 1934, as amended</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840" w:type="dxa"/>
            <w:vAlign w:val="bottom"/>
            <w:tcBorders>
              <w:right w:val="single" w:sz="8" w:color="0000FF"/>
            </w:tcBorders>
            <w:shd w:val="clear" w:color="auto" w:fill="0000FF"/>
          </w:tcPr>
          <w:p>
            <w:pPr>
              <w:spacing w:after="0" w:line="20" w:lineRule="exact"/>
              <w:rPr>
                <w:sz w:val="1"/>
                <w:szCs w:val="1"/>
                <w:color w:val="auto"/>
              </w:rPr>
            </w:pPr>
          </w:p>
        </w:tc>
        <w:tc>
          <w:tcPr>
            <w:tcW w:w="70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620" w:type="dxa"/>
            <w:vAlign w:val="bottom"/>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140" w:type="dxa"/>
            <w:vAlign w:val="bottom"/>
            <w:tcBorders>
              <w:right w:val="single" w:sz="8" w:color="0000EE"/>
            </w:tcBorders>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1140" w:type="dxa"/>
            <w:vAlign w:val="bottom"/>
          </w:tcPr>
          <w:p>
            <w:pPr>
              <w:jc w:val="right"/>
              <w:ind w:right="411"/>
              <w:spacing w:after="0"/>
              <w:rPr>
                <w:sz w:val="20"/>
                <w:szCs w:val="20"/>
                <w:color w:val="auto"/>
              </w:rPr>
            </w:pPr>
            <w:r>
              <w:rPr>
                <w:rFonts w:ascii="Times New Roman" w:cs="Times New Roman" w:eastAsia="Times New Roman" w:hAnsi="Times New Roman"/>
                <w:sz w:val="18"/>
                <w:szCs w:val="18"/>
                <w:color w:val="auto"/>
              </w:rPr>
              <w:t>10.1(6)</w:t>
            </w:r>
          </w:p>
        </w:tc>
        <w:tc>
          <w:tcPr>
            <w:tcW w:w="120" w:type="dxa"/>
            <w:vAlign w:val="bottom"/>
          </w:tcPr>
          <w:p>
            <w:pPr>
              <w:spacing w:after="0"/>
              <w:rPr>
                <w:sz w:val="24"/>
                <w:szCs w:val="24"/>
                <w:color w:val="auto"/>
              </w:rPr>
            </w:pPr>
          </w:p>
        </w:tc>
        <w:tc>
          <w:tcPr>
            <w:tcW w:w="9880" w:type="dxa"/>
            <w:vAlign w:val="bottom"/>
            <w:tcBorders>
              <w:bottom w:val="single" w:sz="8" w:color="0000FF"/>
            </w:tcBorders>
            <w:gridSpan w:val="28"/>
          </w:tcPr>
          <w:p>
            <w:pPr>
              <w:spacing w:after="0"/>
              <w:rPr>
                <w:sz w:val="20"/>
                <w:szCs w:val="20"/>
                <w:color w:val="auto"/>
              </w:rPr>
            </w:pPr>
            <w:r>
              <w:rPr>
                <w:rFonts w:ascii="Times New Roman" w:cs="Times New Roman" w:eastAsia="Times New Roman" w:hAnsi="Times New Roman"/>
                <w:sz w:val="18"/>
                <w:szCs w:val="18"/>
                <w:color w:val="0000FF"/>
                <w:w w:val="99"/>
              </w:rPr>
              <w:t>Lease dated April 23, 2015 between Two Canal Park Massachusetts LLC (formerly BCSP Cambridge Two Property LLC) and HubSpot,</w:t>
            </w:r>
          </w:p>
        </w:tc>
        <w:tc>
          <w:tcPr>
            <w:tcW w:w="10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920" w:type="dxa"/>
            <w:vAlign w:val="bottom"/>
            <w:tcBorders>
              <w:bottom w:val="single" w:sz="8" w:color="0000FF"/>
            </w:tcBorders>
            <w:gridSpan w:val="29"/>
          </w:tcPr>
          <w:p>
            <w:pPr>
              <w:spacing w:after="0" w:line="196" w:lineRule="exact"/>
              <w:rPr>
                <w:sz w:val="20"/>
                <w:szCs w:val="20"/>
                <w:color w:val="auto"/>
              </w:rPr>
            </w:pPr>
            <w:r>
              <w:rPr>
                <w:rFonts w:ascii="Times New Roman" w:cs="Times New Roman" w:eastAsia="Times New Roman" w:hAnsi="Times New Roman"/>
                <w:sz w:val="18"/>
                <w:szCs w:val="18"/>
                <w:color w:val="0000FF"/>
              </w:rPr>
              <w:t>Inc.; First Amendment to Lease dated August 10, 2016; Second Amendment to Lease dated March 12, 2018; Third Amendment to Lease</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980" w:type="dxa"/>
            <w:vAlign w:val="bottom"/>
            <w:gridSpan w:val="30"/>
          </w:tcPr>
          <w:p>
            <w:pPr>
              <w:spacing w:after="0" w:line="196" w:lineRule="exact"/>
              <w:rPr>
                <w:sz w:val="20"/>
                <w:szCs w:val="20"/>
                <w:color w:val="auto"/>
              </w:rPr>
            </w:pPr>
            <w:r>
              <w:rPr>
                <w:rFonts w:ascii="Times New Roman" w:cs="Times New Roman" w:eastAsia="Times New Roman" w:hAnsi="Times New Roman"/>
                <w:sz w:val="18"/>
                <w:szCs w:val="18"/>
                <w:color w:val="0000FF"/>
              </w:rPr>
              <w:t>dated December 2, 2019; Fourth Amendment to Lease dated January 6, 2020; Fifth Amendment dated July 2, 2021</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840" w:type="dxa"/>
            <w:vAlign w:val="bottom"/>
            <w:tcBorders>
              <w:right w:val="single" w:sz="8" w:color="0000FF"/>
            </w:tcBorders>
            <w:shd w:val="clear" w:color="auto" w:fill="0000FF"/>
          </w:tcPr>
          <w:p>
            <w:pPr>
              <w:spacing w:after="0" w:line="20" w:lineRule="exact"/>
              <w:rPr>
                <w:sz w:val="1"/>
                <w:szCs w:val="1"/>
                <w:color w:val="auto"/>
              </w:rPr>
            </w:pPr>
          </w:p>
        </w:tc>
        <w:tc>
          <w:tcPr>
            <w:tcW w:w="70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620" w:type="dxa"/>
            <w:vAlign w:val="bottom"/>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80" w:type="dxa"/>
            <w:vAlign w:val="bottom"/>
            <w:tcBorders>
              <w:right w:val="single" w:sz="8" w:color="0000EE"/>
            </w:tcBorders>
            <w:shd w:val="clear" w:color="auto" w:fill="0000FF"/>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1140" w:type="dxa"/>
            <w:vAlign w:val="bottom"/>
          </w:tcPr>
          <w:p>
            <w:pPr>
              <w:jc w:val="right"/>
              <w:ind w:right="411"/>
              <w:spacing w:after="0"/>
              <w:rPr>
                <w:sz w:val="20"/>
                <w:szCs w:val="20"/>
                <w:color w:val="auto"/>
              </w:rPr>
            </w:pPr>
            <w:r>
              <w:rPr>
                <w:rFonts w:ascii="Times New Roman" w:cs="Times New Roman" w:eastAsia="Times New Roman" w:hAnsi="Times New Roman"/>
                <w:sz w:val="18"/>
                <w:szCs w:val="18"/>
                <w:color w:val="auto"/>
              </w:rPr>
              <w:t>10.2(7)</w:t>
            </w:r>
          </w:p>
        </w:tc>
        <w:tc>
          <w:tcPr>
            <w:tcW w:w="120" w:type="dxa"/>
            <w:vAlign w:val="bottom"/>
          </w:tcPr>
          <w:p>
            <w:pPr>
              <w:spacing w:after="0"/>
              <w:rPr>
                <w:sz w:val="24"/>
                <w:szCs w:val="24"/>
                <w:color w:val="auto"/>
              </w:rPr>
            </w:pPr>
          </w:p>
        </w:tc>
        <w:tc>
          <w:tcPr>
            <w:tcW w:w="9600" w:type="dxa"/>
            <w:vAlign w:val="bottom"/>
            <w:tcBorders>
              <w:bottom w:val="single" w:sz="8" w:color="0000FF"/>
            </w:tcBorders>
            <w:gridSpan w:val="27"/>
          </w:tcPr>
          <w:p>
            <w:pPr>
              <w:spacing w:after="0"/>
              <w:rPr>
                <w:rFonts w:ascii="Times New Roman" w:cs="Times New Roman" w:eastAsia="Times New Roman" w:hAnsi="Times New Roman"/>
                <w:sz w:val="18"/>
                <w:szCs w:val="18"/>
                <w:color w:val="0000FF"/>
                <w:w w:val="99"/>
              </w:rPr>
            </w:pPr>
            <w:hyperlink r:id="rId468">
              <w:r>
                <w:rPr>
                  <w:rFonts w:ascii="Times New Roman" w:cs="Times New Roman" w:eastAsia="Times New Roman" w:hAnsi="Times New Roman"/>
                  <w:sz w:val="18"/>
                  <w:szCs w:val="18"/>
                  <w:color w:val="0000FF"/>
                  <w:w w:val="99"/>
                </w:rPr>
                <w:t>Lease of 1 – 6 Sir John Rogerson's Quay, Windmill Quarter, Dublin 2, dated August 1, 2019, between Hibernia REIT Public Limited</w:t>
              </w:r>
            </w:hyperlink>
          </w:p>
        </w:tc>
        <w:tc>
          <w:tcPr>
            <w:tcW w:w="38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500" w:type="dxa"/>
            <w:vAlign w:val="bottom"/>
            <w:tcBorders>
              <w:bottom w:val="single" w:sz="8" w:color="0000FF"/>
            </w:tcBorders>
            <w:gridSpan w:val="26"/>
          </w:tcPr>
          <w:p>
            <w:pPr>
              <w:spacing w:after="0" w:line="196" w:lineRule="exact"/>
              <w:rPr>
                <w:rFonts w:ascii="Times New Roman" w:cs="Times New Roman" w:eastAsia="Times New Roman" w:hAnsi="Times New Roman"/>
                <w:sz w:val="18"/>
                <w:szCs w:val="18"/>
                <w:color w:val="0000FF"/>
              </w:rPr>
            </w:pPr>
            <w:hyperlink r:id="rId468">
              <w:r>
                <w:rPr>
                  <w:rFonts w:ascii="Times New Roman" w:cs="Times New Roman" w:eastAsia="Times New Roman" w:hAnsi="Times New Roman"/>
                  <w:sz w:val="18"/>
                  <w:szCs w:val="18"/>
                  <w:color w:val="0000FF"/>
                </w:rPr>
                <w:t>Company, as Landlord, HubSpot Ireland Limited, as Tenant, SOBO Management Company Limited by Guarantee, as Management</w:t>
              </w:r>
            </w:hyperlink>
          </w:p>
        </w:tc>
        <w:tc>
          <w:tcPr>
            <w:tcW w:w="48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980" w:type="dxa"/>
            <w:vAlign w:val="bottom"/>
            <w:gridSpan w:val="30"/>
          </w:tcPr>
          <w:p>
            <w:pPr>
              <w:spacing w:after="0" w:line="196" w:lineRule="exact"/>
              <w:rPr>
                <w:rFonts w:ascii="Times New Roman" w:cs="Times New Roman" w:eastAsia="Times New Roman" w:hAnsi="Times New Roman"/>
                <w:sz w:val="18"/>
                <w:szCs w:val="18"/>
                <w:color w:val="0000FF"/>
              </w:rPr>
            </w:pPr>
            <w:hyperlink r:id="rId468">
              <w:r>
                <w:rPr>
                  <w:rFonts w:ascii="Times New Roman" w:cs="Times New Roman" w:eastAsia="Times New Roman" w:hAnsi="Times New Roman"/>
                  <w:sz w:val="18"/>
                  <w:szCs w:val="18"/>
                  <w:color w:val="0000FF"/>
                </w:rPr>
                <w:t>Company, and HubSpot, Inc., as Guarantor</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840" w:type="dxa"/>
            <w:vAlign w:val="bottom"/>
            <w:tcBorders>
              <w:right w:val="single" w:sz="8" w:color="0000FF"/>
            </w:tcBorders>
            <w:shd w:val="clear" w:color="auto" w:fill="0000FF"/>
          </w:tcPr>
          <w:p>
            <w:pPr>
              <w:spacing w:after="0" w:line="20" w:lineRule="exact"/>
              <w:rPr>
                <w:sz w:val="1"/>
                <w:szCs w:val="1"/>
                <w:color w:val="auto"/>
              </w:rPr>
            </w:pPr>
          </w:p>
        </w:tc>
        <w:tc>
          <w:tcPr>
            <w:tcW w:w="70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tcBorders>
              <w:right w:val="single" w:sz="8" w:color="0000EE"/>
            </w:tcBorders>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8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1140" w:type="dxa"/>
            <w:vAlign w:val="bottom"/>
          </w:tcPr>
          <w:p>
            <w:pPr>
              <w:jc w:val="right"/>
              <w:ind w:right="331"/>
              <w:spacing w:after="0"/>
              <w:rPr>
                <w:sz w:val="20"/>
                <w:szCs w:val="20"/>
                <w:color w:val="auto"/>
              </w:rPr>
            </w:pPr>
            <w:r>
              <w:rPr>
                <w:rFonts w:ascii="Times New Roman" w:cs="Times New Roman" w:eastAsia="Times New Roman" w:hAnsi="Times New Roman"/>
                <w:sz w:val="18"/>
                <w:szCs w:val="18"/>
                <w:color w:val="auto"/>
              </w:rPr>
              <w:t>10.3(8)#</w:t>
            </w:r>
          </w:p>
        </w:tc>
        <w:tc>
          <w:tcPr>
            <w:tcW w:w="120" w:type="dxa"/>
            <w:vAlign w:val="bottom"/>
          </w:tcPr>
          <w:p>
            <w:pPr>
              <w:spacing w:after="0"/>
              <w:rPr>
                <w:sz w:val="24"/>
                <w:szCs w:val="24"/>
                <w:color w:val="auto"/>
              </w:rPr>
            </w:pPr>
          </w:p>
        </w:tc>
        <w:tc>
          <w:tcPr>
            <w:tcW w:w="9980" w:type="dxa"/>
            <w:vAlign w:val="bottom"/>
            <w:gridSpan w:val="30"/>
          </w:tcPr>
          <w:p>
            <w:pPr>
              <w:spacing w:after="0"/>
              <w:rPr>
                <w:rFonts w:ascii="Times New Roman" w:cs="Times New Roman" w:eastAsia="Times New Roman" w:hAnsi="Times New Roman"/>
                <w:sz w:val="18"/>
                <w:szCs w:val="18"/>
                <w:color w:val="0000FF"/>
              </w:rPr>
            </w:pPr>
            <w:hyperlink r:id="rId469">
              <w:r>
                <w:rPr>
                  <w:rFonts w:ascii="Times New Roman" w:cs="Times New Roman" w:eastAsia="Times New Roman" w:hAnsi="Times New Roman"/>
                  <w:sz w:val="18"/>
                  <w:szCs w:val="18"/>
                  <w:color w:val="0000FF"/>
                </w:rPr>
                <w:t>Form of Indemnification Agreement between the Registrant and each of its Executive Officers and Directors</w:t>
              </w:r>
            </w:hyperlink>
          </w:p>
        </w:tc>
        <w:tc>
          <w:tcPr>
            <w:tcW w:w="0" w:type="dxa"/>
            <w:vAlign w:val="bottom"/>
          </w:tcPr>
          <w:p>
            <w:pPr>
              <w:spacing w:after="0"/>
              <w:rPr>
                <w:sz w:val="1"/>
                <w:szCs w:val="1"/>
                <w:color w:val="auto"/>
              </w:rPr>
            </w:pPr>
          </w:p>
        </w:tc>
      </w:tr>
      <w:tr>
        <w:trPr>
          <w:trHeight w:val="344"/>
        </w:trPr>
        <w:tc>
          <w:tcPr>
            <w:tcW w:w="1140" w:type="dxa"/>
            <w:vAlign w:val="bottom"/>
          </w:tcPr>
          <w:p>
            <w:pPr>
              <w:jc w:val="right"/>
              <w:ind w:right="331"/>
              <w:spacing w:after="0"/>
              <w:rPr>
                <w:sz w:val="20"/>
                <w:szCs w:val="20"/>
                <w:color w:val="auto"/>
              </w:rPr>
            </w:pPr>
            <w:r>
              <w:rPr>
                <w:rFonts w:ascii="Times New Roman" w:cs="Times New Roman" w:eastAsia="Times New Roman" w:hAnsi="Times New Roman"/>
                <w:sz w:val="18"/>
                <w:szCs w:val="18"/>
                <w:color w:val="auto"/>
              </w:rPr>
              <w:t>10.4(9)#</w:t>
            </w:r>
          </w:p>
        </w:tc>
        <w:tc>
          <w:tcPr>
            <w:tcW w:w="120" w:type="dxa"/>
            <w:vAlign w:val="bottom"/>
          </w:tcPr>
          <w:p>
            <w:pPr>
              <w:spacing w:after="0"/>
              <w:rPr>
                <w:sz w:val="24"/>
                <w:szCs w:val="24"/>
                <w:color w:val="auto"/>
              </w:rPr>
            </w:pPr>
          </w:p>
        </w:tc>
        <w:tc>
          <w:tcPr>
            <w:tcW w:w="7360" w:type="dxa"/>
            <w:vAlign w:val="bottom"/>
            <w:tcBorders>
              <w:top w:val="single" w:sz="8" w:color="0000FF"/>
              <w:bottom w:val="single" w:sz="8" w:color="0000FF"/>
            </w:tcBorders>
            <w:gridSpan w:val="19"/>
          </w:tcPr>
          <w:p>
            <w:pPr>
              <w:spacing w:after="0"/>
              <w:rPr>
                <w:rFonts w:ascii="Times New Roman" w:cs="Times New Roman" w:eastAsia="Times New Roman" w:hAnsi="Times New Roman"/>
                <w:sz w:val="18"/>
                <w:szCs w:val="18"/>
                <w:color w:val="0000FF"/>
                <w:w w:val="99"/>
              </w:rPr>
            </w:pPr>
            <w:hyperlink r:id="rId470">
              <w:r>
                <w:rPr>
                  <w:rFonts w:ascii="Times New Roman" w:cs="Times New Roman" w:eastAsia="Times New Roman" w:hAnsi="Times New Roman"/>
                  <w:sz w:val="18"/>
                  <w:szCs w:val="18"/>
                  <w:color w:val="0000FF"/>
                  <w:w w:val="99"/>
                </w:rPr>
                <w:t>2007 Equity Incentive Plan and forms of restricted stock agreement and option agreements thereunder</w:t>
              </w:r>
            </w:hyperlink>
          </w:p>
        </w:tc>
        <w:tc>
          <w:tcPr>
            <w:tcW w:w="20" w:type="dxa"/>
            <w:vAlign w:val="bottom"/>
            <w:tcBorders>
              <w:top w:val="single" w:sz="8" w:color="0000FF"/>
              <w:bottom w:val="single" w:sz="8" w:color="0000EE"/>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2160" w:type="dxa"/>
            <w:vAlign w:val="bottom"/>
            <w:gridSpan w:val="9"/>
          </w:tcPr>
          <w:p>
            <w:pPr>
              <w:spacing w:after="0"/>
              <w:rPr>
                <w:sz w:val="24"/>
                <w:szCs w:val="24"/>
                <w:color w:val="auto"/>
              </w:rPr>
            </w:pPr>
          </w:p>
        </w:tc>
        <w:tc>
          <w:tcPr>
            <w:tcW w:w="0" w:type="dxa"/>
            <w:vAlign w:val="bottom"/>
          </w:tcPr>
          <w:p>
            <w:pPr>
              <w:spacing w:after="0"/>
              <w:rPr>
                <w:sz w:val="1"/>
                <w:szCs w:val="1"/>
                <w:color w:val="auto"/>
              </w:rPr>
            </w:pPr>
          </w:p>
        </w:tc>
      </w:tr>
      <w:tr>
        <w:trPr>
          <w:trHeight w:val="344"/>
        </w:trPr>
        <w:tc>
          <w:tcPr>
            <w:tcW w:w="1140" w:type="dxa"/>
            <w:vAlign w:val="bottom"/>
          </w:tcPr>
          <w:p>
            <w:pPr>
              <w:jc w:val="right"/>
              <w:ind w:right="351"/>
              <w:spacing w:after="0"/>
              <w:rPr>
                <w:sz w:val="20"/>
                <w:szCs w:val="20"/>
                <w:color w:val="auto"/>
              </w:rPr>
            </w:pPr>
            <w:r>
              <w:rPr>
                <w:rFonts w:ascii="Times New Roman" w:cs="Times New Roman" w:eastAsia="Times New Roman" w:hAnsi="Times New Roman"/>
                <w:sz w:val="18"/>
                <w:szCs w:val="18"/>
                <w:color w:val="auto"/>
              </w:rPr>
              <w:t>10.5**#</w:t>
            </w:r>
          </w:p>
        </w:tc>
        <w:tc>
          <w:tcPr>
            <w:tcW w:w="120" w:type="dxa"/>
            <w:vAlign w:val="bottom"/>
          </w:tcPr>
          <w:p>
            <w:pPr>
              <w:spacing w:after="0"/>
              <w:rPr>
                <w:sz w:val="24"/>
                <w:szCs w:val="24"/>
                <w:color w:val="auto"/>
              </w:rPr>
            </w:pPr>
          </w:p>
        </w:tc>
        <w:tc>
          <w:tcPr>
            <w:tcW w:w="9100" w:type="dxa"/>
            <w:vAlign w:val="bottom"/>
            <w:tcBorders>
              <w:bottom w:val="single" w:sz="8" w:color="0000FF"/>
            </w:tcBorders>
            <w:gridSpan w:val="24"/>
          </w:tcPr>
          <w:p>
            <w:pPr>
              <w:spacing w:after="0"/>
              <w:rPr>
                <w:sz w:val="20"/>
                <w:szCs w:val="20"/>
                <w:color w:val="auto"/>
              </w:rPr>
            </w:pPr>
            <w:r>
              <w:rPr>
                <w:rFonts w:ascii="Times New Roman" w:cs="Times New Roman" w:eastAsia="Times New Roman" w:hAnsi="Times New Roman"/>
                <w:sz w:val="18"/>
                <w:szCs w:val="18"/>
                <w:color w:val="0000FF"/>
                <w:w w:val="99"/>
              </w:rPr>
              <w:t>2014 Stock Option and Grant Plan, Amendment No. 1 thereto, and forms of restricted stock and option agreements thereunder</w:t>
            </w:r>
          </w:p>
        </w:tc>
        <w:tc>
          <w:tcPr>
            <w:tcW w:w="88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1140" w:type="dxa"/>
            <w:vAlign w:val="bottom"/>
          </w:tcPr>
          <w:p>
            <w:pPr>
              <w:jc w:val="right"/>
              <w:ind w:right="231"/>
              <w:spacing w:after="0"/>
              <w:rPr>
                <w:sz w:val="20"/>
                <w:szCs w:val="20"/>
                <w:color w:val="auto"/>
              </w:rPr>
            </w:pPr>
            <w:r>
              <w:rPr>
                <w:rFonts w:ascii="Times New Roman" w:cs="Times New Roman" w:eastAsia="Times New Roman" w:hAnsi="Times New Roman"/>
                <w:sz w:val="18"/>
                <w:szCs w:val="18"/>
                <w:color w:val="auto"/>
              </w:rPr>
              <w:t>10.6(10)#</w:t>
            </w:r>
          </w:p>
        </w:tc>
        <w:tc>
          <w:tcPr>
            <w:tcW w:w="120" w:type="dxa"/>
            <w:vAlign w:val="bottom"/>
          </w:tcPr>
          <w:p>
            <w:pPr>
              <w:spacing w:after="0"/>
              <w:rPr>
                <w:sz w:val="24"/>
                <w:szCs w:val="24"/>
                <w:color w:val="auto"/>
              </w:rPr>
            </w:pPr>
          </w:p>
        </w:tc>
        <w:tc>
          <w:tcPr>
            <w:tcW w:w="9980" w:type="dxa"/>
            <w:vAlign w:val="bottom"/>
            <w:gridSpan w:val="30"/>
          </w:tcPr>
          <w:p>
            <w:pPr>
              <w:spacing w:after="0"/>
              <w:rPr>
                <w:sz w:val="20"/>
                <w:szCs w:val="20"/>
                <w:color w:val="auto"/>
              </w:rPr>
            </w:pPr>
            <w:r>
              <w:rPr>
                <w:rFonts w:ascii="Times New Roman" w:cs="Times New Roman" w:eastAsia="Times New Roman" w:hAnsi="Times New Roman"/>
                <w:sz w:val="18"/>
                <w:szCs w:val="18"/>
                <w:color w:val="0000FF"/>
              </w:rPr>
              <w:t>Amended and Restated 2014 Employee Stock Purchase Plan</w:t>
            </w:r>
          </w:p>
        </w:tc>
        <w:tc>
          <w:tcPr>
            <w:tcW w:w="0" w:type="dxa"/>
            <w:vAlign w:val="bottom"/>
          </w:tcPr>
          <w:p>
            <w:pPr>
              <w:spacing w:after="0"/>
              <w:rPr>
                <w:sz w:val="1"/>
                <w:szCs w:val="1"/>
                <w:color w:val="auto"/>
              </w:rPr>
            </w:pPr>
          </w:p>
        </w:tc>
      </w:tr>
      <w:tr>
        <w:trPr>
          <w:trHeight w:val="344"/>
        </w:trPr>
        <w:tc>
          <w:tcPr>
            <w:tcW w:w="1140" w:type="dxa"/>
            <w:vAlign w:val="bottom"/>
          </w:tcPr>
          <w:p>
            <w:pPr>
              <w:jc w:val="right"/>
              <w:ind w:right="251"/>
              <w:spacing w:after="0"/>
              <w:rPr>
                <w:sz w:val="20"/>
                <w:szCs w:val="20"/>
                <w:color w:val="auto"/>
              </w:rPr>
            </w:pPr>
            <w:r>
              <w:rPr>
                <w:rFonts w:ascii="Times New Roman" w:cs="Times New Roman" w:eastAsia="Times New Roman" w:hAnsi="Times New Roman"/>
                <w:sz w:val="18"/>
                <w:szCs w:val="18"/>
                <w:color w:val="auto"/>
              </w:rPr>
              <w:t>10.7(11)#</w:t>
            </w:r>
          </w:p>
        </w:tc>
        <w:tc>
          <w:tcPr>
            <w:tcW w:w="120" w:type="dxa"/>
            <w:vAlign w:val="bottom"/>
          </w:tcPr>
          <w:p>
            <w:pPr>
              <w:spacing w:after="0"/>
              <w:rPr>
                <w:sz w:val="24"/>
                <w:szCs w:val="24"/>
                <w:color w:val="auto"/>
              </w:rPr>
            </w:pPr>
          </w:p>
        </w:tc>
        <w:tc>
          <w:tcPr>
            <w:tcW w:w="2940" w:type="dxa"/>
            <w:vAlign w:val="bottom"/>
            <w:tcBorders>
              <w:top w:val="single" w:sz="8" w:color="0000FF"/>
              <w:bottom w:val="single" w:sz="8" w:color="0000FF"/>
            </w:tcBorders>
            <w:gridSpan w:val="5"/>
          </w:tcPr>
          <w:p>
            <w:pPr>
              <w:spacing w:after="0"/>
              <w:rPr>
                <w:rFonts w:ascii="Times New Roman" w:cs="Times New Roman" w:eastAsia="Times New Roman" w:hAnsi="Times New Roman"/>
                <w:sz w:val="18"/>
                <w:szCs w:val="18"/>
                <w:color w:val="0000FF"/>
                <w:w w:val="99"/>
              </w:rPr>
            </w:pPr>
            <w:hyperlink r:id="rId471">
              <w:r>
                <w:rPr>
                  <w:rFonts w:ascii="Times New Roman" w:cs="Times New Roman" w:eastAsia="Times New Roman" w:hAnsi="Times New Roman"/>
                  <w:sz w:val="18"/>
                  <w:szCs w:val="18"/>
                  <w:color w:val="0000FF"/>
                  <w:w w:val="99"/>
                </w:rPr>
                <w:t>Management Cash Incentive Bonus Plan</w:t>
              </w:r>
            </w:hyperlink>
          </w:p>
        </w:tc>
        <w:tc>
          <w:tcPr>
            <w:tcW w:w="20" w:type="dxa"/>
            <w:vAlign w:val="bottom"/>
            <w:tcBorders>
              <w:top w:val="single" w:sz="8" w:color="0000FF"/>
              <w:bottom w:val="single" w:sz="8" w:color="0000EE"/>
            </w:tcBorders>
          </w:tcPr>
          <w:p>
            <w:pPr>
              <w:spacing w:after="0"/>
              <w:rPr>
                <w:sz w:val="24"/>
                <w:szCs w:val="24"/>
                <w:color w:val="auto"/>
              </w:rPr>
            </w:pPr>
          </w:p>
        </w:tc>
        <w:tc>
          <w:tcPr>
            <w:tcW w:w="1400" w:type="dxa"/>
            <w:vAlign w:val="bottom"/>
            <w:tcBorders>
              <w:top w:val="single" w:sz="8" w:color="0000FF"/>
            </w:tcBorders>
            <w:gridSpan w:val="6"/>
          </w:tcPr>
          <w:p>
            <w:pPr>
              <w:spacing w:after="0"/>
              <w:rPr>
                <w:sz w:val="24"/>
                <w:szCs w:val="24"/>
                <w:color w:val="auto"/>
              </w:rPr>
            </w:pPr>
          </w:p>
        </w:tc>
        <w:tc>
          <w:tcPr>
            <w:tcW w:w="5620" w:type="dxa"/>
            <w:vAlign w:val="bottom"/>
            <w:gridSpan w:val="18"/>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1140" w:type="dxa"/>
            <w:vAlign w:val="bottom"/>
          </w:tcPr>
          <w:p>
            <w:pPr>
              <w:jc w:val="right"/>
              <w:ind w:right="331"/>
              <w:spacing w:after="0"/>
              <w:rPr>
                <w:sz w:val="20"/>
                <w:szCs w:val="20"/>
                <w:color w:val="auto"/>
              </w:rPr>
            </w:pPr>
            <w:r>
              <w:rPr>
                <w:rFonts w:ascii="Times New Roman" w:cs="Times New Roman" w:eastAsia="Times New Roman" w:hAnsi="Times New Roman"/>
                <w:sz w:val="18"/>
                <w:szCs w:val="18"/>
                <w:color w:val="auto"/>
              </w:rPr>
              <w:t>10.8(12)</w:t>
            </w:r>
          </w:p>
        </w:tc>
        <w:tc>
          <w:tcPr>
            <w:tcW w:w="120" w:type="dxa"/>
            <w:vAlign w:val="bottom"/>
          </w:tcPr>
          <w:p>
            <w:pPr>
              <w:spacing w:after="0"/>
              <w:rPr>
                <w:sz w:val="24"/>
                <w:szCs w:val="24"/>
                <w:color w:val="auto"/>
              </w:rPr>
            </w:pPr>
          </w:p>
        </w:tc>
        <w:tc>
          <w:tcPr>
            <w:tcW w:w="9980" w:type="dxa"/>
            <w:vAlign w:val="bottom"/>
            <w:gridSpan w:val="30"/>
          </w:tcPr>
          <w:p>
            <w:pPr>
              <w:spacing w:after="0"/>
              <w:rPr>
                <w:rFonts w:ascii="Times New Roman" w:cs="Times New Roman" w:eastAsia="Times New Roman" w:hAnsi="Times New Roman"/>
                <w:sz w:val="18"/>
                <w:szCs w:val="18"/>
                <w:color w:val="0000FF"/>
              </w:rPr>
            </w:pPr>
            <w:hyperlink r:id="rId472">
              <w:r>
                <w:rPr>
                  <w:rFonts w:ascii="Times New Roman" w:cs="Times New Roman" w:eastAsia="Times New Roman" w:hAnsi="Times New Roman"/>
                  <w:sz w:val="18"/>
                  <w:szCs w:val="18"/>
                  <w:color w:val="0000FF"/>
                </w:rPr>
                <w:t>Form of Call Option Transaction Confirmation</w:t>
              </w:r>
            </w:hyperlink>
          </w:p>
        </w:tc>
        <w:tc>
          <w:tcPr>
            <w:tcW w:w="0" w:type="dxa"/>
            <w:vAlign w:val="bottom"/>
          </w:tcPr>
          <w:p>
            <w:pPr>
              <w:spacing w:after="0"/>
              <w:rPr>
                <w:sz w:val="1"/>
                <w:szCs w:val="1"/>
                <w:color w:val="auto"/>
              </w:rPr>
            </w:pPr>
          </w:p>
        </w:tc>
      </w:tr>
      <w:tr>
        <w:trPr>
          <w:trHeight w:val="345"/>
        </w:trPr>
        <w:tc>
          <w:tcPr>
            <w:tcW w:w="1140" w:type="dxa"/>
            <w:vAlign w:val="bottom"/>
          </w:tcPr>
          <w:p>
            <w:pPr>
              <w:jc w:val="right"/>
              <w:ind w:right="331"/>
              <w:spacing w:after="0"/>
              <w:rPr>
                <w:sz w:val="20"/>
                <w:szCs w:val="20"/>
                <w:color w:val="auto"/>
              </w:rPr>
            </w:pPr>
            <w:r>
              <w:rPr>
                <w:rFonts w:ascii="Times New Roman" w:cs="Times New Roman" w:eastAsia="Times New Roman" w:hAnsi="Times New Roman"/>
                <w:sz w:val="18"/>
                <w:szCs w:val="18"/>
                <w:color w:val="auto"/>
              </w:rPr>
              <w:t>10.9(13)</w:t>
            </w:r>
          </w:p>
        </w:tc>
        <w:tc>
          <w:tcPr>
            <w:tcW w:w="120" w:type="dxa"/>
            <w:vAlign w:val="bottom"/>
          </w:tcPr>
          <w:p>
            <w:pPr>
              <w:spacing w:after="0"/>
              <w:rPr>
                <w:sz w:val="24"/>
                <w:szCs w:val="24"/>
                <w:color w:val="auto"/>
              </w:rPr>
            </w:pPr>
          </w:p>
        </w:tc>
        <w:tc>
          <w:tcPr>
            <w:tcW w:w="3380" w:type="dxa"/>
            <w:vAlign w:val="bottom"/>
            <w:tcBorders>
              <w:top w:val="single" w:sz="8" w:color="0000FF"/>
            </w:tcBorders>
            <w:gridSpan w:val="8"/>
          </w:tcPr>
          <w:p>
            <w:pPr>
              <w:spacing w:after="0"/>
              <w:rPr>
                <w:rFonts w:ascii="Times New Roman" w:cs="Times New Roman" w:eastAsia="Times New Roman" w:hAnsi="Times New Roman"/>
                <w:sz w:val="18"/>
                <w:szCs w:val="18"/>
                <w:color w:val="0000FF"/>
              </w:rPr>
            </w:pPr>
            <w:hyperlink r:id="rId473">
              <w:r>
                <w:rPr>
                  <w:rFonts w:ascii="Times New Roman" w:cs="Times New Roman" w:eastAsia="Times New Roman" w:hAnsi="Times New Roman"/>
                  <w:sz w:val="18"/>
                  <w:szCs w:val="18"/>
                  <w:color w:val="0000FF"/>
                </w:rPr>
                <w:t>Form of Warrant Confirmation</w:t>
              </w:r>
            </w:hyperlink>
          </w:p>
        </w:tc>
        <w:tc>
          <w:tcPr>
            <w:tcW w:w="6600" w:type="dxa"/>
            <w:vAlign w:val="bottom"/>
            <w:gridSpan w:val="22"/>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840" w:type="dxa"/>
            <w:vAlign w:val="bottom"/>
            <w:tcBorders>
              <w:right w:val="single" w:sz="8" w:color="0000EE"/>
            </w:tcBorders>
            <w:shd w:val="clear" w:color="auto" w:fill="0000FF"/>
          </w:tcPr>
          <w:p>
            <w:pPr>
              <w:spacing w:after="0" w:line="20" w:lineRule="exact"/>
              <w:rPr>
                <w:sz w:val="1"/>
                <w:szCs w:val="1"/>
                <w:color w:val="auto"/>
              </w:rPr>
            </w:pPr>
          </w:p>
        </w:tc>
        <w:tc>
          <w:tcPr>
            <w:tcW w:w="1180" w:type="dxa"/>
            <w:vAlign w:val="bottom"/>
            <w:gridSpan w:val="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32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40" w:type="dxa"/>
            <w:vAlign w:val="bottom"/>
            <w:gridSpan w:val="7"/>
          </w:tcPr>
          <w:p>
            <w:pPr>
              <w:spacing w:after="0" w:line="20" w:lineRule="exact"/>
              <w:rPr>
                <w:sz w:val="1"/>
                <w:szCs w:val="1"/>
                <w:color w:val="auto"/>
              </w:rPr>
            </w:pPr>
          </w:p>
        </w:tc>
        <w:tc>
          <w:tcPr>
            <w:tcW w:w="74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114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10.10(14)#</w:t>
            </w:r>
          </w:p>
        </w:tc>
        <w:tc>
          <w:tcPr>
            <w:tcW w:w="120" w:type="dxa"/>
            <w:vAlign w:val="bottom"/>
          </w:tcPr>
          <w:p>
            <w:pPr>
              <w:spacing w:after="0"/>
              <w:rPr>
                <w:sz w:val="24"/>
                <w:szCs w:val="24"/>
                <w:color w:val="auto"/>
              </w:rPr>
            </w:pPr>
          </w:p>
        </w:tc>
        <w:tc>
          <w:tcPr>
            <w:tcW w:w="9980" w:type="dxa"/>
            <w:vAlign w:val="bottom"/>
            <w:gridSpan w:val="30"/>
          </w:tcPr>
          <w:p>
            <w:pPr>
              <w:spacing w:after="0"/>
              <w:rPr>
                <w:rFonts w:ascii="Times New Roman" w:cs="Times New Roman" w:eastAsia="Times New Roman" w:hAnsi="Times New Roman"/>
                <w:sz w:val="18"/>
                <w:szCs w:val="18"/>
                <w:color w:val="0000FF"/>
              </w:rPr>
            </w:pPr>
            <w:hyperlink r:id="rId474">
              <w:r>
                <w:rPr>
                  <w:rFonts w:ascii="Times New Roman" w:cs="Times New Roman" w:eastAsia="Times New Roman" w:hAnsi="Times New Roman"/>
                  <w:sz w:val="18"/>
                  <w:szCs w:val="18"/>
                  <w:color w:val="0000FF"/>
                </w:rPr>
                <w:t>Non-Employee Director Compensation Policy (as amended and currently in effect)</w:t>
              </w:r>
            </w:hyperlink>
          </w:p>
        </w:tc>
        <w:tc>
          <w:tcPr>
            <w:tcW w:w="0" w:type="dxa"/>
            <w:vAlign w:val="bottom"/>
          </w:tcPr>
          <w:p>
            <w:pPr>
              <w:spacing w:after="0"/>
              <w:rPr>
                <w:sz w:val="1"/>
                <w:szCs w:val="1"/>
                <w:color w:val="auto"/>
              </w:rPr>
            </w:pPr>
          </w:p>
        </w:tc>
      </w:tr>
      <w:tr>
        <w:trPr>
          <w:trHeight w:val="344"/>
        </w:trPr>
        <w:tc>
          <w:tcPr>
            <w:tcW w:w="1140" w:type="dxa"/>
            <w:vAlign w:val="bottom"/>
          </w:tcPr>
          <w:p>
            <w:pPr>
              <w:jc w:val="right"/>
              <w:ind w:right="251"/>
              <w:spacing w:after="0"/>
              <w:rPr>
                <w:sz w:val="20"/>
                <w:szCs w:val="20"/>
                <w:color w:val="auto"/>
              </w:rPr>
            </w:pPr>
            <w:r>
              <w:rPr>
                <w:rFonts w:ascii="Times New Roman" w:cs="Times New Roman" w:eastAsia="Times New Roman" w:hAnsi="Times New Roman"/>
                <w:sz w:val="18"/>
                <w:szCs w:val="18"/>
                <w:color w:val="auto"/>
              </w:rPr>
              <w:t>10.11(15)</w:t>
            </w:r>
          </w:p>
        </w:tc>
        <w:tc>
          <w:tcPr>
            <w:tcW w:w="120" w:type="dxa"/>
            <w:vAlign w:val="bottom"/>
          </w:tcPr>
          <w:p>
            <w:pPr>
              <w:spacing w:after="0"/>
              <w:rPr>
                <w:sz w:val="24"/>
                <w:szCs w:val="24"/>
                <w:color w:val="auto"/>
              </w:rPr>
            </w:pPr>
          </w:p>
        </w:tc>
        <w:tc>
          <w:tcPr>
            <w:tcW w:w="5980" w:type="dxa"/>
            <w:vAlign w:val="bottom"/>
            <w:tcBorders>
              <w:top w:val="single" w:sz="8" w:color="0000FF"/>
            </w:tcBorders>
            <w:gridSpan w:val="14"/>
          </w:tcPr>
          <w:p>
            <w:pPr>
              <w:spacing w:after="0"/>
              <w:rPr>
                <w:rFonts w:ascii="Times New Roman" w:cs="Times New Roman" w:eastAsia="Times New Roman" w:hAnsi="Times New Roman"/>
                <w:sz w:val="18"/>
                <w:szCs w:val="18"/>
                <w:color w:val="0000FF"/>
              </w:rPr>
            </w:pPr>
            <w:hyperlink r:id="rId475">
              <w:r>
                <w:rPr>
                  <w:rFonts w:ascii="Times New Roman" w:cs="Times New Roman" w:eastAsia="Times New Roman" w:hAnsi="Times New Roman"/>
                  <w:sz w:val="18"/>
                  <w:szCs w:val="18"/>
                  <w:color w:val="0000FF"/>
                </w:rPr>
                <w:t>Form of Capped Call Transaction Confirmation</w:t>
              </w:r>
            </w:hyperlink>
          </w:p>
        </w:tc>
        <w:tc>
          <w:tcPr>
            <w:tcW w:w="4000" w:type="dxa"/>
            <w:vAlign w:val="bottom"/>
            <w:gridSpan w:val="16"/>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1140" w:type="dxa"/>
            <w:vAlign w:val="bottom"/>
          </w:tcPr>
          <w:p>
            <w:pPr>
              <w:jc w:val="right"/>
              <w:ind w:right="451"/>
              <w:spacing w:after="0"/>
              <w:rPr>
                <w:sz w:val="20"/>
                <w:szCs w:val="20"/>
                <w:color w:val="auto"/>
              </w:rPr>
            </w:pPr>
            <w:r>
              <w:rPr>
                <w:rFonts w:ascii="Times New Roman" w:cs="Times New Roman" w:eastAsia="Times New Roman" w:hAnsi="Times New Roman"/>
                <w:sz w:val="18"/>
                <w:szCs w:val="18"/>
                <w:color w:val="auto"/>
              </w:rPr>
              <w:t>21.1**</w:t>
            </w:r>
          </w:p>
        </w:tc>
        <w:tc>
          <w:tcPr>
            <w:tcW w:w="120" w:type="dxa"/>
            <w:vAlign w:val="bottom"/>
          </w:tcPr>
          <w:p>
            <w:pPr>
              <w:spacing w:after="0"/>
              <w:rPr>
                <w:sz w:val="24"/>
                <w:szCs w:val="24"/>
                <w:color w:val="auto"/>
              </w:rPr>
            </w:pPr>
          </w:p>
        </w:tc>
        <w:tc>
          <w:tcPr>
            <w:tcW w:w="3420" w:type="dxa"/>
            <w:vAlign w:val="bottom"/>
            <w:tcBorders>
              <w:top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rPr>
              <w:t>List of Subsidiaries</w:t>
            </w:r>
          </w:p>
        </w:tc>
        <w:tc>
          <w:tcPr>
            <w:tcW w:w="6560" w:type="dxa"/>
            <w:vAlign w:val="bottom"/>
            <w:gridSpan w:val="21"/>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2060" w:type="dxa"/>
            <w:vAlign w:val="bottom"/>
            <w:gridSpan w:val="9"/>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80" w:type="dxa"/>
            <w:vAlign w:val="bottom"/>
            <w:gridSpan w:val="4"/>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40" w:type="dxa"/>
            <w:vAlign w:val="bottom"/>
            <w:gridSpan w:val="7"/>
          </w:tcPr>
          <w:p>
            <w:pPr>
              <w:spacing w:after="0" w:line="20" w:lineRule="exact"/>
              <w:rPr>
                <w:sz w:val="1"/>
                <w:szCs w:val="1"/>
                <w:color w:val="auto"/>
              </w:rPr>
            </w:pPr>
          </w:p>
        </w:tc>
        <w:tc>
          <w:tcPr>
            <w:tcW w:w="74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1140" w:type="dxa"/>
            <w:vAlign w:val="bottom"/>
          </w:tcPr>
          <w:p>
            <w:pPr>
              <w:jc w:val="right"/>
              <w:ind w:right="451"/>
              <w:spacing w:after="0"/>
              <w:rPr>
                <w:sz w:val="20"/>
                <w:szCs w:val="20"/>
                <w:color w:val="auto"/>
              </w:rPr>
            </w:pPr>
            <w:r>
              <w:rPr>
                <w:rFonts w:ascii="Times New Roman" w:cs="Times New Roman" w:eastAsia="Times New Roman" w:hAnsi="Times New Roman"/>
                <w:sz w:val="18"/>
                <w:szCs w:val="18"/>
                <w:color w:val="auto"/>
              </w:rPr>
              <w:t>23.1**</w:t>
            </w:r>
          </w:p>
        </w:tc>
        <w:tc>
          <w:tcPr>
            <w:tcW w:w="120" w:type="dxa"/>
            <w:vAlign w:val="bottom"/>
          </w:tcPr>
          <w:p>
            <w:pPr>
              <w:spacing w:after="0"/>
              <w:rPr>
                <w:sz w:val="24"/>
                <w:szCs w:val="24"/>
                <w:color w:val="auto"/>
              </w:rPr>
            </w:pPr>
          </w:p>
        </w:tc>
        <w:tc>
          <w:tcPr>
            <w:tcW w:w="9980" w:type="dxa"/>
            <w:vAlign w:val="bottom"/>
            <w:gridSpan w:val="30"/>
          </w:tcPr>
          <w:p>
            <w:pPr>
              <w:spacing w:after="0"/>
              <w:rPr>
                <w:sz w:val="20"/>
                <w:szCs w:val="20"/>
                <w:color w:val="auto"/>
              </w:rPr>
            </w:pPr>
            <w:r>
              <w:rPr>
                <w:rFonts w:ascii="Times New Roman" w:cs="Times New Roman" w:eastAsia="Times New Roman" w:hAnsi="Times New Roman"/>
                <w:sz w:val="18"/>
                <w:szCs w:val="18"/>
                <w:color w:val="0000FF"/>
              </w:rPr>
              <w:t>Consent of PricewaterhouseCoopers LLP, Independent Registered Public Accounting Firm</w:t>
            </w:r>
          </w:p>
        </w:tc>
        <w:tc>
          <w:tcPr>
            <w:tcW w:w="0" w:type="dxa"/>
            <w:vAlign w:val="bottom"/>
          </w:tcPr>
          <w:p>
            <w:pPr>
              <w:spacing w:after="0"/>
              <w:rPr>
                <w:sz w:val="1"/>
                <w:szCs w:val="1"/>
                <w:color w:val="auto"/>
              </w:rPr>
            </w:pPr>
          </w:p>
        </w:tc>
      </w:tr>
      <w:tr>
        <w:trPr>
          <w:trHeight w:val="344"/>
        </w:trPr>
        <w:tc>
          <w:tcPr>
            <w:tcW w:w="1140" w:type="dxa"/>
            <w:vAlign w:val="bottom"/>
          </w:tcPr>
          <w:p>
            <w:pPr>
              <w:jc w:val="right"/>
              <w:ind w:right="451"/>
              <w:spacing w:after="0"/>
              <w:rPr>
                <w:sz w:val="20"/>
                <w:szCs w:val="20"/>
                <w:color w:val="auto"/>
              </w:rPr>
            </w:pPr>
            <w:r>
              <w:rPr>
                <w:rFonts w:ascii="Times New Roman" w:cs="Times New Roman" w:eastAsia="Times New Roman" w:hAnsi="Times New Roman"/>
                <w:sz w:val="18"/>
                <w:szCs w:val="18"/>
                <w:color w:val="auto"/>
              </w:rPr>
              <w:t>24.1**</w:t>
            </w:r>
          </w:p>
        </w:tc>
        <w:tc>
          <w:tcPr>
            <w:tcW w:w="120" w:type="dxa"/>
            <w:vAlign w:val="bottom"/>
          </w:tcPr>
          <w:p>
            <w:pPr>
              <w:spacing w:after="0"/>
              <w:rPr>
                <w:sz w:val="24"/>
                <w:szCs w:val="24"/>
                <w:color w:val="auto"/>
              </w:rPr>
            </w:pPr>
          </w:p>
        </w:tc>
        <w:tc>
          <w:tcPr>
            <w:tcW w:w="6540" w:type="dxa"/>
            <w:vAlign w:val="bottom"/>
            <w:tcBorders>
              <w:top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rPr>
              <w:t>Power of Attorney (included on signature page)</w:t>
            </w:r>
          </w:p>
        </w:tc>
        <w:tc>
          <w:tcPr>
            <w:tcW w:w="3440" w:type="dxa"/>
            <w:vAlign w:val="bottom"/>
            <w:gridSpan w:val="15"/>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3460" w:type="dxa"/>
            <w:vAlign w:val="bottom"/>
            <w:tcBorders>
              <w:right w:val="single" w:sz="8" w:color="0000EE"/>
            </w:tcBorders>
            <w:gridSpan w:val="10"/>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80" w:type="dxa"/>
            <w:vAlign w:val="bottom"/>
            <w:gridSpan w:val="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40" w:type="dxa"/>
            <w:vAlign w:val="bottom"/>
            <w:gridSpan w:val="7"/>
          </w:tcPr>
          <w:p>
            <w:pPr>
              <w:spacing w:after="0" w:line="20" w:lineRule="exact"/>
              <w:rPr>
                <w:sz w:val="1"/>
                <w:szCs w:val="1"/>
                <w:color w:val="auto"/>
              </w:rPr>
            </w:pPr>
          </w:p>
        </w:tc>
        <w:tc>
          <w:tcPr>
            <w:tcW w:w="74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1140" w:type="dxa"/>
            <w:vAlign w:val="bottom"/>
          </w:tcPr>
          <w:p>
            <w:pPr>
              <w:jc w:val="right"/>
              <w:ind w:right="451"/>
              <w:spacing w:after="0"/>
              <w:rPr>
                <w:sz w:val="20"/>
                <w:szCs w:val="20"/>
                <w:color w:val="auto"/>
              </w:rPr>
            </w:pPr>
            <w:r>
              <w:rPr>
                <w:rFonts w:ascii="Times New Roman" w:cs="Times New Roman" w:eastAsia="Times New Roman" w:hAnsi="Times New Roman"/>
                <w:sz w:val="18"/>
                <w:szCs w:val="18"/>
                <w:color w:val="auto"/>
              </w:rPr>
              <w:t>31.1**</w:t>
            </w:r>
          </w:p>
        </w:tc>
        <w:tc>
          <w:tcPr>
            <w:tcW w:w="120" w:type="dxa"/>
            <w:vAlign w:val="bottom"/>
          </w:tcPr>
          <w:p>
            <w:pPr>
              <w:spacing w:after="0"/>
              <w:rPr>
                <w:sz w:val="24"/>
                <w:szCs w:val="24"/>
                <w:color w:val="auto"/>
              </w:rPr>
            </w:pPr>
          </w:p>
        </w:tc>
        <w:tc>
          <w:tcPr>
            <w:tcW w:w="7200" w:type="dxa"/>
            <w:vAlign w:val="bottom"/>
            <w:tcBorders>
              <w:bottom w:val="single" w:sz="8" w:color="0000FF"/>
            </w:tcBorders>
            <w:gridSpan w:val="18"/>
          </w:tcPr>
          <w:p>
            <w:pPr>
              <w:spacing w:after="0"/>
              <w:rPr>
                <w:sz w:val="20"/>
                <w:szCs w:val="20"/>
                <w:color w:val="auto"/>
              </w:rPr>
            </w:pPr>
            <w:r>
              <w:rPr>
                <w:rFonts w:ascii="Times New Roman" w:cs="Times New Roman" w:eastAsia="Times New Roman" w:hAnsi="Times New Roman"/>
                <w:sz w:val="18"/>
                <w:szCs w:val="18"/>
                <w:color w:val="0000FF"/>
                <w:w w:val="99"/>
              </w:rPr>
              <w:t>Certification of Chief Executive Officer Pursuant to Section 302 of the Sarbanes-Oxley Act of 2002</w:t>
            </w:r>
          </w:p>
        </w:tc>
        <w:tc>
          <w:tcPr>
            <w:tcW w:w="2780" w:type="dxa"/>
            <w:vAlign w:val="bottom"/>
            <w:gridSpan w:val="12"/>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1140" w:type="dxa"/>
            <w:vAlign w:val="bottom"/>
          </w:tcPr>
          <w:p>
            <w:pPr>
              <w:jc w:val="right"/>
              <w:ind w:right="451"/>
              <w:spacing w:after="0"/>
              <w:rPr>
                <w:sz w:val="20"/>
                <w:szCs w:val="20"/>
                <w:color w:val="auto"/>
              </w:rPr>
            </w:pPr>
            <w:r>
              <w:rPr>
                <w:rFonts w:ascii="Times New Roman" w:cs="Times New Roman" w:eastAsia="Times New Roman" w:hAnsi="Times New Roman"/>
                <w:sz w:val="18"/>
                <w:szCs w:val="18"/>
                <w:color w:val="auto"/>
              </w:rPr>
              <w:t>31.2**</w:t>
            </w:r>
          </w:p>
        </w:tc>
        <w:tc>
          <w:tcPr>
            <w:tcW w:w="120" w:type="dxa"/>
            <w:vAlign w:val="bottom"/>
          </w:tcPr>
          <w:p>
            <w:pPr>
              <w:spacing w:after="0"/>
              <w:rPr>
                <w:sz w:val="24"/>
                <w:szCs w:val="24"/>
                <w:color w:val="auto"/>
              </w:rPr>
            </w:pPr>
          </w:p>
        </w:tc>
        <w:tc>
          <w:tcPr>
            <w:tcW w:w="9980" w:type="dxa"/>
            <w:vAlign w:val="bottom"/>
            <w:gridSpan w:val="30"/>
          </w:tcPr>
          <w:p>
            <w:pPr>
              <w:spacing w:after="0"/>
              <w:rPr>
                <w:sz w:val="20"/>
                <w:szCs w:val="20"/>
                <w:color w:val="auto"/>
              </w:rPr>
            </w:pPr>
            <w:r>
              <w:rPr>
                <w:rFonts w:ascii="Times New Roman" w:cs="Times New Roman" w:eastAsia="Times New Roman" w:hAnsi="Times New Roman"/>
                <w:sz w:val="18"/>
                <w:szCs w:val="18"/>
                <w:color w:val="0000FF"/>
              </w:rPr>
              <w:t>Certification of Chief Financial Officer Pursuant to Section 302 of the Sarbanes-Oxley Act of 2002</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3460" w:type="dxa"/>
            <w:vAlign w:val="bottom"/>
            <w:tcBorders>
              <w:right w:val="single" w:sz="8" w:color="0000FF"/>
            </w:tcBorders>
            <w:gridSpan w:val="10"/>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480" w:type="dxa"/>
            <w:vAlign w:val="bottom"/>
            <w:gridSpan w:val="6"/>
            <w:shd w:val="clear" w:color="auto" w:fill="0000FF"/>
          </w:tcPr>
          <w:p>
            <w:pPr>
              <w:spacing w:after="0" w:line="20" w:lineRule="exact"/>
              <w:rPr>
                <w:sz w:val="1"/>
                <w:szCs w:val="1"/>
                <w:color w:val="auto"/>
              </w:rPr>
            </w:pPr>
          </w:p>
        </w:tc>
        <w:tc>
          <w:tcPr>
            <w:tcW w:w="2100" w:type="dxa"/>
            <w:vAlign w:val="bottom"/>
            <w:gridSpan w:val="8"/>
          </w:tcPr>
          <w:p>
            <w:pPr>
              <w:spacing w:after="0" w:line="20" w:lineRule="exact"/>
              <w:rPr>
                <w:sz w:val="1"/>
                <w:szCs w:val="1"/>
                <w:color w:val="auto"/>
              </w:rPr>
            </w:pPr>
          </w:p>
        </w:tc>
        <w:tc>
          <w:tcPr>
            <w:tcW w:w="74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1140" w:type="dxa"/>
            <w:vAlign w:val="bottom"/>
          </w:tcPr>
          <w:p>
            <w:pPr>
              <w:jc w:val="right"/>
              <w:ind w:right="311"/>
              <w:spacing w:after="0"/>
              <w:rPr>
                <w:sz w:val="20"/>
                <w:szCs w:val="20"/>
                <w:color w:val="auto"/>
              </w:rPr>
            </w:pPr>
            <w:r>
              <w:rPr>
                <w:rFonts w:ascii="Times New Roman" w:cs="Times New Roman" w:eastAsia="Times New Roman" w:hAnsi="Times New Roman"/>
                <w:sz w:val="18"/>
                <w:szCs w:val="18"/>
                <w:color w:val="auto"/>
              </w:rPr>
              <w:t>32.1**Ÿ</w:t>
            </w:r>
          </w:p>
        </w:tc>
        <w:tc>
          <w:tcPr>
            <w:tcW w:w="120" w:type="dxa"/>
            <w:vAlign w:val="bottom"/>
          </w:tcPr>
          <w:p>
            <w:pPr>
              <w:spacing w:after="0"/>
              <w:rPr>
                <w:sz w:val="24"/>
                <w:szCs w:val="24"/>
                <w:color w:val="auto"/>
              </w:rPr>
            </w:pPr>
          </w:p>
        </w:tc>
        <w:tc>
          <w:tcPr>
            <w:tcW w:w="9980" w:type="dxa"/>
            <w:vAlign w:val="bottom"/>
            <w:gridSpan w:val="30"/>
          </w:tcPr>
          <w:p>
            <w:pPr>
              <w:spacing w:after="0"/>
              <w:rPr>
                <w:sz w:val="20"/>
                <w:szCs w:val="20"/>
                <w:color w:val="auto"/>
              </w:rPr>
            </w:pPr>
            <w:r>
              <w:rPr>
                <w:rFonts w:ascii="Times New Roman" w:cs="Times New Roman" w:eastAsia="Times New Roman" w:hAnsi="Times New Roman"/>
                <w:sz w:val="18"/>
                <w:szCs w:val="18"/>
                <w:color w:val="0000FF"/>
              </w:rPr>
              <w:t>Certification of Chief Executive Officer and Chief Financial Officer Pursuant to Section 906 of the Sarbanes-Oxley Act of 2002</w:t>
            </w:r>
          </w:p>
        </w:tc>
        <w:tc>
          <w:tcPr>
            <w:tcW w:w="0" w:type="dxa"/>
            <w:vAlign w:val="bottom"/>
          </w:tcPr>
          <w:p>
            <w:pPr>
              <w:spacing w:after="0"/>
              <w:rPr>
                <w:sz w:val="1"/>
                <w:szCs w:val="1"/>
                <w:color w:val="auto"/>
              </w:rPr>
            </w:pPr>
          </w:p>
        </w:tc>
      </w:tr>
      <w:tr>
        <w:trPr>
          <w:trHeight w:val="439"/>
        </w:trPr>
        <w:tc>
          <w:tcPr>
            <w:tcW w:w="1140" w:type="dxa"/>
            <w:vAlign w:val="bottom"/>
          </w:tcPr>
          <w:p>
            <w:pPr>
              <w:jc w:val="right"/>
              <w:ind w:right="451"/>
              <w:spacing w:after="0"/>
              <w:rPr>
                <w:sz w:val="20"/>
                <w:szCs w:val="20"/>
                <w:color w:val="auto"/>
              </w:rPr>
            </w:pPr>
            <w:r>
              <w:rPr>
                <w:rFonts w:ascii="Times New Roman" w:cs="Times New Roman" w:eastAsia="Times New Roman" w:hAnsi="Times New Roman"/>
                <w:sz w:val="18"/>
                <w:szCs w:val="18"/>
                <w:color w:val="auto"/>
              </w:rPr>
              <w:t>97.1**</w:t>
            </w:r>
          </w:p>
        </w:tc>
        <w:tc>
          <w:tcPr>
            <w:tcW w:w="120" w:type="dxa"/>
            <w:vAlign w:val="bottom"/>
          </w:tcPr>
          <w:p>
            <w:pPr>
              <w:spacing w:after="0"/>
              <w:rPr>
                <w:sz w:val="24"/>
                <w:szCs w:val="24"/>
                <w:color w:val="auto"/>
              </w:rPr>
            </w:pPr>
          </w:p>
        </w:tc>
        <w:tc>
          <w:tcPr>
            <w:tcW w:w="3660" w:type="dxa"/>
            <w:vAlign w:val="bottom"/>
            <w:tcBorders>
              <w:top w:val="single" w:sz="8" w:color="0000FF"/>
              <w:bottom w:val="single" w:sz="8" w:color="0000EE"/>
            </w:tcBorders>
            <w:gridSpan w:val="11"/>
          </w:tcPr>
          <w:p>
            <w:pPr>
              <w:spacing w:after="0"/>
              <w:rPr>
                <w:sz w:val="20"/>
                <w:szCs w:val="20"/>
                <w:color w:val="auto"/>
              </w:rPr>
            </w:pPr>
            <w:r>
              <w:rPr>
                <w:rFonts w:ascii="Times New Roman" w:cs="Times New Roman" w:eastAsia="Times New Roman" w:hAnsi="Times New Roman"/>
                <w:sz w:val="18"/>
                <w:szCs w:val="18"/>
                <w:color w:val="0000FF"/>
              </w:rPr>
              <w:t>Policy of Recoupment of Incentive Compensation</w:t>
            </w:r>
          </w:p>
        </w:tc>
        <w:tc>
          <w:tcPr>
            <w:tcW w:w="5580" w:type="dxa"/>
            <w:vAlign w:val="bottom"/>
            <w:tcBorders>
              <w:top w:val="single" w:sz="8" w:color="0000FF"/>
            </w:tcBorders>
            <w:gridSpan w:val="14"/>
          </w:tcPr>
          <w:p>
            <w:pPr>
              <w:spacing w:after="0"/>
              <w:rPr>
                <w:sz w:val="24"/>
                <w:szCs w:val="24"/>
                <w:color w:val="auto"/>
              </w:rPr>
            </w:pPr>
          </w:p>
        </w:tc>
        <w:tc>
          <w:tcPr>
            <w:tcW w:w="74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682"/>
        </w:trPr>
        <w:tc>
          <w:tcPr>
            <w:tcW w:w="1140" w:type="dxa"/>
            <w:vAlign w:val="bottom"/>
          </w:tcPr>
          <w:p>
            <w:pPr>
              <w:spacing w:after="0"/>
              <w:rPr>
                <w:sz w:val="24"/>
                <w:szCs w:val="24"/>
                <w:color w:val="auto"/>
              </w:rPr>
            </w:pPr>
          </w:p>
        </w:tc>
        <w:tc>
          <w:tcPr>
            <w:tcW w:w="5720" w:type="dxa"/>
            <w:vAlign w:val="bottom"/>
            <w:gridSpan w:val="14"/>
          </w:tcPr>
          <w:p>
            <w:pPr>
              <w:jc w:val="right"/>
              <w:ind w:right="1100"/>
              <w:spacing w:after="0"/>
              <w:rPr>
                <w:sz w:val="20"/>
                <w:szCs w:val="20"/>
                <w:color w:val="auto"/>
              </w:rPr>
            </w:pPr>
            <w:r>
              <w:rPr>
                <w:rFonts w:ascii="Times New Roman" w:cs="Times New Roman" w:eastAsia="Times New Roman" w:hAnsi="Times New Roman"/>
                <w:sz w:val="18"/>
                <w:szCs w:val="18"/>
                <w:color w:val="auto"/>
              </w:rPr>
              <w:t>101</w:t>
            </w:r>
          </w:p>
        </w:tc>
        <w:tc>
          <w:tcPr>
            <w:tcW w:w="3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11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7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7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101" w:name="page102"/>
    <w:bookmarkEnd w:id="101"/>
    <w:p>
      <w:pPr>
        <w:ind w:left="20"/>
        <w:spacing w:after="0"/>
        <w:rPr>
          <w:sz w:val="20"/>
          <w:szCs w:val="20"/>
          <w:color w:val="auto"/>
        </w:rPr>
      </w:pPr>
      <w:r>
        <w:rPr>
          <w:rFonts w:ascii="Times New Roman" w:cs="Times New Roman" w:eastAsia="Times New Roman" w:hAnsi="Times New Roman"/>
          <w:sz w:val="18"/>
          <w:szCs w:val="18"/>
          <w:color w:val="auto"/>
        </w:rPr>
        <w:t>101.INS**</w:t>
      </w:r>
    </w:p>
    <w:p>
      <w:pPr>
        <w:spacing w:after="0" w:line="37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101.SCH**</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Inline XBRL Instance Document – the instance document does not appear in the Interactive Data File because XBRL tags are embedded</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within the Inline XBRL document</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p>
      <w:pPr>
        <w:spacing w:after="0" w:line="200" w:lineRule="exact"/>
        <w:rPr>
          <w:sz w:val="20"/>
          <w:szCs w:val="20"/>
          <w:color w:val="auto"/>
        </w:rPr>
      </w:pPr>
    </w:p>
    <w:p>
      <w:pPr>
        <w:sectPr>
          <w:pgSz w:w="11900" w:h="16838" w:orient="portrait"/>
          <w:cols w:equalWidth="0" w:num="2">
            <w:col w:w="860" w:space="400"/>
            <w:col w:w="9980"/>
          </w:cols>
          <w:pgMar w:left="320" w:top="1120" w:right="339" w:bottom="1440" w:gutter="0" w:footer="0" w:header="0"/>
        </w:sectPr>
      </w:pPr>
    </w:p>
    <w:p>
      <w:pPr>
        <w:spacing w:after="0" w:line="5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101.CAL**</w:t>
      </w:r>
    </w:p>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Inline XBRL Taxonomy Extension Calculation Linkbase Document</w:t>
      </w:r>
    </w:p>
    <w:p>
      <w:pPr>
        <w:spacing w:after="0" w:line="211" w:lineRule="exact"/>
        <w:rPr>
          <w:sz w:val="20"/>
          <w:szCs w:val="20"/>
          <w:color w:val="auto"/>
        </w:rPr>
      </w:pPr>
    </w:p>
    <w:p>
      <w:pPr>
        <w:sectPr>
          <w:pgSz w:w="11900" w:h="16838" w:orient="portrait"/>
          <w:cols w:equalWidth="0" w:num="2">
            <w:col w:w="880" w:space="380"/>
            <w:col w:w="9980"/>
          </w:cols>
          <w:pgMar w:left="320" w:top="1120" w:right="339" w:bottom="1440" w:gutter="0" w:footer="0" w:header="0"/>
          <w:type w:val="continuous"/>
        </w:sectPr>
      </w:pPr>
    </w:p>
    <w:p>
      <w:pPr>
        <w:spacing w:after="0" w:line="5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101.DEF**</w:t>
      </w:r>
    </w:p>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Inline XBRL Taxonomy Extension Definition Linkbase Document</w:t>
      </w:r>
    </w:p>
    <w:p>
      <w:pPr>
        <w:spacing w:after="0" w:line="211" w:lineRule="exact"/>
        <w:rPr>
          <w:sz w:val="20"/>
          <w:szCs w:val="20"/>
          <w:color w:val="auto"/>
        </w:rPr>
      </w:pPr>
    </w:p>
    <w:p>
      <w:pPr>
        <w:sectPr>
          <w:pgSz w:w="11900" w:h="16838" w:orient="portrait"/>
          <w:cols w:equalWidth="0" w:num="2">
            <w:col w:w="860" w:space="400"/>
            <w:col w:w="9980"/>
          </w:cols>
          <w:pgMar w:left="320" w:top="1120" w:right="339" w:bottom="1440" w:gutter="0" w:footer="0" w:header="0"/>
          <w:type w:val="continuous"/>
        </w:sectPr>
      </w:pPr>
    </w:p>
    <w:p>
      <w:pPr>
        <w:spacing w:after="0" w:line="5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101.LAB**</w:t>
      </w:r>
    </w:p>
    <w:p>
      <w:pPr>
        <w:spacing w:after="0" w:line="1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101.PRE**</w:t>
      </w:r>
    </w:p>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Inline XBRL Taxonomy Extension Presentation Linkbase Document</w:t>
      </w:r>
    </w:p>
    <w:p>
      <w:pPr>
        <w:spacing w:after="0" w:line="211" w:lineRule="exact"/>
        <w:rPr>
          <w:sz w:val="20"/>
          <w:szCs w:val="20"/>
          <w:color w:val="auto"/>
        </w:rPr>
      </w:pPr>
    </w:p>
    <w:p>
      <w:pPr>
        <w:sectPr>
          <w:pgSz w:w="11900" w:h="16838" w:orient="portrait"/>
          <w:cols w:equalWidth="0" w:num="2">
            <w:col w:w="880" w:space="380"/>
            <w:col w:w="9980"/>
          </w:cols>
          <w:pgMar w:left="320" w:top="1120" w:right="339" w:bottom="1440" w:gutter="0" w:footer="0" w:header="0"/>
          <w:type w:val="continuous"/>
        </w:sectPr>
      </w:pPr>
    </w:p>
    <w:p>
      <w:pPr>
        <w:spacing w:after="0" w:line="39" w:lineRule="exact"/>
        <w:rPr>
          <w:sz w:val="20"/>
          <w:szCs w:val="20"/>
          <w:color w:val="auto"/>
        </w:rPr>
      </w:pPr>
    </w:p>
    <w:p>
      <w:pPr>
        <w:ind w:left="1260" w:right="520" w:hanging="1239"/>
        <w:spacing w:after="0" w:line="282" w:lineRule="auto"/>
        <w:tabs>
          <w:tab w:leader="none" w:pos="126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with applicable taxonomy extension information contained in Exhibits 101.*)</w:t>
      </w:r>
    </w:p>
    <w:p>
      <w:pPr>
        <w:spacing w:after="0" w:line="215" w:lineRule="exact"/>
        <w:rPr>
          <w:rFonts w:ascii="Times New Roman" w:cs="Times New Roman" w:eastAsia="Times New Roman" w:hAnsi="Times New Roman"/>
          <w:sz w:val="18"/>
          <w:szCs w:val="18"/>
          <w:color w:val="auto"/>
        </w:rPr>
      </w:pPr>
    </w:p>
    <w:p>
      <w:pPr>
        <w:ind w:left="360" w:hanging="352"/>
        <w:spacing w:after="0"/>
        <w:tabs>
          <w:tab w:leader="none" w:pos="3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a management contract or compensatory plan.</w:t>
      </w:r>
    </w:p>
    <w:p>
      <w:pPr>
        <w:spacing w:after="0" w:line="117"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color w:val="auto"/>
        </w:rPr>
        <w:t>**</w:t>
        <w:tab/>
        <w:t>Filed herewith.</w:t>
      </w:r>
    </w:p>
    <w:p>
      <w:pPr>
        <w:spacing w:after="0" w:line="117" w:lineRule="exact"/>
        <w:rPr>
          <w:sz w:val="20"/>
          <w:szCs w:val="20"/>
          <w:color w:val="auto"/>
        </w:rPr>
      </w:pPr>
    </w:p>
    <w:p>
      <w:pPr>
        <w:ind w:left="520" w:right="120" w:hanging="512"/>
        <w:spacing w:after="0" w:line="261" w:lineRule="auto"/>
        <w:tabs>
          <w:tab w:leader="none" w:pos="371"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certifications furnished in Exhibit 32.1 hereto are deemed to accompany this Annual Report on Form 10-K and will not be deemed “filed” for purposes of Section 18 of the Securities Exchange Act of 1934, as amended. Such certifications will not be deemed to be incorporated by reference into any filings under the Securities Act of 1933, as amended, or the Securities Exchange Act of 1934, as amended, except to the extent that the Registrant specifically incorporates any of them by reference.</w:t>
      </w:r>
    </w:p>
    <w:p>
      <w:pPr>
        <w:spacing w:after="0" w:line="71" w:lineRule="exact"/>
        <w:rPr>
          <w:rFonts w:ascii="Times New Roman" w:cs="Times New Roman" w:eastAsia="Times New Roman" w:hAnsi="Times New Roman"/>
          <w:sz w:val="18"/>
          <w:szCs w:val="18"/>
          <w:color w:val="auto"/>
        </w:rPr>
      </w:pPr>
    </w:p>
    <w:p>
      <w:pPr>
        <w:ind w:left="360" w:hanging="352"/>
        <w:spacing w:after="0"/>
        <w:tabs>
          <w:tab w:leader="none" w:pos="36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Exhibit 3.1 to HubSpot, Inc.’s Annual Report on Form 10-K filed on February 24, 2016.</w:t>
      </w:r>
    </w:p>
    <w:p>
      <w:pPr>
        <w:spacing w:after="0" w:line="117" w:lineRule="exact"/>
        <w:rPr>
          <w:rFonts w:ascii="Times New Roman" w:cs="Times New Roman" w:eastAsia="Times New Roman" w:hAnsi="Times New Roman"/>
          <w:sz w:val="18"/>
          <w:szCs w:val="18"/>
          <w:color w:val="auto"/>
        </w:rPr>
      </w:pPr>
    </w:p>
    <w:p>
      <w:pPr>
        <w:ind w:left="360" w:hanging="352"/>
        <w:spacing w:after="0"/>
        <w:tabs>
          <w:tab w:leader="none" w:pos="36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Exhibit 3.1 to HubSpot, Inc.’s Current Report on Form 8-K filed with the SEC on January 27, 2023.</w:t>
      </w:r>
    </w:p>
    <w:p>
      <w:pPr>
        <w:spacing w:after="0" w:line="117" w:lineRule="exact"/>
        <w:rPr>
          <w:rFonts w:ascii="Times New Roman" w:cs="Times New Roman" w:eastAsia="Times New Roman" w:hAnsi="Times New Roman"/>
          <w:sz w:val="18"/>
          <w:szCs w:val="18"/>
          <w:color w:val="auto"/>
        </w:rPr>
      </w:pPr>
    </w:p>
    <w:p>
      <w:pPr>
        <w:ind w:firstLine="8"/>
        <w:spacing w:after="0" w:line="282" w:lineRule="auto"/>
        <w:tabs>
          <w:tab w:leader="none" w:pos="36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Exhibit 4.1 to HubSpot, Inc.’s Amendment No. 1 to Registration Statement on Form S-1 (SEC File No. 333-198333) filed on September 26, 2014.</w:t>
      </w:r>
    </w:p>
    <w:p>
      <w:pPr>
        <w:spacing w:after="0" w:line="53" w:lineRule="exact"/>
        <w:rPr>
          <w:rFonts w:ascii="Times New Roman" w:cs="Times New Roman" w:eastAsia="Times New Roman" w:hAnsi="Times New Roman"/>
          <w:sz w:val="18"/>
          <w:szCs w:val="18"/>
          <w:color w:val="auto"/>
        </w:rPr>
      </w:pPr>
    </w:p>
    <w:p>
      <w:pPr>
        <w:ind w:left="360" w:hanging="352"/>
        <w:spacing w:after="0"/>
        <w:tabs>
          <w:tab w:leader="none" w:pos="36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Exhibit 4.1 to HubSpot, Inc.’s Current Report on Form 8-K filed on June 5, 2020.</w:t>
      </w:r>
    </w:p>
    <w:p>
      <w:pPr>
        <w:spacing w:after="0" w:line="117" w:lineRule="exact"/>
        <w:rPr>
          <w:rFonts w:ascii="Times New Roman" w:cs="Times New Roman" w:eastAsia="Times New Roman" w:hAnsi="Times New Roman"/>
          <w:sz w:val="18"/>
          <w:szCs w:val="18"/>
          <w:color w:val="auto"/>
        </w:rPr>
      </w:pPr>
    </w:p>
    <w:p>
      <w:pPr>
        <w:ind w:left="360" w:hanging="352"/>
        <w:spacing w:after="0"/>
        <w:tabs>
          <w:tab w:leader="none" w:pos="36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Exhibit 4.5 to HubSpot, Inc.’s Annual Report on Form 10-K filed on February 12, 2020.</w:t>
      </w:r>
    </w:p>
    <w:p>
      <w:pPr>
        <w:spacing w:after="0" w:line="117" w:lineRule="exact"/>
        <w:rPr>
          <w:rFonts w:ascii="Times New Roman" w:cs="Times New Roman" w:eastAsia="Times New Roman" w:hAnsi="Times New Roman"/>
          <w:sz w:val="18"/>
          <w:szCs w:val="18"/>
          <w:color w:val="auto"/>
        </w:rPr>
      </w:pPr>
    </w:p>
    <w:p>
      <w:pPr>
        <w:ind w:left="360" w:hanging="352"/>
        <w:spacing w:after="0"/>
        <w:tabs>
          <w:tab w:leader="none" w:pos="36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Exhibit 10.4 to HubSpot, Inc.’s Annual Report on Form 10-K filed on February 16, 2023.</w:t>
      </w:r>
    </w:p>
    <w:p>
      <w:pPr>
        <w:spacing w:after="0" w:line="117" w:lineRule="exact"/>
        <w:rPr>
          <w:rFonts w:ascii="Times New Roman" w:cs="Times New Roman" w:eastAsia="Times New Roman" w:hAnsi="Times New Roman"/>
          <w:sz w:val="18"/>
          <w:szCs w:val="18"/>
          <w:color w:val="auto"/>
        </w:rPr>
      </w:pPr>
    </w:p>
    <w:p>
      <w:pPr>
        <w:ind w:left="360" w:hanging="352"/>
        <w:spacing w:after="0"/>
        <w:tabs>
          <w:tab w:leader="none" w:pos="36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Exhibit 10.5 to HubSpot, Inc.’s Annual Report on Form 10-K filed on February 12, 2020.</w:t>
      </w:r>
    </w:p>
    <w:p>
      <w:pPr>
        <w:spacing w:after="0" w:line="117" w:lineRule="exact"/>
        <w:rPr>
          <w:rFonts w:ascii="Times New Roman" w:cs="Times New Roman" w:eastAsia="Times New Roman" w:hAnsi="Times New Roman"/>
          <w:sz w:val="18"/>
          <w:szCs w:val="18"/>
          <w:color w:val="auto"/>
        </w:rPr>
      </w:pPr>
    </w:p>
    <w:p>
      <w:pPr>
        <w:ind w:right="420" w:firstLine="8"/>
        <w:spacing w:after="0" w:line="282" w:lineRule="auto"/>
        <w:tabs>
          <w:tab w:leader="none" w:pos="36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Exhibit 10.4 to HubSpot, Inc.’s Registration Statement on Form S-1 (SEC File No. 333-198333) filed on August 25, 2014.</w:t>
      </w:r>
    </w:p>
    <w:p>
      <w:pPr>
        <w:spacing w:after="0" w:line="53" w:lineRule="exact"/>
        <w:rPr>
          <w:rFonts w:ascii="Times New Roman" w:cs="Times New Roman" w:eastAsia="Times New Roman" w:hAnsi="Times New Roman"/>
          <w:sz w:val="18"/>
          <w:szCs w:val="18"/>
          <w:color w:val="auto"/>
        </w:rPr>
      </w:pPr>
    </w:p>
    <w:p>
      <w:pPr>
        <w:ind w:right="420" w:firstLine="8"/>
        <w:spacing w:after="0" w:line="282" w:lineRule="auto"/>
        <w:tabs>
          <w:tab w:leader="none" w:pos="36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Exhibit 10.5 to HubSpot, Inc.’s Registration Statement on Form S-1 (SEC File No. 333-198333) filed on August 25, 2014.</w:t>
      </w:r>
    </w:p>
    <w:p>
      <w:pPr>
        <w:spacing w:after="0" w:line="53" w:lineRule="exact"/>
        <w:rPr>
          <w:rFonts w:ascii="Times New Roman" w:cs="Times New Roman" w:eastAsia="Times New Roman" w:hAnsi="Times New Roman"/>
          <w:sz w:val="18"/>
          <w:szCs w:val="18"/>
          <w:color w:val="auto"/>
        </w:rPr>
      </w:pPr>
    </w:p>
    <w:p>
      <w:pPr>
        <w:ind w:left="360" w:hanging="352"/>
        <w:spacing w:after="0"/>
        <w:tabs>
          <w:tab w:leader="none" w:pos="36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Exhibit 10.4 to HubSpot, Inc.’s Annual Report on Form 10-K filed on February 16, 2023.</w:t>
      </w:r>
    </w:p>
    <w:p>
      <w:pPr>
        <w:spacing w:after="0" w:line="117" w:lineRule="exact"/>
        <w:rPr>
          <w:rFonts w:ascii="Times New Roman" w:cs="Times New Roman" w:eastAsia="Times New Roman" w:hAnsi="Times New Roman"/>
          <w:sz w:val="18"/>
          <w:szCs w:val="18"/>
          <w:color w:val="auto"/>
        </w:rPr>
      </w:pPr>
    </w:p>
    <w:p>
      <w:pPr>
        <w:ind w:left="720" w:hanging="712"/>
        <w:spacing w:after="0"/>
        <w:tabs>
          <w:tab w:leader="none" w:pos="72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Exhibit 10.10 to HubSpot, Inc.’s Annual Report on Form 10-K filed on February 14, 2022.</w:t>
      </w:r>
    </w:p>
    <w:p>
      <w:pPr>
        <w:spacing w:after="0" w:line="117" w:lineRule="exact"/>
        <w:rPr>
          <w:rFonts w:ascii="Times New Roman" w:cs="Times New Roman" w:eastAsia="Times New Roman" w:hAnsi="Times New Roman"/>
          <w:sz w:val="18"/>
          <w:szCs w:val="18"/>
          <w:color w:val="auto"/>
        </w:rPr>
      </w:pPr>
    </w:p>
    <w:p>
      <w:pPr>
        <w:ind w:left="360" w:hanging="352"/>
        <w:spacing w:after="0"/>
        <w:tabs>
          <w:tab w:leader="none" w:pos="36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Exhibit 10.1 to HubSpot, Inc.’s Form 8-K filed on May 10, 2017.</w:t>
      </w:r>
    </w:p>
    <w:p>
      <w:pPr>
        <w:spacing w:after="0" w:line="117" w:lineRule="exact"/>
        <w:rPr>
          <w:rFonts w:ascii="Times New Roman" w:cs="Times New Roman" w:eastAsia="Times New Roman" w:hAnsi="Times New Roman"/>
          <w:sz w:val="18"/>
          <w:szCs w:val="18"/>
          <w:color w:val="auto"/>
        </w:rPr>
      </w:pPr>
    </w:p>
    <w:p>
      <w:pPr>
        <w:ind w:left="360" w:hanging="352"/>
        <w:spacing w:after="0"/>
        <w:tabs>
          <w:tab w:leader="none" w:pos="36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Exhibit 10.2 to HubSpot, Inc.’s Form 8-K filed on May 10, 2017.</w:t>
      </w:r>
    </w:p>
    <w:p>
      <w:pPr>
        <w:spacing w:after="0" w:line="117" w:lineRule="exact"/>
        <w:rPr>
          <w:rFonts w:ascii="Times New Roman" w:cs="Times New Roman" w:eastAsia="Times New Roman" w:hAnsi="Times New Roman"/>
          <w:sz w:val="18"/>
          <w:szCs w:val="18"/>
          <w:color w:val="auto"/>
        </w:rPr>
      </w:pPr>
    </w:p>
    <w:p>
      <w:pPr>
        <w:ind w:left="720" w:hanging="712"/>
        <w:spacing w:after="0"/>
        <w:tabs>
          <w:tab w:leader="none" w:pos="72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Exhibit 10.13 to HubSpot, Inc.’s Annual Report on Form 10-K filed on February 14, 2022.</w:t>
      </w:r>
    </w:p>
    <w:p>
      <w:pPr>
        <w:spacing w:after="0" w:line="117" w:lineRule="exact"/>
        <w:rPr>
          <w:rFonts w:ascii="Times New Roman" w:cs="Times New Roman" w:eastAsia="Times New Roman" w:hAnsi="Times New Roman"/>
          <w:sz w:val="18"/>
          <w:szCs w:val="18"/>
          <w:color w:val="auto"/>
        </w:rPr>
      </w:pPr>
    </w:p>
    <w:p>
      <w:pPr>
        <w:ind w:left="360" w:hanging="352"/>
        <w:spacing w:after="0"/>
        <w:tabs>
          <w:tab w:leader="none" w:pos="36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Exhibit 10.1 to HubSpot, Inc.’s Current Report on Form 8-K filed on June 5, 2020.</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type w:val="continuous"/>
        </w:sectPr>
      </w:pPr>
    </w:p>
    <w:bookmarkStart w:id="102" w:name="page103"/>
    <w:bookmarkEnd w:id="10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 in the city of Cambridge, Commonwealth of Massachusetts, on the 14th day of February 2024.</w:t>
      </w:r>
    </w:p>
    <w:p>
      <w:pPr>
        <w:spacing w:after="0" w:line="171"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b w:val="1"/>
          <w:bCs w:val="1"/>
          <w:color w:val="auto"/>
        </w:rPr>
        <w:t>HUBSPOT, INC.</w:t>
      </w:r>
    </w:p>
    <w:p>
      <w:pPr>
        <w:spacing w:after="0" w:line="310" w:lineRule="exact"/>
        <w:rPr>
          <w:sz w:val="20"/>
          <w:szCs w:val="20"/>
          <w:color w:val="auto"/>
        </w:rPr>
      </w:pPr>
    </w:p>
    <w:p>
      <w:pPr>
        <w:ind w:left="6780"/>
        <w:spacing w:after="0"/>
        <w:tabs>
          <w:tab w:leader="none" w:pos="7220" w:val="left"/>
        </w:tabs>
        <w:rPr>
          <w:sz w:val="20"/>
          <w:szCs w:val="20"/>
          <w:color w:val="auto"/>
        </w:rPr>
      </w:pPr>
      <w:r>
        <w:rPr>
          <w:rFonts w:ascii="Times New Roman" w:cs="Times New Roman" w:eastAsia="Times New Roman" w:hAnsi="Times New Roman"/>
          <w:sz w:val="18"/>
          <w:szCs w:val="18"/>
          <w:color w:val="auto"/>
        </w:rPr>
        <w:t>By:</w:t>
        <w:tab/>
        <w:t>/s/ Yamini Rangan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26035</wp:posOffset>
            </wp:positionV>
            <wp:extent cx="2554605" cy="825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79">
                      <a:extLst>
                        <a:ext uri="{28A0092B-C50C-407E-A947-70E740481C1C}"/>
                      </a:extLst>
                    </a:blip>
                    <a:srcRect/>
                    <a:stretch>
                      <a:fillRect/>
                    </a:stretch>
                  </pic:blipFill>
                  <pic:spPr bwMode="auto">
                    <a:xfrm>
                      <a:off x="0" y="0"/>
                      <a:ext cx="2554605" cy="8255"/>
                    </a:xfrm>
                    <a:prstGeom prst="rect">
                      <a:avLst/>
                    </a:prstGeom>
                    <a:noFill/>
                  </pic:spPr>
                </pic:pic>
              </a:graphicData>
            </a:graphic>
          </wp:anchor>
        </w:drawing>
      </w:r>
    </w:p>
    <w:p>
      <w:pPr>
        <w:spacing w:after="0" w:line="30"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8"/>
          <w:szCs w:val="18"/>
          <w:color w:val="auto"/>
        </w:rPr>
        <w:t>Yamini Rangan</w:t>
      </w:r>
    </w:p>
    <w:p>
      <w:pPr>
        <w:spacing w:after="0" w:line="304"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8"/>
          <w:szCs w:val="18"/>
          <w:i w:val="1"/>
          <w:iCs w:val="1"/>
          <w:color w:val="auto"/>
        </w:rPr>
        <w:t>Chief Executive Officer</w:t>
      </w: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103" w:name="page104"/>
    <w:bookmarkEnd w:id="103"/>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9" w:lineRule="exact"/>
        <w:rPr>
          <w:sz w:val="20"/>
          <w:szCs w:val="20"/>
          <w:color w:val="auto"/>
        </w:rPr>
      </w:pPr>
    </w:p>
    <w:p>
      <w:pPr>
        <w:ind w:right="80" w:firstLine="509"/>
        <w:spacing w:after="0" w:line="255" w:lineRule="auto"/>
        <w:rPr>
          <w:sz w:val="20"/>
          <w:szCs w:val="20"/>
          <w:color w:val="auto"/>
        </w:rPr>
      </w:pPr>
      <w:r>
        <w:rPr>
          <w:rFonts w:ascii="Times New Roman" w:cs="Times New Roman" w:eastAsia="Times New Roman" w:hAnsi="Times New Roman"/>
          <w:sz w:val="18"/>
          <w:szCs w:val="18"/>
          <w:color w:val="auto"/>
        </w:rPr>
        <w:t>We, the undersigned directors and officers of HubSpot, Inc. (the “Company”), hereby and severally constitute and appoint Yamini Rangan, Kate Bueker, and Alyssa Harvey Dawson and each of them singly, our true and lawful attorneys, with full power to them, and each of them singly, to sign for us and in our names in the capacities indicated below, and to file any and all amendments to this Annual Report on Form 10-K,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to all intents and purposes as each of us might or could do in person and hereby ratifying and confirming all that said attorneys and each of them, or their substitutes, shall do or cause to be done by virtue of this Power of Attorney.</w:t>
      </w:r>
    </w:p>
    <w:p>
      <w:pPr>
        <w:spacing w:after="0" w:line="189" w:lineRule="exact"/>
        <w:rPr>
          <w:sz w:val="20"/>
          <w:szCs w:val="20"/>
          <w:color w:val="auto"/>
        </w:rPr>
      </w:pPr>
    </w:p>
    <w:p>
      <w:pPr>
        <w:ind w:right="280"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500" w:type="dxa"/>
            <w:vAlign w:val="bottom"/>
            <w:tcBorders>
              <w:bottom w:val="single" w:sz="8" w:color="auto"/>
            </w:tcBorders>
          </w:tcPr>
          <w:p>
            <w:pPr>
              <w:ind w:left="1960"/>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120" w:type="dxa"/>
            <w:vAlign w:val="bottom"/>
          </w:tcPr>
          <w:p>
            <w:pPr>
              <w:spacing w:after="0"/>
              <w:rPr>
                <w:sz w:val="16"/>
                <w:szCs w:val="16"/>
                <w:color w:val="auto"/>
              </w:rPr>
            </w:pPr>
          </w:p>
        </w:tc>
        <w:tc>
          <w:tcPr>
            <w:tcW w:w="4840" w:type="dxa"/>
            <w:vAlign w:val="bottom"/>
            <w:tcBorders>
              <w:bottom w:val="single" w:sz="8" w:color="auto"/>
            </w:tcBorders>
          </w:tcPr>
          <w:p>
            <w:pPr>
              <w:ind w:left="2280"/>
              <w:spacing w:after="0"/>
              <w:rPr>
                <w:sz w:val="20"/>
                <w:szCs w:val="20"/>
                <w:color w:val="auto"/>
              </w:rPr>
            </w:pPr>
            <w:r>
              <w:rPr>
                <w:rFonts w:ascii="Times New Roman" w:cs="Times New Roman" w:eastAsia="Times New Roman" w:hAnsi="Times New Roman"/>
                <w:sz w:val="14"/>
                <w:szCs w:val="14"/>
                <w:b w:val="1"/>
                <w:bCs w:val="1"/>
                <w:color w:val="auto"/>
              </w:rPr>
              <w:t>Title</w:t>
            </w:r>
          </w:p>
        </w:tc>
        <w:tc>
          <w:tcPr>
            <w:tcW w:w="100" w:type="dxa"/>
            <w:vAlign w:val="bottom"/>
          </w:tcPr>
          <w:p>
            <w:pPr>
              <w:spacing w:after="0"/>
              <w:rPr>
                <w:sz w:val="16"/>
                <w:szCs w:val="16"/>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r>
      <w:tr>
        <w:trPr>
          <w:trHeight w:val="378"/>
        </w:trPr>
        <w:tc>
          <w:tcPr>
            <w:tcW w:w="4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Yamini Rangan</w:t>
            </w:r>
          </w:p>
        </w:tc>
        <w:tc>
          <w:tcPr>
            <w:tcW w:w="120" w:type="dxa"/>
            <w:vAlign w:val="bottom"/>
          </w:tcPr>
          <w:p>
            <w:pPr>
              <w:spacing w:after="0"/>
              <w:rPr>
                <w:sz w:val="24"/>
                <w:szCs w:val="24"/>
                <w:color w:val="auto"/>
              </w:rPr>
            </w:pPr>
          </w:p>
        </w:tc>
        <w:tc>
          <w:tcPr>
            <w:tcW w:w="4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c>
          <w:tcPr>
            <w:tcW w:w="100" w:type="dxa"/>
            <w:vAlign w:val="bottom"/>
          </w:tcPr>
          <w:p>
            <w:pPr>
              <w:spacing w:after="0"/>
              <w:rPr>
                <w:sz w:val="24"/>
                <w:szCs w:val="24"/>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14, 2024</w:t>
            </w:r>
          </w:p>
        </w:tc>
      </w:tr>
      <w:tr>
        <w:trPr>
          <w:trHeight w:val="234"/>
        </w:trPr>
        <w:tc>
          <w:tcPr>
            <w:tcW w:w="4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Yamini Rangan</w:t>
            </w:r>
          </w:p>
        </w:tc>
        <w:tc>
          <w:tcPr>
            <w:tcW w:w="120" w:type="dxa"/>
            <w:vAlign w:val="bottom"/>
          </w:tcPr>
          <w:p>
            <w:pPr>
              <w:spacing w:after="0"/>
              <w:rPr>
                <w:sz w:val="20"/>
                <w:szCs w:val="20"/>
                <w:color w:val="auto"/>
              </w:rPr>
            </w:pPr>
          </w:p>
        </w:tc>
        <w:tc>
          <w:tcPr>
            <w:tcW w:w="484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tc>
        <w:tc>
          <w:tcPr>
            <w:tcW w:w="10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515"/>
        </w:trPr>
        <w:tc>
          <w:tcPr>
            <w:tcW w:w="4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Kate Bueker</w:t>
            </w:r>
          </w:p>
        </w:tc>
        <w:tc>
          <w:tcPr>
            <w:tcW w:w="120" w:type="dxa"/>
            <w:vAlign w:val="bottom"/>
          </w:tcPr>
          <w:p>
            <w:pPr>
              <w:spacing w:after="0"/>
              <w:rPr>
                <w:sz w:val="24"/>
                <w:szCs w:val="24"/>
                <w:color w:val="auto"/>
              </w:rPr>
            </w:pPr>
          </w:p>
        </w:tc>
        <w:tc>
          <w:tcPr>
            <w:tcW w:w="4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c>
          <w:tcPr>
            <w:tcW w:w="100" w:type="dxa"/>
            <w:vAlign w:val="bottom"/>
          </w:tcPr>
          <w:p>
            <w:pPr>
              <w:spacing w:after="0"/>
              <w:rPr>
                <w:sz w:val="24"/>
                <w:szCs w:val="24"/>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14, 2024</w:t>
            </w:r>
          </w:p>
        </w:tc>
      </w:tr>
      <w:tr>
        <w:trPr>
          <w:trHeight w:val="234"/>
        </w:trPr>
        <w:tc>
          <w:tcPr>
            <w:tcW w:w="4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Kate Bueker</w:t>
            </w:r>
          </w:p>
        </w:tc>
        <w:tc>
          <w:tcPr>
            <w:tcW w:w="120" w:type="dxa"/>
            <w:vAlign w:val="bottom"/>
          </w:tcPr>
          <w:p>
            <w:pPr>
              <w:spacing w:after="0"/>
              <w:rPr>
                <w:sz w:val="20"/>
                <w:szCs w:val="20"/>
                <w:color w:val="auto"/>
              </w:rPr>
            </w:pPr>
          </w:p>
        </w:tc>
        <w:tc>
          <w:tcPr>
            <w:tcW w:w="484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(Principal Financial and Accounting Officer)</w:t>
            </w:r>
          </w:p>
        </w:tc>
        <w:tc>
          <w:tcPr>
            <w:tcW w:w="10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515"/>
        </w:trPr>
        <w:tc>
          <w:tcPr>
            <w:tcW w:w="4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Brian Halligan</w:t>
            </w:r>
          </w:p>
        </w:tc>
        <w:tc>
          <w:tcPr>
            <w:tcW w:w="4960" w:type="dxa"/>
            <w:vAlign w:val="bottom"/>
            <w:gridSpan w:val="2"/>
          </w:tcPr>
          <w:p>
            <w:pPr>
              <w:jc w:val="right"/>
              <w:ind w:right="3111"/>
              <w:spacing w:after="0"/>
              <w:rPr>
                <w:sz w:val="20"/>
                <w:szCs w:val="20"/>
                <w:color w:val="auto"/>
              </w:rPr>
            </w:pPr>
            <w:r>
              <w:rPr>
                <w:rFonts w:ascii="Times New Roman" w:cs="Times New Roman" w:eastAsia="Times New Roman" w:hAnsi="Times New Roman"/>
                <w:sz w:val="18"/>
                <w:szCs w:val="18"/>
                <w:color w:val="auto"/>
              </w:rPr>
              <w:t>Executive Chairperson</w:t>
            </w:r>
          </w:p>
        </w:tc>
        <w:tc>
          <w:tcPr>
            <w:tcW w:w="100" w:type="dxa"/>
            <w:vAlign w:val="bottom"/>
          </w:tcPr>
          <w:p>
            <w:pPr>
              <w:spacing w:after="0"/>
              <w:rPr>
                <w:sz w:val="24"/>
                <w:szCs w:val="24"/>
                <w:color w:val="auto"/>
              </w:rPr>
            </w:pPr>
          </w:p>
        </w:tc>
        <w:tc>
          <w:tcPr>
            <w:tcW w:w="1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February 14, 2024</w:t>
            </w:r>
          </w:p>
        </w:tc>
      </w:tr>
      <w:tr>
        <w:trPr>
          <w:trHeight w:val="243"/>
        </w:trPr>
        <w:tc>
          <w:tcPr>
            <w:tcW w:w="4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Brian Halligan</w:t>
            </w:r>
          </w:p>
        </w:tc>
        <w:tc>
          <w:tcPr>
            <w:tcW w:w="120" w:type="dxa"/>
            <w:vAlign w:val="bottom"/>
          </w:tcPr>
          <w:p>
            <w:pPr>
              <w:spacing w:after="0"/>
              <w:rPr>
                <w:sz w:val="21"/>
                <w:szCs w:val="21"/>
                <w:color w:val="auto"/>
              </w:rPr>
            </w:pPr>
          </w:p>
        </w:tc>
        <w:tc>
          <w:tcPr>
            <w:tcW w:w="4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80" w:type="dxa"/>
            <w:vAlign w:val="bottom"/>
          </w:tcPr>
          <w:p>
            <w:pPr>
              <w:spacing w:after="0"/>
              <w:rPr>
                <w:sz w:val="21"/>
                <w:szCs w:val="21"/>
                <w:color w:val="auto"/>
              </w:rPr>
            </w:pPr>
          </w:p>
        </w:tc>
      </w:tr>
      <w:tr>
        <w:trPr>
          <w:trHeight w:val="533"/>
        </w:trPr>
        <w:tc>
          <w:tcPr>
            <w:tcW w:w="4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Dharmesh Shah</w:t>
            </w:r>
          </w:p>
        </w:tc>
        <w:tc>
          <w:tcPr>
            <w:tcW w:w="120" w:type="dxa"/>
            <w:vAlign w:val="bottom"/>
          </w:tcPr>
          <w:p>
            <w:pPr>
              <w:spacing w:after="0"/>
              <w:rPr>
                <w:sz w:val="24"/>
                <w:szCs w:val="24"/>
                <w:color w:val="auto"/>
              </w:rPr>
            </w:pPr>
          </w:p>
        </w:tc>
        <w:tc>
          <w:tcPr>
            <w:tcW w:w="4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 and Chief Technology Officer</w:t>
            </w:r>
          </w:p>
        </w:tc>
        <w:tc>
          <w:tcPr>
            <w:tcW w:w="100" w:type="dxa"/>
            <w:vAlign w:val="bottom"/>
          </w:tcPr>
          <w:p>
            <w:pPr>
              <w:spacing w:after="0"/>
              <w:rPr>
                <w:sz w:val="24"/>
                <w:szCs w:val="24"/>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14, 2024</w:t>
            </w:r>
          </w:p>
        </w:tc>
      </w:tr>
      <w:tr>
        <w:trPr>
          <w:trHeight w:val="234"/>
        </w:trPr>
        <w:tc>
          <w:tcPr>
            <w:tcW w:w="4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Dharmesh Shah</w:t>
            </w:r>
          </w:p>
        </w:tc>
        <w:tc>
          <w:tcPr>
            <w:tcW w:w="120" w:type="dxa"/>
            <w:vAlign w:val="bottom"/>
          </w:tcPr>
          <w:p>
            <w:pPr>
              <w:spacing w:after="0"/>
              <w:rPr>
                <w:sz w:val="20"/>
                <w:szCs w:val="20"/>
                <w:color w:val="auto"/>
              </w:rPr>
            </w:pPr>
          </w:p>
        </w:tc>
        <w:tc>
          <w:tcPr>
            <w:tcW w:w="4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515"/>
        </w:trPr>
        <w:tc>
          <w:tcPr>
            <w:tcW w:w="4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Alyssa Harvey Dawson</w:t>
            </w:r>
          </w:p>
        </w:tc>
        <w:tc>
          <w:tcPr>
            <w:tcW w:w="120" w:type="dxa"/>
            <w:vAlign w:val="bottom"/>
          </w:tcPr>
          <w:p>
            <w:pPr>
              <w:spacing w:after="0"/>
              <w:rPr>
                <w:sz w:val="24"/>
                <w:szCs w:val="24"/>
                <w:color w:val="auto"/>
              </w:rPr>
            </w:pPr>
          </w:p>
        </w:tc>
        <w:tc>
          <w:tcPr>
            <w:tcW w:w="4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Legal Officer</w:t>
            </w:r>
          </w:p>
        </w:tc>
        <w:tc>
          <w:tcPr>
            <w:tcW w:w="100" w:type="dxa"/>
            <w:vAlign w:val="bottom"/>
          </w:tcPr>
          <w:p>
            <w:pPr>
              <w:spacing w:after="0"/>
              <w:rPr>
                <w:sz w:val="24"/>
                <w:szCs w:val="24"/>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14, 2024</w:t>
            </w:r>
          </w:p>
        </w:tc>
      </w:tr>
      <w:tr>
        <w:trPr>
          <w:trHeight w:val="234"/>
        </w:trPr>
        <w:tc>
          <w:tcPr>
            <w:tcW w:w="4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Alyssa Harvey Dawson</w:t>
            </w:r>
          </w:p>
        </w:tc>
        <w:tc>
          <w:tcPr>
            <w:tcW w:w="120" w:type="dxa"/>
            <w:vAlign w:val="bottom"/>
          </w:tcPr>
          <w:p>
            <w:pPr>
              <w:spacing w:after="0"/>
              <w:rPr>
                <w:sz w:val="20"/>
                <w:szCs w:val="20"/>
                <w:color w:val="auto"/>
              </w:rPr>
            </w:pPr>
          </w:p>
        </w:tc>
        <w:tc>
          <w:tcPr>
            <w:tcW w:w="4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488"/>
        </w:trPr>
        <w:tc>
          <w:tcPr>
            <w:tcW w:w="4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Nick Caldwell</w:t>
            </w:r>
          </w:p>
        </w:tc>
        <w:tc>
          <w:tcPr>
            <w:tcW w:w="120" w:type="dxa"/>
            <w:vAlign w:val="bottom"/>
          </w:tcPr>
          <w:p>
            <w:pPr>
              <w:spacing w:after="0"/>
              <w:rPr>
                <w:sz w:val="24"/>
                <w:szCs w:val="24"/>
                <w:color w:val="auto"/>
              </w:rPr>
            </w:pPr>
          </w:p>
        </w:tc>
        <w:tc>
          <w:tcPr>
            <w:tcW w:w="4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100" w:type="dxa"/>
            <w:vAlign w:val="bottom"/>
          </w:tcPr>
          <w:p>
            <w:pPr>
              <w:spacing w:after="0"/>
              <w:rPr>
                <w:sz w:val="24"/>
                <w:szCs w:val="24"/>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14, 2024</w:t>
            </w:r>
          </w:p>
        </w:tc>
      </w:tr>
      <w:tr>
        <w:trPr>
          <w:trHeight w:val="234"/>
        </w:trPr>
        <w:tc>
          <w:tcPr>
            <w:tcW w:w="4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Nick Caldwell</w:t>
            </w:r>
          </w:p>
        </w:tc>
        <w:tc>
          <w:tcPr>
            <w:tcW w:w="120" w:type="dxa"/>
            <w:vAlign w:val="bottom"/>
          </w:tcPr>
          <w:p>
            <w:pPr>
              <w:spacing w:after="0"/>
              <w:rPr>
                <w:sz w:val="20"/>
                <w:szCs w:val="20"/>
                <w:color w:val="auto"/>
              </w:rPr>
            </w:pPr>
          </w:p>
        </w:tc>
        <w:tc>
          <w:tcPr>
            <w:tcW w:w="4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488"/>
        </w:trPr>
        <w:tc>
          <w:tcPr>
            <w:tcW w:w="4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Ron Gill</w:t>
            </w:r>
          </w:p>
        </w:tc>
        <w:tc>
          <w:tcPr>
            <w:tcW w:w="120" w:type="dxa"/>
            <w:vAlign w:val="bottom"/>
            <w:tcBorders>
              <w:bottom w:val="single" w:sz="8" w:color="auto"/>
            </w:tcBorders>
          </w:tcPr>
          <w:p>
            <w:pPr>
              <w:spacing w:after="0"/>
              <w:rPr>
                <w:sz w:val="24"/>
                <w:szCs w:val="24"/>
                <w:color w:val="auto"/>
              </w:rPr>
            </w:pPr>
          </w:p>
        </w:tc>
        <w:tc>
          <w:tcPr>
            <w:tcW w:w="4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100" w:type="dxa"/>
            <w:vAlign w:val="bottom"/>
          </w:tcPr>
          <w:p>
            <w:pPr>
              <w:spacing w:after="0"/>
              <w:rPr>
                <w:sz w:val="24"/>
                <w:szCs w:val="24"/>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14, 2024</w:t>
            </w:r>
          </w:p>
        </w:tc>
      </w:tr>
      <w:tr>
        <w:trPr>
          <w:trHeight w:val="234"/>
        </w:trPr>
        <w:tc>
          <w:tcPr>
            <w:tcW w:w="4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Ron Gill</w:t>
            </w:r>
          </w:p>
        </w:tc>
        <w:tc>
          <w:tcPr>
            <w:tcW w:w="120" w:type="dxa"/>
            <w:vAlign w:val="bottom"/>
          </w:tcPr>
          <w:p>
            <w:pPr>
              <w:spacing w:after="0"/>
              <w:rPr>
                <w:sz w:val="20"/>
                <w:szCs w:val="20"/>
                <w:color w:val="auto"/>
              </w:rPr>
            </w:pPr>
          </w:p>
        </w:tc>
        <w:tc>
          <w:tcPr>
            <w:tcW w:w="4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515"/>
        </w:trPr>
        <w:tc>
          <w:tcPr>
            <w:tcW w:w="4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Claire Hughes Johnson</w:t>
            </w:r>
          </w:p>
        </w:tc>
        <w:tc>
          <w:tcPr>
            <w:tcW w:w="120" w:type="dxa"/>
            <w:vAlign w:val="bottom"/>
          </w:tcPr>
          <w:p>
            <w:pPr>
              <w:spacing w:after="0"/>
              <w:rPr>
                <w:sz w:val="24"/>
                <w:szCs w:val="24"/>
                <w:color w:val="auto"/>
              </w:rPr>
            </w:pPr>
          </w:p>
        </w:tc>
        <w:tc>
          <w:tcPr>
            <w:tcW w:w="4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100" w:type="dxa"/>
            <w:vAlign w:val="bottom"/>
          </w:tcPr>
          <w:p>
            <w:pPr>
              <w:spacing w:after="0"/>
              <w:rPr>
                <w:sz w:val="24"/>
                <w:szCs w:val="24"/>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14, 2024</w:t>
            </w:r>
          </w:p>
        </w:tc>
      </w:tr>
      <w:tr>
        <w:trPr>
          <w:trHeight w:val="234"/>
        </w:trPr>
        <w:tc>
          <w:tcPr>
            <w:tcW w:w="4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Claire Hughes Johnson</w:t>
            </w:r>
          </w:p>
        </w:tc>
        <w:tc>
          <w:tcPr>
            <w:tcW w:w="120" w:type="dxa"/>
            <w:vAlign w:val="bottom"/>
          </w:tcPr>
          <w:p>
            <w:pPr>
              <w:spacing w:after="0"/>
              <w:rPr>
                <w:sz w:val="20"/>
                <w:szCs w:val="20"/>
                <w:color w:val="auto"/>
              </w:rPr>
            </w:pPr>
          </w:p>
        </w:tc>
        <w:tc>
          <w:tcPr>
            <w:tcW w:w="4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515"/>
        </w:trPr>
        <w:tc>
          <w:tcPr>
            <w:tcW w:w="4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Lorrie Norrington</w:t>
            </w:r>
          </w:p>
        </w:tc>
        <w:tc>
          <w:tcPr>
            <w:tcW w:w="120" w:type="dxa"/>
            <w:vAlign w:val="bottom"/>
          </w:tcPr>
          <w:p>
            <w:pPr>
              <w:spacing w:after="0"/>
              <w:rPr>
                <w:sz w:val="24"/>
                <w:szCs w:val="24"/>
                <w:color w:val="auto"/>
              </w:rPr>
            </w:pPr>
          </w:p>
        </w:tc>
        <w:tc>
          <w:tcPr>
            <w:tcW w:w="4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100" w:type="dxa"/>
            <w:vAlign w:val="bottom"/>
          </w:tcPr>
          <w:p>
            <w:pPr>
              <w:spacing w:after="0"/>
              <w:rPr>
                <w:sz w:val="24"/>
                <w:szCs w:val="24"/>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14, 2024</w:t>
            </w:r>
          </w:p>
        </w:tc>
      </w:tr>
      <w:tr>
        <w:trPr>
          <w:trHeight w:val="234"/>
        </w:trPr>
        <w:tc>
          <w:tcPr>
            <w:tcW w:w="4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Lorrie Norrington</w:t>
            </w:r>
          </w:p>
        </w:tc>
        <w:tc>
          <w:tcPr>
            <w:tcW w:w="120" w:type="dxa"/>
            <w:vAlign w:val="bottom"/>
          </w:tcPr>
          <w:p>
            <w:pPr>
              <w:spacing w:after="0"/>
              <w:rPr>
                <w:sz w:val="20"/>
                <w:szCs w:val="20"/>
                <w:color w:val="auto"/>
              </w:rPr>
            </w:pPr>
          </w:p>
        </w:tc>
        <w:tc>
          <w:tcPr>
            <w:tcW w:w="4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488"/>
        </w:trPr>
        <w:tc>
          <w:tcPr>
            <w:tcW w:w="4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Andrew Anagnost</w:t>
            </w:r>
          </w:p>
        </w:tc>
        <w:tc>
          <w:tcPr>
            <w:tcW w:w="120" w:type="dxa"/>
            <w:vAlign w:val="bottom"/>
          </w:tcPr>
          <w:p>
            <w:pPr>
              <w:spacing w:after="0"/>
              <w:rPr>
                <w:sz w:val="24"/>
                <w:szCs w:val="24"/>
                <w:color w:val="auto"/>
              </w:rPr>
            </w:pPr>
          </w:p>
        </w:tc>
        <w:tc>
          <w:tcPr>
            <w:tcW w:w="4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100" w:type="dxa"/>
            <w:vAlign w:val="bottom"/>
          </w:tcPr>
          <w:p>
            <w:pPr>
              <w:spacing w:after="0"/>
              <w:rPr>
                <w:sz w:val="24"/>
                <w:szCs w:val="24"/>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14, 2024</w:t>
            </w:r>
          </w:p>
        </w:tc>
      </w:tr>
      <w:tr>
        <w:trPr>
          <w:trHeight w:val="234"/>
        </w:trPr>
        <w:tc>
          <w:tcPr>
            <w:tcW w:w="4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Andrew Anagnost</w:t>
            </w:r>
          </w:p>
        </w:tc>
        <w:tc>
          <w:tcPr>
            <w:tcW w:w="120" w:type="dxa"/>
            <w:vAlign w:val="bottom"/>
          </w:tcPr>
          <w:p>
            <w:pPr>
              <w:spacing w:after="0"/>
              <w:rPr>
                <w:sz w:val="20"/>
                <w:szCs w:val="20"/>
                <w:color w:val="auto"/>
              </w:rPr>
            </w:pPr>
          </w:p>
        </w:tc>
        <w:tc>
          <w:tcPr>
            <w:tcW w:w="4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515"/>
        </w:trPr>
        <w:tc>
          <w:tcPr>
            <w:tcW w:w="4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Jay Simons</w:t>
            </w:r>
          </w:p>
        </w:tc>
        <w:tc>
          <w:tcPr>
            <w:tcW w:w="120" w:type="dxa"/>
            <w:vAlign w:val="bottom"/>
          </w:tcPr>
          <w:p>
            <w:pPr>
              <w:spacing w:after="0"/>
              <w:rPr>
                <w:sz w:val="24"/>
                <w:szCs w:val="24"/>
                <w:color w:val="auto"/>
              </w:rPr>
            </w:pPr>
          </w:p>
        </w:tc>
        <w:tc>
          <w:tcPr>
            <w:tcW w:w="4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100" w:type="dxa"/>
            <w:vAlign w:val="bottom"/>
          </w:tcPr>
          <w:p>
            <w:pPr>
              <w:spacing w:after="0"/>
              <w:rPr>
                <w:sz w:val="24"/>
                <w:szCs w:val="24"/>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14, 2024</w:t>
            </w:r>
          </w:p>
        </w:tc>
      </w:tr>
      <w:tr>
        <w:trPr>
          <w:trHeight w:val="234"/>
        </w:trPr>
        <w:tc>
          <w:tcPr>
            <w:tcW w:w="4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Jay Simons</w:t>
            </w:r>
          </w:p>
        </w:tc>
        <w:tc>
          <w:tcPr>
            <w:tcW w:w="120" w:type="dxa"/>
            <w:vAlign w:val="bottom"/>
          </w:tcPr>
          <w:p>
            <w:pPr>
              <w:spacing w:after="0"/>
              <w:rPr>
                <w:sz w:val="20"/>
                <w:szCs w:val="20"/>
                <w:color w:val="auto"/>
              </w:rPr>
            </w:pPr>
          </w:p>
        </w:tc>
        <w:tc>
          <w:tcPr>
            <w:tcW w:w="4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461"/>
        </w:trPr>
        <w:tc>
          <w:tcPr>
            <w:tcW w:w="4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Jill Ward</w:t>
            </w:r>
          </w:p>
        </w:tc>
        <w:tc>
          <w:tcPr>
            <w:tcW w:w="120" w:type="dxa"/>
            <w:vAlign w:val="bottom"/>
          </w:tcPr>
          <w:p>
            <w:pPr>
              <w:spacing w:after="0"/>
              <w:rPr>
                <w:sz w:val="24"/>
                <w:szCs w:val="24"/>
                <w:color w:val="auto"/>
              </w:rPr>
            </w:pPr>
          </w:p>
        </w:tc>
        <w:tc>
          <w:tcPr>
            <w:tcW w:w="4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100" w:type="dxa"/>
            <w:vAlign w:val="bottom"/>
          </w:tcPr>
          <w:p>
            <w:pPr>
              <w:spacing w:after="0"/>
              <w:rPr>
                <w:sz w:val="24"/>
                <w:szCs w:val="24"/>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14, 2024</w:t>
            </w:r>
          </w:p>
        </w:tc>
      </w:tr>
      <w:tr>
        <w:trPr>
          <w:trHeight w:val="234"/>
        </w:trPr>
        <w:tc>
          <w:tcPr>
            <w:tcW w:w="4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Jill Ward</w:t>
            </w:r>
          </w:p>
        </w:tc>
        <w:tc>
          <w:tcPr>
            <w:tcW w:w="120" w:type="dxa"/>
            <w:vAlign w:val="bottom"/>
          </w:tcPr>
          <w:p>
            <w:pPr>
              <w:spacing w:after="0"/>
              <w:rPr>
                <w:sz w:val="20"/>
                <w:szCs w:val="20"/>
                <w:color w:val="auto"/>
              </w:rPr>
            </w:pPr>
          </w:p>
        </w:tc>
        <w:tc>
          <w:tcPr>
            <w:tcW w:w="4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657"/>
        </w:trPr>
        <w:tc>
          <w:tcPr>
            <w:tcW w:w="4500" w:type="dxa"/>
            <w:vAlign w:val="bottom"/>
          </w:tcPr>
          <w:p>
            <w:pPr>
              <w:spacing w:after="0"/>
              <w:rPr>
                <w:sz w:val="24"/>
                <w:szCs w:val="24"/>
                <w:color w:val="auto"/>
              </w:rPr>
            </w:pPr>
          </w:p>
        </w:tc>
        <w:tc>
          <w:tcPr>
            <w:tcW w:w="4960" w:type="dxa"/>
            <w:vAlign w:val="bottom"/>
            <w:gridSpan w:val="2"/>
          </w:tcPr>
          <w:p>
            <w:pPr>
              <w:jc w:val="right"/>
              <w:ind w:right="3611"/>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763"/>
        </w:trPr>
        <w:tc>
          <w:tcPr>
            <w:tcW w:w="45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48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8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8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04" w:name="page105"/>
    <w:bookmarkEnd w:id="104"/>
    <w:p>
      <w:pPr>
        <w:jc w:val="right"/>
        <w:spacing w:after="0"/>
        <w:rPr>
          <w:sz w:val="20"/>
          <w:szCs w:val="20"/>
          <w:color w:val="auto"/>
        </w:rPr>
      </w:pPr>
      <w:r>
        <w:rPr>
          <w:rFonts w:ascii="Times New Roman" w:cs="Times New Roman" w:eastAsia="Times New Roman" w:hAnsi="Times New Roman"/>
          <w:sz w:val="22"/>
          <w:szCs w:val="22"/>
          <w:b w:val="1"/>
          <w:bCs w:val="1"/>
          <w:color w:val="auto"/>
        </w:rPr>
        <w:t>Exhibit 10.5</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HUBSPOT, INC.</w:t>
      </w:r>
    </w:p>
    <w:p>
      <w:pPr>
        <w:spacing w:after="0" w:line="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2014 STOCK OPTION AND INCENTIVE PLAN</w:t>
      </w:r>
    </w:p>
    <w:p>
      <w:pPr>
        <w:spacing w:after="0" w:line="200" w:lineRule="exact"/>
        <w:rPr>
          <w:sz w:val="20"/>
          <w:szCs w:val="20"/>
          <w:color w:val="auto"/>
        </w:rPr>
      </w:pPr>
    </w:p>
    <w:p>
      <w:pPr>
        <w:spacing w:after="0" w:line="209" w:lineRule="exact"/>
        <w:rPr>
          <w:sz w:val="20"/>
          <w:szCs w:val="20"/>
          <w:color w:val="auto"/>
        </w:rPr>
      </w:pPr>
    </w:p>
    <w:p>
      <w:pPr>
        <w:ind w:left="520" w:hanging="512"/>
        <w:spacing w:after="0"/>
        <w:tabs>
          <w:tab w:leader="none" w:pos="520" w:val="left"/>
        </w:tabs>
        <w:numPr>
          <w:ilvl w:val="0"/>
          <w:numId w:val="37"/>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GENERAL PURPOSE OF THE PLAN; DEFINITIONS</w:t>
      </w:r>
    </w:p>
    <w:p>
      <w:pPr>
        <w:spacing w:after="0" w:line="206" w:lineRule="exact"/>
        <w:rPr>
          <w:sz w:val="20"/>
          <w:szCs w:val="20"/>
          <w:color w:val="auto"/>
        </w:rPr>
      </w:pPr>
    </w:p>
    <w:p>
      <w:pPr>
        <w:ind w:firstLine="749"/>
        <w:spacing w:after="0" w:line="249" w:lineRule="auto"/>
        <w:rPr>
          <w:sz w:val="20"/>
          <w:szCs w:val="20"/>
          <w:color w:val="auto"/>
        </w:rPr>
      </w:pPr>
      <w:r>
        <w:rPr>
          <w:rFonts w:ascii="Times New Roman" w:cs="Times New Roman" w:eastAsia="Times New Roman" w:hAnsi="Times New Roman"/>
          <w:sz w:val="21"/>
          <w:szCs w:val="21"/>
          <w:color w:val="auto"/>
        </w:rPr>
        <w:t>The name of the plan is the HubSpot, Inc. 2014 Stock Option and Incentive Plan (the “Plan”). The purpose of the Plan is to encourage and enable the officers, employees, Non-Employee Directors and Consultants of HubSpot, Inc. (the “Company”) and its Subsidiaries upon whose judgment, initiative and efforts the Company largely depends for the successful conduct of its businesses to acquire a proprietary interest in the Company. It is anticipated that providing such persons with a direct stake in the Company’s welfare will assure a closer identification of their interests with those of the Company and its stockholders, thereby stimulating their efforts on the Company’s behalf and strengthening their desire to remain with the Company.</w:t>
      </w:r>
    </w:p>
    <w:p>
      <w:pPr>
        <w:spacing w:after="0" w:line="17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The following terms shall be defined as set forth below:</w:t>
      </w:r>
    </w:p>
    <w:p>
      <w:pPr>
        <w:spacing w:after="0" w:line="20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i w:val="1"/>
          <w:iCs w:val="1"/>
          <w:color w:val="auto"/>
        </w:rPr>
        <w:t xml:space="preserve">“Act” </w:t>
      </w:r>
      <w:r>
        <w:rPr>
          <w:rFonts w:ascii="Times New Roman" w:cs="Times New Roman" w:eastAsia="Times New Roman" w:hAnsi="Times New Roman"/>
          <w:sz w:val="22"/>
          <w:szCs w:val="22"/>
          <w:color w:val="auto"/>
        </w:rPr>
        <w:t>means the Securities Act of 1933, as amended, and the rules and regulations thereunder.</w:t>
      </w:r>
    </w:p>
    <w:p>
      <w:pPr>
        <w:spacing w:after="0" w:line="206" w:lineRule="exact"/>
        <w:rPr>
          <w:sz w:val="20"/>
          <w:szCs w:val="20"/>
          <w:color w:val="auto"/>
        </w:rPr>
      </w:pPr>
    </w:p>
    <w:p>
      <w:pPr>
        <w:ind w:right="40" w:firstLine="749"/>
        <w:spacing w:after="0" w:line="262" w:lineRule="exact"/>
        <w:rPr>
          <w:sz w:val="20"/>
          <w:szCs w:val="20"/>
          <w:color w:val="auto"/>
        </w:rPr>
      </w:pPr>
      <w:r>
        <w:rPr>
          <w:rFonts w:ascii="Times New Roman" w:cs="Times New Roman" w:eastAsia="Times New Roman" w:hAnsi="Times New Roman"/>
          <w:sz w:val="22"/>
          <w:szCs w:val="22"/>
          <w:i w:val="1"/>
          <w:iCs w:val="1"/>
          <w:color w:val="auto"/>
        </w:rPr>
        <w:t xml:space="preserve">“Administrator” </w:t>
      </w:r>
      <w:r>
        <w:rPr>
          <w:rFonts w:ascii="Times New Roman" w:cs="Times New Roman" w:eastAsia="Times New Roman" w:hAnsi="Times New Roman"/>
          <w:sz w:val="22"/>
          <w:szCs w:val="22"/>
          <w:color w:val="auto"/>
        </w:rPr>
        <w:t>means either the Board or the compensation committee of the Board or a similar committee performing</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the functions of the compensation committee and which is comprised of not less than two Non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Employee Directors who are independent.</w:t>
      </w:r>
    </w:p>
    <w:p>
      <w:pPr>
        <w:spacing w:after="0" w:line="174" w:lineRule="exact"/>
        <w:rPr>
          <w:sz w:val="20"/>
          <w:szCs w:val="20"/>
          <w:color w:val="auto"/>
        </w:rPr>
      </w:pPr>
    </w:p>
    <w:p>
      <w:pPr>
        <w:ind w:right="300" w:firstLine="749"/>
        <w:spacing w:after="0" w:line="246" w:lineRule="auto"/>
        <w:rPr>
          <w:sz w:val="20"/>
          <w:szCs w:val="20"/>
          <w:color w:val="auto"/>
        </w:rPr>
      </w:pPr>
      <w:r>
        <w:rPr>
          <w:rFonts w:ascii="Times New Roman" w:cs="Times New Roman" w:eastAsia="Times New Roman" w:hAnsi="Times New Roman"/>
          <w:sz w:val="22"/>
          <w:szCs w:val="22"/>
          <w:i w:val="1"/>
          <w:iCs w:val="1"/>
          <w:color w:val="auto"/>
        </w:rPr>
        <w:t xml:space="preserve">“Award” </w:t>
      </w:r>
      <w:r>
        <w:rPr>
          <w:rFonts w:ascii="Times New Roman" w:cs="Times New Roman" w:eastAsia="Times New Roman" w:hAnsi="Times New Roman"/>
          <w:sz w:val="22"/>
          <w:szCs w:val="22"/>
          <w:color w:val="auto"/>
        </w:rPr>
        <w:t>or</w:t>
      </w:r>
      <w:r>
        <w:rPr>
          <w:rFonts w:ascii="Times New Roman" w:cs="Times New Roman" w:eastAsia="Times New Roman" w:hAnsi="Times New Roman"/>
          <w:sz w:val="22"/>
          <w:szCs w:val="22"/>
          <w:i w:val="1"/>
          <w:iCs w:val="1"/>
          <w:color w:val="auto"/>
        </w:rPr>
        <w:t xml:space="preserve"> “Awards,” </w:t>
      </w:r>
      <w:r>
        <w:rPr>
          <w:rFonts w:ascii="Times New Roman" w:cs="Times New Roman" w:eastAsia="Times New Roman" w:hAnsi="Times New Roman"/>
          <w:sz w:val="22"/>
          <w:szCs w:val="22"/>
          <w:color w:val="auto"/>
        </w:rPr>
        <w:t>except where referring to a particular category of grant under the Plan, shall include Incentive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Stock Options, Non-Qualified Stock Options, Stock Appreciation Rights, Restricted Stock Units, Restricted Stock Awards, Unrestricted Stock Awards, Cash-Based Awards, Performance Share Awards and Dividend Equivalent Rights.</w:t>
      </w:r>
    </w:p>
    <w:p>
      <w:pPr>
        <w:spacing w:after="0" w:line="167" w:lineRule="exact"/>
        <w:rPr>
          <w:sz w:val="20"/>
          <w:szCs w:val="20"/>
          <w:color w:val="auto"/>
        </w:rPr>
      </w:pPr>
    </w:p>
    <w:p>
      <w:pPr>
        <w:ind w:right="540" w:firstLine="749"/>
        <w:spacing w:after="0" w:line="262" w:lineRule="auto"/>
        <w:rPr>
          <w:sz w:val="20"/>
          <w:szCs w:val="20"/>
          <w:color w:val="auto"/>
        </w:rPr>
      </w:pPr>
      <w:r>
        <w:rPr>
          <w:rFonts w:ascii="Times New Roman" w:cs="Times New Roman" w:eastAsia="Times New Roman" w:hAnsi="Times New Roman"/>
          <w:sz w:val="22"/>
          <w:szCs w:val="22"/>
          <w:i w:val="1"/>
          <w:iCs w:val="1"/>
          <w:color w:val="auto"/>
        </w:rPr>
        <w:t xml:space="preserve">“Award Certificate” </w:t>
      </w:r>
      <w:r>
        <w:rPr>
          <w:rFonts w:ascii="Times New Roman" w:cs="Times New Roman" w:eastAsia="Times New Roman" w:hAnsi="Times New Roman"/>
          <w:sz w:val="22"/>
          <w:szCs w:val="22"/>
          <w:color w:val="auto"/>
        </w:rPr>
        <w:t>means a written or electronic document setting forth the terms and provisions applicable to an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Award granted under the Plan. Each Award Certificate is subject to the terms and conditions of the Plan.</w:t>
      </w:r>
    </w:p>
    <w:p>
      <w:pPr>
        <w:spacing w:after="0" w:line="15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i w:val="1"/>
          <w:iCs w:val="1"/>
          <w:color w:val="auto"/>
        </w:rPr>
        <w:t xml:space="preserve">“Board” </w:t>
      </w:r>
      <w:r>
        <w:rPr>
          <w:rFonts w:ascii="Times New Roman" w:cs="Times New Roman" w:eastAsia="Times New Roman" w:hAnsi="Times New Roman"/>
          <w:sz w:val="22"/>
          <w:szCs w:val="22"/>
          <w:color w:val="auto"/>
        </w:rPr>
        <w:t>means the Board of Directors of the Company.</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i w:val="1"/>
          <w:iCs w:val="1"/>
          <w:color w:val="auto"/>
        </w:rPr>
        <w:t xml:space="preserve">“Cash-Based Award” </w:t>
      </w:r>
      <w:r>
        <w:rPr>
          <w:rFonts w:ascii="Times New Roman" w:cs="Times New Roman" w:eastAsia="Times New Roman" w:hAnsi="Times New Roman"/>
          <w:sz w:val="22"/>
          <w:szCs w:val="22"/>
          <w:color w:val="auto"/>
        </w:rPr>
        <w:t>means an Award entitling the recipient to receive a cash-denominated payment.</w:t>
      </w:r>
    </w:p>
    <w:p>
      <w:pPr>
        <w:spacing w:after="0" w:line="206" w:lineRule="exact"/>
        <w:rPr>
          <w:sz w:val="20"/>
          <w:szCs w:val="20"/>
          <w:color w:val="auto"/>
        </w:rPr>
      </w:pPr>
    </w:p>
    <w:p>
      <w:pPr>
        <w:ind w:right="200" w:firstLine="749"/>
        <w:spacing w:after="0" w:line="262" w:lineRule="auto"/>
        <w:rPr>
          <w:sz w:val="20"/>
          <w:szCs w:val="20"/>
          <w:color w:val="auto"/>
        </w:rPr>
      </w:pPr>
      <w:r>
        <w:rPr>
          <w:rFonts w:ascii="Times New Roman" w:cs="Times New Roman" w:eastAsia="Times New Roman" w:hAnsi="Times New Roman"/>
          <w:sz w:val="22"/>
          <w:szCs w:val="22"/>
          <w:i w:val="1"/>
          <w:iCs w:val="1"/>
          <w:color w:val="auto"/>
        </w:rPr>
        <w:t xml:space="preserve">“Code” </w:t>
      </w:r>
      <w:r>
        <w:rPr>
          <w:rFonts w:ascii="Times New Roman" w:cs="Times New Roman" w:eastAsia="Times New Roman" w:hAnsi="Times New Roman"/>
          <w:sz w:val="22"/>
          <w:szCs w:val="22"/>
          <w:color w:val="auto"/>
        </w:rPr>
        <w:t>means the Internal Revenue Code of 1986, as amended, and any successor Code, and related rules, regulations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and interpretations.</w:t>
      </w:r>
    </w:p>
    <w:p>
      <w:pPr>
        <w:spacing w:after="0" w:line="150" w:lineRule="exact"/>
        <w:rPr>
          <w:sz w:val="20"/>
          <w:szCs w:val="20"/>
          <w:color w:val="auto"/>
        </w:rPr>
      </w:pPr>
    </w:p>
    <w:p>
      <w:pPr>
        <w:ind w:right="60" w:firstLine="749"/>
        <w:spacing w:after="0" w:line="246" w:lineRule="auto"/>
        <w:rPr>
          <w:sz w:val="20"/>
          <w:szCs w:val="20"/>
          <w:color w:val="auto"/>
        </w:rPr>
      </w:pPr>
      <w:r>
        <w:rPr>
          <w:rFonts w:ascii="Times New Roman" w:cs="Times New Roman" w:eastAsia="Times New Roman" w:hAnsi="Times New Roman"/>
          <w:sz w:val="22"/>
          <w:szCs w:val="22"/>
          <w:i w:val="1"/>
          <w:iCs w:val="1"/>
          <w:color w:val="auto"/>
        </w:rPr>
        <w:t xml:space="preserve">“Consultant” </w:t>
      </w:r>
      <w:r>
        <w:rPr>
          <w:rFonts w:ascii="Times New Roman" w:cs="Times New Roman" w:eastAsia="Times New Roman" w:hAnsi="Times New Roman"/>
          <w:sz w:val="22"/>
          <w:szCs w:val="22"/>
          <w:color w:val="auto"/>
        </w:rPr>
        <w:t>means any natural person that provides bona fide services to the Company, and such services are not in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connection with the offer or sale of securities in a capital-raising transaction and do not directly or indirectly promote or maintain a market for the Company’s securities.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ACTIVE/72134752.4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6" w:right="339" w:bottom="1440" w:gutter="0" w:footer="0" w:header="0"/>
        </w:sectPr>
      </w:pPr>
    </w:p>
    <w:bookmarkStart w:id="105" w:name="page106"/>
    <w:bookmarkEnd w:id="105"/>
    <w:p>
      <w:pPr>
        <w:ind w:left="760"/>
        <w:spacing w:after="0"/>
        <w:rPr>
          <w:sz w:val="20"/>
          <w:szCs w:val="20"/>
          <w:color w:val="auto"/>
        </w:rPr>
      </w:pPr>
      <w:r>
        <w:rPr>
          <w:rFonts w:ascii="Times New Roman" w:cs="Times New Roman" w:eastAsia="Times New Roman" w:hAnsi="Times New Roman"/>
          <w:sz w:val="22"/>
          <w:szCs w:val="22"/>
          <w:i w:val="1"/>
          <w:iCs w:val="1"/>
          <w:color w:val="auto"/>
        </w:rPr>
        <w:t xml:space="preserve">“Covered Employee” </w:t>
      </w:r>
      <w:r>
        <w:rPr>
          <w:rFonts w:ascii="Times New Roman" w:cs="Times New Roman" w:eastAsia="Times New Roman" w:hAnsi="Times New Roman"/>
          <w:sz w:val="22"/>
          <w:szCs w:val="22"/>
          <w:color w:val="auto"/>
        </w:rPr>
        <w:t>means an employee who is a “Covered Employee” within the meaning of Section 162(m) of the</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Code.</w:t>
      </w:r>
    </w:p>
    <w:p>
      <w:pPr>
        <w:spacing w:after="0" w:line="178" w:lineRule="exact"/>
        <w:rPr>
          <w:sz w:val="20"/>
          <w:szCs w:val="20"/>
          <w:color w:val="auto"/>
        </w:rPr>
      </w:pPr>
    </w:p>
    <w:p>
      <w:pPr>
        <w:ind w:firstLine="749"/>
        <w:spacing w:after="0" w:line="246" w:lineRule="auto"/>
        <w:rPr>
          <w:sz w:val="20"/>
          <w:szCs w:val="20"/>
          <w:color w:val="auto"/>
        </w:rPr>
      </w:pPr>
      <w:r>
        <w:rPr>
          <w:rFonts w:ascii="Times New Roman" w:cs="Times New Roman" w:eastAsia="Times New Roman" w:hAnsi="Times New Roman"/>
          <w:sz w:val="22"/>
          <w:szCs w:val="22"/>
          <w:i w:val="1"/>
          <w:iCs w:val="1"/>
          <w:color w:val="auto"/>
        </w:rPr>
        <w:t xml:space="preserve">“Dividend Equivalent Right” </w:t>
      </w:r>
      <w:r>
        <w:rPr>
          <w:rFonts w:ascii="Times New Roman" w:cs="Times New Roman" w:eastAsia="Times New Roman" w:hAnsi="Times New Roman"/>
          <w:sz w:val="22"/>
          <w:szCs w:val="22"/>
          <w:color w:val="auto"/>
        </w:rPr>
        <w:t>means an Award entitling the grantee to receive credits based on cash dividends that would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have been paid on the shares of Stock specified in the Dividend Equivalent Right (or other award to which it relates) if such shares had been issued to and held by the grantee.</w:t>
      </w:r>
    </w:p>
    <w:p>
      <w:pPr>
        <w:spacing w:after="0" w:line="16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i w:val="1"/>
          <w:iCs w:val="1"/>
          <w:color w:val="auto"/>
        </w:rPr>
        <w:t xml:space="preserve">“Effective Date” </w:t>
      </w:r>
      <w:r>
        <w:rPr>
          <w:rFonts w:ascii="Times New Roman" w:cs="Times New Roman" w:eastAsia="Times New Roman" w:hAnsi="Times New Roman"/>
          <w:sz w:val="22"/>
          <w:szCs w:val="22"/>
          <w:color w:val="auto"/>
        </w:rPr>
        <w:t>means the date on which the Plan is approved by stockholders as set forth in Section 21.</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i w:val="1"/>
          <w:iCs w:val="1"/>
          <w:color w:val="auto"/>
        </w:rPr>
        <w:t xml:space="preserve">“Exchange Act” </w:t>
      </w:r>
      <w:r>
        <w:rPr>
          <w:rFonts w:ascii="Times New Roman" w:cs="Times New Roman" w:eastAsia="Times New Roman" w:hAnsi="Times New Roman"/>
          <w:sz w:val="22"/>
          <w:szCs w:val="22"/>
          <w:color w:val="auto"/>
        </w:rPr>
        <w:t>means the Securities Exchange Act of 1934, as amended, and the rules and regulations thereunder.</w:t>
      </w:r>
    </w:p>
    <w:p>
      <w:pPr>
        <w:spacing w:after="0" w:line="206" w:lineRule="exact"/>
        <w:rPr>
          <w:sz w:val="20"/>
          <w:szCs w:val="20"/>
          <w:color w:val="auto"/>
        </w:rPr>
      </w:pPr>
    </w:p>
    <w:p>
      <w:pPr>
        <w:ind w:firstLine="749"/>
        <w:spacing w:after="0" w:line="235" w:lineRule="auto"/>
        <w:rPr>
          <w:sz w:val="20"/>
          <w:szCs w:val="20"/>
          <w:color w:val="auto"/>
        </w:rPr>
      </w:pPr>
      <w:r>
        <w:rPr>
          <w:rFonts w:ascii="Times New Roman" w:cs="Times New Roman" w:eastAsia="Times New Roman" w:hAnsi="Times New Roman"/>
          <w:sz w:val="22"/>
          <w:szCs w:val="22"/>
          <w:i w:val="1"/>
          <w:iCs w:val="1"/>
          <w:color w:val="auto"/>
        </w:rPr>
        <w:t xml:space="preserve">“Fair Market Value” </w:t>
      </w:r>
      <w:r>
        <w:rPr>
          <w:rFonts w:ascii="Times New Roman" w:cs="Times New Roman" w:eastAsia="Times New Roman" w:hAnsi="Times New Roman"/>
          <w:sz w:val="22"/>
          <w:szCs w:val="22"/>
          <w:color w:val="auto"/>
        </w:rPr>
        <w:t>of the Stock on any given date means the fair market value of the Stock determined in good faith</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by the Administrator; provided, however, that if the Stock is admitted to quotation on the National Association of Securities Dealers Automated Quotation System (“NASDAQ”), NASDAQ Global Market or another national securities exchange, the determination shall be made by reference to the closing price. If there is no closing price for such date, the determination shall be made by reference to the last date preceding such date for which there was a closing price; provided further, however, that if the date for which Fair Market Value is determined is the first day when trading prices for the Stock are reported on a national securities exchange, the Fair Market Value shall be the “Price to the Public” (or equivalent) set forth on the cover page for the final prospectus relating to the Company’s Initial Public Offering.</w:t>
      </w:r>
    </w:p>
    <w:p>
      <w:pPr>
        <w:spacing w:after="0" w:line="178" w:lineRule="exact"/>
        <w:rPr>
          <w:sz w:val="20"/>
          <w:szCs w:val="20"/>
          <w:color w:val="auto"/>
        </w:rPr>
      </w:pPr>
    </w:p>
    <w:p>
      <w:pPr>
        <w:ind w:right="120" w:firstLine="749"/>
        <w:spacing w:after="0" w:line="262" w:lineRule="auto"/>
        <w:rPr>
          <w:sz w:val="20"/>
          <w:szCs w:val="20"/>
          <w:color w:val="auto"/>
        </w:rPr>
      </w:pPr>
      <w:r>
        <w:rPr>
          <w:rFonts w:ascii="Times New Roman" w:cs="Times New Roman" w:eastAsia="Times New Roman" w:hAnsi="Times New Roman"/>
          <w:sz w:val="22"/>
          <w:szCs w:val="22"/>
          <w:i w:val="1"/>
          <w:iCs w:val="1"/>
          <w:color w:val="auto"/>
        </w:rPr>
        <w:t xml:space="preserve">“Incentive Stock Option” </w:t>
      </w:r>
      <w:r>
        <w:rPr>
          <w:rFonts w:ascii="Times New Roman" w:cs="Times New Roman" w:eastAsia="Times New Roman" w:hAnsi="Times New Roman"/>
          <w:sz w:val="22"/>
          <w:szCs w:val="22"/>
          <w:color w:val="auto"/>
        </w:rPr>
        <w:t>means any Stock Option designated and qualified as an “incentive stock option” as defined in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Section 422 of the Code.</w:t>
      </w:r>
    </w:p>
    <w:p>
      <w:pPr>
        <w:spacing w:after="0" w:line="150" w:lineRule="exact"/>
        <w:rPr>
          <w:sz w:val="20"/>
          <w:szCs w:val="20"/>
          <w:color w:val="auto"/>
        </w:rPr>
      </w:pPr>
    </w:p>
    <w:p>
      <w:pPr>
        <w:ind w:right="160" w:firstLine="749"/>
        <w:spacing w:after="0" w:line="246" w:lineRule="auto"/>
        <w:rPr>
          <w:sz w:val="20"/>
          <w:szCs w:val="20"/>
          <w:color w:val="auto"/>
        </w:rPr>
      </w:pPr>
      <w:r>
        <w:rPr>
          <w:rFonts w:ascii="Times New Roman" w:cs="Times New Roman" w:eastAsia="Times New Roman" w:hAnsi="Times New Roman"/>
          <w:sz w:val="22"/>
          <w:szCs w:val="22"/>
          <w:i w:val="1"/>
          <w:iCs w:val="1"/>
          <w:color w:val="auto"/>
        </w:rPr>
        <w:t xml:space="preserve">“Initial Public Offering” </w:t>
      </w:r>
      <w:r>
        <w:rPr>
          <w:rFonts w:ascii="Times New Roman" w:cs="Times New Roman" w:eastAsia="Times New Roman" w:hAnsi="Times New Roman"/>
          <w:sz w:val="22"/>
          <w:szCs w:val="22"/>
          <w:color w:val="auto"/>
        </w:rPr>
        <w:t>means the consummation of the first underwritten, firm commitment public offering pursuant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to an effective registration statement under the Act covering the offer and sale by the Company of its equity securities, or such other event as a result of or following which the Stock shall be publicly held.</w:t>
      </w:r>
    </w:p>
    <w:p>
      <w:pPr>
        <w:spacing w:after="0" w:line="167" w:lineRule="exact"/>
        <w:rPr>
          <w:sz w:val="20"/>
          <w:szCs w:val="20"/>
          <w:color w:val="auto"/>
        </w:rPr>
      </w:pPr>
    </w:p>
    <w:p>
      <w:pPr>
        <w:ind w:right="940" w:firstLine="749"/>
        <w:spacing w:after="0" w:line="262" w:lineRule="auto"/>
        <w:rPr>
          <w:sz w:val="20"/>
          <w:szCs w:val="20"/>
          <w:color w:val="auto"/>
        </w:rPr>
      </w:pPr>
      <w:r>
        <w:rPr>
          <w:rFonts w:ascii="Times New Roman" w:cs="Times New Roman" w:eastAsia="Times New Roman" w:hAnsi="Times New Roman"/>
          <w:sz w:val="22"/>
          <w:szCs w:val="22"/>
          <w:i w:val="1"/>
          <w:iCs w:val="1"/>
          <w:color w:val="auto"/>
        </w:rPr>
        <w:t xml:space="preserve">“Non-Employee Director” </w:t>
      </w:r>
      <w:r>
        <w:rPr>
          <w:rFonts w:ascii="Times New Roman" w:cs="Times New Roman" w:eastAsia="Times New Roman" w:hAnsi="Times New Roman"/>
          <w:sz w:val="22"/>
          <w:szCs w:val="22"/>
          <w:color w:val="auto"/>
        </w:rPr>
        <w:t>means a member of the Board who is not also an employee of the Company or any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Subsidiary.</w:t>
      </w:r>
    </w:p>
    <w:p>
      <w:pPr>
        <w:spacing w:after="0" w:line="15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i w:val="1"/>
          <w:iCs w:val="1"/>
          <w:color w:val="auto"/>
        </w:rPr>
        <w:t xml:space="preserve">“Non-Qualified Stock Option” </w:t>
      </w:r>
      <w:r>
        <w:rPr>
          <w:rFonts w:ascii="Times New Roman" w:cs="Times New Roman" w:eastAsia="Times New Roman" w:hAnsi="Times New Roman"/>
          <w:sz w:val="22"/>
          <w:szCs w:val="22"/>
          <w:color w:val="auto"/>
        </w:rPr>
        <w:t>means any Stock Option that is not an Incentive Stock Option.</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i w:val="1"/>
          <w:iCs w:val="1"/>
          <w:color w:val="auto"/>
        </w:rPr>
        <w:t xml:space="preserve">“Option” </w:t>
      </w:r>
      <w:r>
        <w:rPr>
          <w:rFonts w:ascii="Times New Roman" w:cs="Times New Roman" w:eastAsia="Times New Roman" w:hAnsi="Times New Roman"/>
          <w:sz w:val="22"/>
          <w:szCs w:val="22"/>
          <w:color w:val="auto"/>
        </w:rPr>
        <w:t>or</w:t>
      </w:r>
      <w:r>
        <w:rPr>
          <w:rFonts w:ascii="Times New Roman" w:cs="Times New Roman" w:eastAsia="Times New Roman" w:hAnsi="Times New Roman"/>
          <w:sz w:val="22"/>
          <w:szCs w:val="22"/>
          <w:i w:val="1"/>
          <w:iCs w:val="1"/>
          <w:color w:val="auto"/>
        </w:rPr>
        <w:t xml:space="preserve"> “Stock Option” </w:t>
      </w:r>
      <w:r>
        <w:rPr>
          <w:rFonts w:ascii="Times New Roman" w:cs="Times New Roman" w:eastAsia="Times New Roman" w:hAnsi="Times New Roman"/>
          <w:sz w:val="22"/>
          <w:szCs w:val="22"/>
          <w:color w:val="auto"/>
        </w:rPr>
        <w:t>means any option to purchase shares of Stock granted pursuant to Section 5.</w:t>
      </w:r>
    </w:p>
    <w:p>
      <w:pPr>
        <w:spacing w:after="0" w:line="206" w:lineRule="exact"/>
        <w:rPr>
          <w:sz w:val="20"/>
          <w:szCs w:val="20"/>
          <w:color w:val="auto"/>
        </w:rPr>
      </w:pPr>
    </w:p>
    <w:p>
      <w:pPr>
        <w:ind w:right="160" w:firstLine="749"/>
        <w:spacing w:after="0" w:line="246" w:lineRule="auto"/>
        <w:rPr>
          <w:sz w:val="20"/>
          <w:szCs w:val="20"/>
          <w:color w:val="auto"/>
        </w:rPr>
      </w:pPr>
      <w:r>
        <w:rPr>
          <w:rFonts w:ascii="Times New Roman" w:cs="Times New Roman" w:eastAsia="Times New Roman" w:hAnsi="Times New Roman"/>
          <w:sz w:val="22"/>
          <w:szCs w:val="22"/>
          <w:i w:val="1"/>
          <w:iCs w:val="1"/>
          <w:color w:val="auto"/>
        </w:rPr>
        <w:t xml:space="preserve">“Performance-Based Award” </w:t>
      </w:r>
      <w:r>
        <w:rPr>
          <w:rFonts w:ascii="Times New Roman" w:cs="Times New Roman" w:eastAsia="Times New Roman" w:hAnsi="Times New Roman"/>
          <w:sz w:val="22"/>
          <w:szCs w:val="22"/>
          <w:color w:val="auto"/>
        </w:rPr>
        <w:t>means any Restricted Stock Award, Restricted Stock Units, Performance Share Award or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Cash-Based Award granted to a Covered Employee that is intended to qualify as “performance-based compensation” under Section 162(m) of the Code and the regulations promulgated thereunder.</w:t>
      </w: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ACTIVE/72134752.4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4" w:right="359" w:bottom="1440" w:gutter="0" w:footer="0" w:header="0"/>
        </w:sectPr>
      </w:pPr>
    </w:p>
    <w:bookmarkStart w:id="106" w:name="page107"/>
    <w:bookmarkEnd w:id="106"/>
    <w:p>
      <w:pPr>
        <w:ind w:firstLine="749"/>
        <w:spacing w:after="0" w:line="232" w:lineRule="auto"/>
        <w:rPr>
          <w:sz w:val="20"/>
          <w:szCs w:val="20"/>
          <w:color w:val="auto"/>
        </w:rPr>
      </w:pPr>
      <w:r>
        <w:rPr>
          <w:rFonts w:ascii="Times New Roman" w:cs="Times New Roman" w:eastAsia="Times New Roman" w:hAnsi="Times New Roman"/>
          <w:sz w:val="22"/>
          <w:szCs w:val="22"/>
          <w:i w:val="1"/>
          <w:iCs w:val="1"/>
          <w:color w:val="auto"/>
        </w:rPr>
        <w:t xml:space="preserve">“Performance Criteria” </w:t>
      </w:r>
      <w:r>
        <w:rPr>
          <w:rFonts w:ascii="Times New Roman" w:cs="Times New Roman" w:eastAsia="Times New Roman" w:hAnsi="Times New Roman"/>
          <w:sz w:val="22"/>
          <w:szCs w:val="22"/>
          <w:color w:val="auto"/>
        </w:rPr>
        <w:t>means the criteria that the Administrator selects for purposes of establishing the Performance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Goal or Performance Goals for an individual for a Performance Cycle. The Performance Criteria (which shall be applicable to the organizational level specified by the Administrator, including, but not limited to, the Company or a unit, division, group, or Subsidiary of the Company) that will be used to establish Performance Goals are limited to the following: total shareholder return, earnings before interest, taxes, depreciation and amortization, net income (loss) (either before or after interest, taxes, depreciation and/or amortization), changes in the market price of the Stock, economic value-added, funds from operations or similar measure, sales or revenue, acquisitions or strategic transactions, operating income (loss), cash flow (including, but not limited to, operating cash flow and free cash flow), return on capital, assets, equity, or investment, return on sales, gross or net profit levels, productivity, expense, margins, operating efficiency, customer satisfaction, working capital, earnings (loss) per share of Stock, sales or market shares and number of customers, any of which may be measured either in absolute terms or as compared to any incremental increase or as compared to results of a peer group. The Administrator may appropriately adjust any evaluation performance under a Performance Criterion to exclude any of the following events that occurs during a Performance Cycle: (i) asset write-downs or impairments, (ii) litigation or claim judgments or settlements, (iii) the effect of changes in tax law, accounting principles or other such laws or provisions affecting reporting results, (iv) accruals for reorganizations and restructuring programs. (v) any extraordinary non-recurring items, including those described in the Financial Accounting Standards Board’s authoritative guidance and/or in management’s discussion and analysis of financial condition of operations appearing the Company’s annual report to stockholders for the applicable year, and (vi) any other extraordinary items adjusted from the Company U.S. GAAP results.</w:t>
      </w:r>
    </w:p>
    <w:p>
      <w:pPr>
        <w:spacing w:after="0" w:line="188" w:lineRule="exact"/>
        <w:rPr>
          <w:sz w:val="20"/>
          <w:szCs w:val="20"/>
          <w:color w:val="auto"/>
        </w:rPr>
      </w:pPr>
    </w:p>
    <w:p>
      <w:pPr>
        <w:ind w:right="60" w:firstLine="749"/>
        <w:spacing w:after="0" w:line="238" w:lineRule="auto"/>
        <w:rPr>
          <w:sz w:val="20"/>
          <w:szCs w:val="20"/>
          <w:color w:val="auto"/>
        </w:rPr>
      </w:pPr>
      <w:r>
        <w:rPr>
          <w:rFonts w:ascii="Times New Roman" w:cs="Times New Roman" w:eastAsia="Times New Roman" w:hAnsi="Times New Roman"/>
          <w:sz w:val="22"/>
          <w:szCs w:val="22"/>
          <w:i w:val="1"/>
          <w:iCs w:val="1"/>
          <w:color w:val="auto"/>
        </w:rPr>
        <w:t xml:space="preserve">“Performance Cycle” </w:t>
      </w:r>
      <w:r>
        <w:rPr>
          <w:rFonts w:ascii="Times New Roman" w:cs="Times New Roman" w:eastAsia="Times New Roman" w:hAnsi="Times New Roman"/>
          <w:sz w:val="22"/>
          <w:szCs w:val="22"/>
          <w:color w:val="auto"/>
        </w:rPr>
        <w:t>means one or more periods of time, which may be of varying and overlapping durations, as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Administrator may select, over which the attainment of one or more Performance Criteria will be measured for the purpose of determining a grantee’s right to and the payment of a Restricted Stock Award, Restricted Stock Units, Performance Share Award or Cash-Based Award, the vesting and/or payment of which is subject to the attainment of one or more Performance Goals. Each such period shall not be less than 12 months.</w:t>
      </w:r>
    </w:p>
    <w:p>
      <w:pPr>
        <w:spacing w:after="0" w:line="177" w:lineRule="exact"/>
        <w:rPr>
          <w:sz w:val="20"/>
          <w:szCs w:val="20"/>
          <w:color w:val="auto"/>
        </w:rPr>
      </w:pPr>
    </w:p>
    <w:p>
      <w:pPr>
        <w:ind w:right="40" w:firstLine="749"/>
        <w:spacing w:after="0" w:line="262" w:lineRule="auto"/>
        <w:rPr>
          <w:sz w:val="20"/>
          <w:szCs w:val="20"/>
          <w:color w:val="auto"/>
        </w:rPr>
      </w:pPr>
      <w:r>
        <w:rPr>
          <w:rFonts w:ascii="Times New Roman" w:cs="Times New Roman" w:eastAsia="Times New Roman" w:hAnsi="Times New Roman"/>
          <w:sz w:val="22"/>
          <w:szCs w:val="22"/>
          <w:i w:val="1"/>
          <w:iCs w:val="1"/>
          <w:color w:val="auto"/>
        </w:rPr>
        <w:t xml:space="preserve">“Performance Goals” </w:t>
      </w:r>
      <w:r>
        <w:rPr>
          <w:rFonts w:ascii="Times New Roman" w:cs="Times New Roman" w:eastAsia="Times New Roman" w:hAnsi="Times New Roman"/>
          <w:sz w:val="22"/>
          <w:szCs w:val="22"/>
          <w:color w:val="auto"/>
        </w:rPr>
        <w:t>means, for a Performance Cycle, the specific goals established in writing by the Administrator for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 Performance Cycle based upon the Performance Criteria.</w:t>
      </w:r>
    </w:p>
    <w:p>
      <w:pPr>
        <w:spacing w:after="0" w:line="150" w:lineRule="exact"/>
        <w:rPr>
          <w:sz w:val="20"/>
          <w:szCs w:val="20"/>
          <w:color w:val="auto"/>
        </w:rPr>
      </w:pPr>
    </w:p>
    <w:p>
      <w:pPr>
        <w:ind w:right="280" w:firstLine="749"/>
        <w:spacing w:after="0" w:line="262" w:lineRule="auto"/>
        <w:rPr>
          <w:sz w:val="20"/>
          <w:szCs w:val="20"/>
          <w:color w:val="auto"/>
        </w:rPr>
      </w:pPr>
      <w:r>
        <w:rPr>
          <w:rFonts w:ascii="Times New Roman" w:cs="Times New Roman" w:eastAsia="Times New Roman" w:hAnsi="Times New Roman"/>
          <w:sz w:val="22"/>
          <w:szCs w:val="22"/>
          <w:i w:val="1"/>
          <w:iCs w:val="1"/>
          <w:color w:val="auto"/>
        </w:rPr>
        <w:t xml:space="preserve">“Performance Share Award” </w:t>
      </w:r>
      <w:r>
        <w:rPr>
          <w:rFonts w:ascii="Times New Roman" w:cs="Times New Roman" w:eastAsia="Times New Roman" w:hAnsi="Times New Roman"/>
          <w:sz w:val="22"/>
          <w:szCs w:val="22"/>
          <w:color w:val="auto"/>
        </w:rPr>
        <w:t>means an Award entitling the recipient to acquire shares of Stock upon the attainment of</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specified Performance Goals.</w:t>
      </w:r>
    </w:p>
    <w:p>
      <w:pPr>
        <w:spacing w:after="0" w:line="150" w:lineRule="exact"/>
        <w:rPr>
          <w:sz w:val="20"/>
          <w:szCs w:val="20"/>
          <w:color w:val="auto"/>
        </w:rPr>
      </w:pPr>
    </w:p>
    <w:p>
      <w:pPr>
        <w:ind w:right="560" w:firstLine="749"/>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Restricted Shares</w:t>
      </w:r>
      <w:r>
        <w:rPr>
          <w:rFonts w:ascii="Times New Roman" w:cs="Times New Roman" w:eastAsia="Times New Roman" w:hAnsi="Times New Roman"/>
          <w:sz w:val="22"/>
          <w:szCs w:val="22"/>
          <w:color w:val="auto"/>
        </w:rPr>
        <w:t>” means the shares of Stock underlying a Restricted Stock Award that remain subject to a risk of forfeiture or the Company’s right of repurchase.</w:t>
      </w:r>
    </w:p>
    <w:p>
      <w:pPr>
        <w:spacing w:after="0" w:line="150" w:lineRule="exact"/>
        <w:rPr>
          <w:sz w:val="20"/>
          <w:szCs w:val="20"/>
          <w:color w:val="auto"/>
        </w:rPr>
      </w:pPr>
    </w:p>
    <w:p>
      <w:pPr>
        <w:ind w:right="740" w:firstLine="749"/>
        <w:spacing w:after="0" w:line="262" w:lineRule="auto"/>
        <w:rPr>
          <w:sz w:val="20"/>
          <w:szCs w:val="20"/>
          <w:color w:val="auto"/>
        </w:rPr>
      </w:pPr>
      <w:r>
        <w:rPr>
          <w:rFonts w:ascii="Times New Roman" w:cs="Times New Roman" w:eastAsia="Times New Roman" w:hAnsi="Times New Roman"/>
          <w:sz w:val="22"/>
          <w:szCs w:val="22"/>
          <w:i w:val="1"/>
          <w:iCs w:val="1"/>
          <w:color w:val="auto"/>
        </w:rPr>
        <w:t xml:space="preserve">“Restricted Stock Award” </w:t>
      </w:r>
      <w:r>
        <w:rPr>
          <w:rFonts w:ascii="Times New Roman" w:cs="Times New Roman" w:eastAsia="Times New Roman" w:hAnsi="Times New Roman"/>
          <w:sz w:val="22"/>
          <w:szCs w:val="22"/>
          <w:color w:val="auto"/>
        </w:rPr>
        <w:t>means an Award of Restricted Shares subject to such restrictions and conditions as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Administrator may determine at the time of grant.</w:t>
      </w:r>
    </w:p>
    <w:p>
      <w:pPr>
        <w:spacing w:after="0" w:line="150" w:lineRule="exact"/>
        <w:rPr>
          <w:sz w:val="20"/>
          <w:szCs w:val="20"/>
          <w:color w:val="auto"/>
        </w:rPr>
      </w:pPr>
    </w:p>
    <w:p>
      <w:pPr>
        <w:ind w:right="120" w:firstLine="749"/>
        <w:spacing w:after="0" w:line="262" w:lineRule="auto"/>
        <w:rPr>
          <w:sz w:val="20"/>
          <w:szCs w:val="20"/>
          <w:color w:val="auto"/>
        </w:rPr>
      </w:pPr>
      <w:r>
        <w:rPr>
          <w:rFonts w:ascii="Times New Roman" w:cs="Times New Roman" w:eastAsia="Times New Roman" w:hAnsi="Times New Roman"/>
          <w:sz w:val="22"/>
          <w:szCs w:val="22"/>
          <w:i w:val="1"/>
          <w:iCs w:val="1"/>
          <w:color w:val="auto"/>
        </w:rPr>
        <w:t xml:space="preserve">“Restricted Stock Units” </w:t>
      </w:r>
      <w:r>
        <w:rPr>
          <w:rFonts w:ascii="Times New Roman" w:cs="Times New Roman" w:eastAsia="Times New Roman" w:hAnsi="Times New Roman"/>
          <w:sz w:val="22"/>
          <w:szCs w:val="22"/>
          <w:color w:val="auto"/>
        </w:rPr>
        <w:t>means an Award of stock units subject to such restrictions and conditions as the Administrator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may determine at the time of grant.</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ACTIVE/72134752.4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107" w:name="page108"/>
    <w:bookmarkEnd w:id="107"/>
    <w:p>
      <w:pPr>
        <w:ind w:right="100" w:firstLine="749"/>
        <w:spacing w:after="0" w:line="235" w:lineRule="auto"/>
        <w:rPr>
          <w:sz w:val="20"/>
          <w:szCs w:val="20"/>
          <w:color w:val="auto"/>
        </w:rPr>
      </w:pPr>
      <w:r>
        <w:rPr>
          <w:rFonts w:ascii="Times New Roman" w:cs="Times New Roman" w:eastAsia="Times New Roman" w:hAnsi="Times New Roman"/>
          <w:sz w:val="22"/>
          <w:szCs w:val="22"/>
          <w:i w:val="1"/>
          <w:iCs w:val="1"/>
          <w:color w:val="auto"/>
        </w:rPr>
        <w:t xml:space="preserve">“Sale Event” </w:t>
      </w:r>
      <w:r>
        <w:rPr>
          <w:rFonts w:ascii="Times New Roman" w:cs="Times New Roman" w:eastAsia="Times New Roman" w:hAnsi="Times New Roman"/>
          <w:sz w:val="22"/>
          <w:szCs w:val="22"/>
          <w:color w:val="auto"/>
        </w:rPr>
        <w:t>shall mean (i) the sale of all or substantially all of the assets of the Company on a consolidated basis to an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unrelated person or entity, (ii) a merger, reorganization or consolidation pursuant to which the holders of the Company’s outstanding voting power and outstanding stock immediately prior to such transaction do not own a majority of the outstanding voting power and outstanding stock or other equity interests of the resulting or successor entity (or its ultimate parent, if applicable) immediately upon completion of such transaction, (iii) the sale of all of the Stock of the Company to an unrelated person, entity or group thereof acting in concert, or (iv) any other transaction in which the owners of the Company’s outstanding voting power immediately prior to such transaction do not own at least a majority of the outstanding voting power of the Company or any successor entity immediately upon completion of the transaction other than as a result of the acquisition of securities directly from the Company.</w:t>
      </w:r>
    </w:p>
    <w:p>
      <w:pPr>
        <w:spacing w:after="0" w:line="174" w:lineRule="exact"/>
        <w:rPr>
          <w:sz w:val="20"/>
          <w:szCs w:val="20"/>
          <w:color w:val="auto"/>
        </w:rPr>
      </w:pPr>
    </w:p>
    <w:p>
      <w:pPr>
        <w:ind w:right="640" w:firstLine="749"/>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Sale Price</w:t>
      </w:r>
      <w:r>
        <w:rPr>
          <w:rFonts w:ascii="Times New Roman" w:cs="Times New Roman" w:eastAsia="Times New Roman" w:hAnsi="Times New Roman"/>
          <w:sz w:val="22"/>
          <w:szCs w:val="22"/>
          <w:color w:val="auto"/>
        </w:rPr>
        <w:t>” means the value as determined by the Administrator of the consideration payable, or otherwise to be received by stockholders, per share of Stock pursuant to a Sale Event.</w:t>
      </w:r>
    </w:p>
    <w:p>
      <w:pPr>
        <w:spacing w:after="0" w:line="15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i w:val="1"/>
          <w:iCs w:val="1"/>
          <w:color w:val="auto"/>
        </w:rPr>
        <w:t xml:space="preserve">“Section 409A” </w:t>
      </w:r>
      <w:r>
        <w:rPr>
          <w:rFonts w:ascii="Times New Roman" w:cs="Times New Roman" w:eastAsia="Times New Roman" w:hAnsi="Times New Roman"/>
          <w:sz w:val="22"/>
          <w:szCs w:val="22"/>
          <w:color w:val="auto"/>
        </w:rPr>
        <w:t>means Section 409A of the Code and the regulations and other guidance promulgated thereunder.</w:t>
      </w:r>
    </w:p>
    <w:p>
      <w:pPr>
        <w:spacing w:after="0" w:line="206" w:lineRule="exact"/>
        <w:rPr>
          <w:sz w:val="20"/>
          <w:szCs w:val="20"/>
          <w:color w:val="auto"/>
        </w:rPr>
      </w:pPr>
    </w:p>
    <w:p>
      <w:pPr>
        <w:ind w:right="480" w:firstLine="749"/>
        <w:spacing w:after="0" w:line="262" w:lineRule="auto"/>
        <w:rPr>
          <w:sz w:val="20"/>
          <w:szCs w:val="20"/>
          <w:color w:val="auto"/>
        </w:rPr>
      </w:pPr>
      <w:r>
        <w:rPr>
          <w:rFonts w:ascii="Times New Roman" w:cs="Times New Roman" w:eastAsia="Times New Roman" w:hAnsi="Times New Roman"/>
          <w:sz w:val="22"/>
          <w:szCs w:val="22"/>
          <w:i w:val="1"/>
          <w:iCs w:val="1"/>
          <w:color w:val="auto"/>
        </w:rPr>
        <w:t xml:space="preserve">“Stock” </w:t>
      </w:r>
      <w:r>
        <w:rPr>
          <w:rFonts w:ascii="Times New Roman" w:cs="Times New Roman" w:eastAsia="Times New Roman" w:hAnsi="Times New Roman"/>
          <w:sz w:val="22"/>
          <w:szCs w:val="22"/>
          <w:color w:val="auto"/>
        </w:rPr>
        <w:t>means the Common Stock, par value $0.001 per share, of the Company, subject to adjustments pursuant to</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Section 3.</w:t>
      </w:r>
    </w:p>
    <w:p>
      <w:pPr>
        <w:spacing w:after="0" w:line="150" w:lineRule="exact"/>
        <w:rPr>
          <w:sz w:val="20"/>
          <w:szCs w:val="20"/>
          <w:color w:val="auto"/>
        </w:rPr>
      </w:pPr>
    </w:p>
    <w:p>
      <w:pPr>
        <w:ind w:firstLine="749"/>
        <w:spacing w:after="0" w:line="246" w:lineRule="auto"/>
        <w:rPr>
          <w:sz w:val="20"/>
          <w:szCs w:val="20"/>
          <w:color w:val="auto"/>
        </w:rPr>
      </w:pPr>
      <w:r>
        <w:rPr>
          <w:rFonts w:ascii="Times New Roman" w:cs="Times New Roman" w:eastAsia="Times New Roman" w:hAnsi="Times New Roman"/>
          <w:sz w:val="22"/>
          <w:szCs w:val="22"/>
          <w:i w:val="1"/>
          <w:iCs w:val="1"/>
          <w:color w:val="auto"/>
        </w:rPr>
        <w:t xml:space="preserve">“Stock Appreciation Right” </w:t>
      </w:r>
      <w:r>
        <w:rPr>
          <w:rFonts w:ascii="Times New Roman" w:cs="Times New Roman" w:eastAsia="Times New Roman" w:hAnsi="Times New Roman"/>
          <w:sz w:val="22"/>
          <w:szCs w:val="22"/>
          <w:color w:val="auto"/>
        </w:rPr>
        <w:t>means an Award entitling the recipient to receive shares of Stock having a value equal to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excess of the Fair Market Value of the Stock on the date of exercise over the exercise price of the Stock Appreciation Right multiplied by the number of shares of Stock with respect to which the Stock Appreciation Right shall have been exercised.</w:t>
      </w:r>
    </w:p>
    <w:p>
      <w:pPr>
        <w:spacing w:after="0" w:line="167" w:lineRule="exact"/>
        <w:rPr>
          <w:sz w:val="20"/>
          <w:szCs w:val="20"/>
          <w:color w:val="auto"/>
        </w:rPr>
      </w:pPr>
    </w:p>
    <w:p>
      <w:pPr>
        <w:ind w:right="260" w:firstLine="749"/>
        <w:spacing w:after="0" w:line="262" w:lineRule="auto"/>
        <w:rPr>
          <w:sz w:val="20"/>
          <w:szCs w:val="20"/>
          <w:color w:val="auto"/>
        </w:rPr>
      </w:pPr>
      <w:r>
        <w:rPr>
          <w:rFonts w:ascii="Times New Roman" w:cs="Times New Roman" w:eastAsia="Times New Roman" w:hAnsi="Times New Roman"/>
          <w:sz w:val="22"/>
          <w:szCs w:val="22"/>
          <w:i w:val="1"/>
          <w:iCs w:val="1"/>
          <w:color w:val="auto"/>
        </w:rPr>
        <w:t xml:space="preserve">“Subsidiary” </w:t>
      </w:r>
      <w:r>
        <w:rPr>
          <w:rFonts w:ascii="Times New Roman" w:cs="Times New Roman" w:eastAsia="Times New Roman" w:hAnsi="Times New Roman"/>
          <w:sz w:val="22"/>
          <w:szCs w:val="22"/>
          <w:color w:val="auto"/>
        </w:rPr>
        <w:t>means any corporation or other entity (other than the Company) in which the Company has at least a 50</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percent interest, either directly or indirectly.</w:t>
      </w:r>
    </w:p>
    <w:p>
      <w:pPr>
        <w:spacing w:after="0" w:line="150" w:lineRule="exact"/>
        <w:rPr>
          <w:sz w:val="20"/>
          <w:szCs w:val="20"/>
          <w:color w:val="auto"/>
        </w:rPr>
      </w:pPr>
    </w:p>
    <w:p>
      <w:pPr>
        <w:jc w:val="both"/>
        <w:ind w:right="160" w:firstLine="749"/>
        <w:spacing w:after="0" w:line="246" w:lineRule="auto"/>
        <w:rPr>
          <w:sz w:val="20"/>
          <w:szCs w:val="20"/>
          <w:color w:val="auto"/>
        </w:rPr>
      </w:pPr>
      <w:r>
        <w:rPr>
          <w:rFonts w:ascii="Times New Roman" w:cs="Times New Roman" w:eastAsia="Times New Roman" w:hAnsi="Times New Roman"/>
          <w:sz w:val="22"/>
          <w:szCs w:val="22"/>
          <w:i w:val="1"/>
          <w:iCs w:val="1"/>
          <w:color w:val="auto"/>
        </w:rPr>
        <w:t xml:space="preserve">“Ten Percent Owner” </w:t>
      </w:r>
      <w:r>
        <w:rPr>
          <w:rFonts w:ascii="Times New Roman" w:cs="Times New Roman" w:eastAsia="Times New Roman" w:hAnsi="Times New Roman"/>
          <w:sz w:val="22"/>
          <w:szCs w:val="22"/>
          <w:color w:val="auto"/>
        </w:rPr>
        <w:t>means an employee who owns or is deemed to own (by reason of the attribution rules of Section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424(d) of the Code) more than 10 percent of the combined voting power of all classes of stock of the Company or any parent or subsidiary corporation.</w:t>
      </w:r>
    </w:p>
    <w:p>
      <w:pPr>
        <w:spacing w:after="0" w:line="16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i w:val="1"/>
          <w:iCs w:val="1"/>
          <w:color w:val="auto"/>
        </w:rPr>
        <w:t xml:space="preserve">“Unrestricted Stock Award” </w:t>
      </w:r>
      <w:r>
        <w:rPr>
          <w:rFonts w:ascii="Times New Roman" w:cs="Times New Roman" w:eastAsia="Times New Roman" w:hAnsi="Times New Roman"/>
          <w:sz w:val="22"/>
          <w:szCs w:val="22"/>
          <w:color w:val="auto"/>
        </w:rPr>
        <w:t>means an Award of shares of Stock free of any restrictions.</w:t>
      </w:r>
    </w:p>
    <w:p>
      <w:pPr>
        <w:spacing w:after="0" w:line="210" w:lineRule="exact"/>
        <w:rPr>
          <w:sz w:val="20"/>
          <w:szCs w:val="20"/>
          <w:color w:val="auto"/>
        </w:rPr>
      </w:pPr>
    </w:p>
    <w:p>
      <w:pPr>
        <w:ind w:right="500" w:firstLine="8"/>
        <w:spacing w:after="0" w:line="258" w:lineRule="auto"/>
        <w:tabs>
          <w:tab w:leader="none" w:pos="509" w:val="left"/>
        </w:tabs>
        <w:numPr>
          <w:ilvl w:val="0"/>
          <w:numId w:val="38"/>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ADMINISTRATION OF PLAN; ADMINISTRATOR AUTHORITY TO SELECT GRANTEES AND DETERMINE AWARDS</w:t>
      </w:r>
    </w:p>
    <w:p>
      <w:pPr>
        <w:spacing w:after="0" w:line="158" w:lineRule="exact"/>
        <w:rPr>
          <w:rFonts w:ascii="Times New Roman" w:cs="Times New Roman" w:eastAsia="Times New Roman" w:hAnsi="Times New Roman"/>
          <w:sz w:val="22"/>
          <w:szCs w:val="22"/>
          <w:u w:val="single" w:color="auto"/>
          <w:color w:val="auto"/>
        </w:rPr>
      </w:pPr>
    </w:p>
    <w:p>
      <w:pPr>
        <w:ind w:left="1020" w:hanging="263"/>
        <w:spacing w:after="0"/>
        <w:tabs>
          <w:tab w:leader="none" w:pos="1020" w:val="left"/>
        </w:tabs>
        <w:numPr>
          <w:ilvl w:val="1"/>
          <w:numId w:val="38"/>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Administration of Plan</w:t>
      </w:r>
      <w:r>
        <w:rPr>
          <w:rFonts w:ascii="Times New Roman" w:cs="Times New Roman" w:eastAsia="Times New Roman" w:hAnsi="Times New Roman"/>
          <w:sz w:val="22"/>
          <w:szCs w:val="22"/>
          <w:color w:val="auto"/>
        </w:rPr>
        <w:t>. The Plan shall be administered by the Administrator.</w:t>
      </w:r>
    </w:p>
    <w:p>
      <w:pPr>
        <w:spacing w:after="0" w:line="206" w:lineRule="exact"/>
        <w:rPr>
          <w:rFonts w:ascii="Times New Roman" w:cs="Times New Roman" w:eastAsia="Times New Roman" w:hAnsi="Times New Roman"/>
          <w:sz w:val="22"/>
          <w:szCs w:val="22"/>
          <w:u w:val="single" w:color="auto"/>
          <w:color w:val="auto"/>
        </w:rPr>
      </w:pPr>
    </w:p>
    <w:p>
      <w:pPr>
        <w:ind w:right="140" w:firstLine="757"/>
        <w:spacing w:after="0" w:line="258" w:lineRule="auto"/>
        <w:tabs>
          <w:tab w:leader="none" w:pos="1018" w:val="left"/>
        </w:tabs>
        <w:numPr>
          <w:ilvl w:val="1"/>
          <w:numId w:val="38"/>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Powers of Administrator</w:t>
      </w:r>
      <w:r>
        <w:rPr>
          <w:rFonts w:ascii="Times New Roman" w:cs="Times New Roman" w:eastAsia="Times New Roman" w:hAnsi="Times New Roman"/>
          <w:sz w:val="22"/>
          <w:szCs w:val="22"/>
          <w:color w:val="auto"/>
        </w:rPr>
        <w:t>. The Administrator shall have the power and authority to grant Awards consistent with the terms of the Plan, including the power and authority: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to select the individuals to whom Awards may from time to time be granted;</w:t>
      </w:r>
    </w:p>
    <w:p>
      <w:pPr>
        <w:spacing w:after="0" w:line="200" w:lineRule="exact"/>
        <w:rPr>
          <w:sz w:val="20"/>
          <w:szCs w:val="20"/>
          <w:color w:val="auto"/>
        </w:rPr>
      </w:pPr>
    </w:p>
    <w:p>
      <w:pPr>
        <w:spacing w:after="0" w:line="26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4</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ACTIVE/72134752.4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04" w:right="379" w:bottom="1440" w:gutter="0" w:footer="0" w:header="0"/>
        </w:sectPr>
      </w:pPr>
    </w:p>
    <w:bookmarkStart w:id="108" w:name="page109"/>
    <w:bookmarkEnd w:id="108"/>
    <w:p>
      <w:pPr>
        <w:ind w:right="260"/>
        <w:spacing w:after="0" w:line="239" w:lineRule="auto"/>
        <w:rPr>
          <w:sz w:val="20"/>
          <w:szCs w:val="20"/>
          <w:color w:val="auto"/>
        </w:rPr>
      </w:pPr>
      <w:r>
        <w:rPr>
          <w:rFonts w:ascii="Times New Roman" w:cs="Times New Roman" w:eastAsia="Times New Roman" w:hAnsi="Times New Roman"/>
          <w:sz w:val="22"/>
          <w:szCs w:val="22"/>
          <w:color w:val="auto"/>
        </w:rPr>
        <w:t>to determine the time or times of grant, and the extent, if any, of Incentive Stock Options, Non-Qualified Stock Options, Stock Appreciation Rights, Restricted Stock Awards, Restricted Stock Units, Unrestricted Stock Awards, Cash-Based Awards, Performance Share Awards and Dividend Equivalent Rights, or any combination of the foregoing, granted to any one or more grantees;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to determine the number of shares of Stock to be covered by any Award;</w:t>
      </w:r>
    </w:p>
    <w:p>
      <w:pPr>
        <w:spacing w:after="0" w:line="206" w:lineRule="exact"/>
        <w:rPr>
          <w:sz w:val="20"/>
          <w:szCs w:val="20"/>
          <w:color w:val="auto"/>
        </w:rPr>
      </w:pPr>
    </w:p>
    <w:p>
      <w:pPr>
        <w:jc w:val="both"/>
        <w:ind w:right="60"/>
        <w:spacing w:after="0" w:line="244" w:lineRule="auto"/>
        <w:rPr>
          <w:sz w:val="20"/>
          <w:szCs w:val="20"/>
          <w:color w:val="auto"/>
        </w:rPr>
      </w:pPr>
      <w:r>
        <w:rPr>
          <w:rFonts w:ascii="Times New Roman" w:cs="Times New Roman" w:eastAsia="Times New Roman" w:hAnsi="Times New Roman"/>
          <w:sz w:val="22"/>
          <w:szCs w:val="22"/>
          <w:color w:val="auto"/>
        </w:rPr>
        <w:t>to determine and modify from time to time the terms and conditions, including restrictions, not inconsistent with the terms of the Plan, of any Award, which terms and conditions may differ among individual Awards and grantees, and to approve the forms of Award Certificates;</w:t>
      </w:r>
    </w:p>
    <w:p>
      <w:pPr>
        <w:spacing w:after="0" w:line="173"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22"/>
          <w:szCs w:val="22"/>
          <w:color w:val="auto"/>
        </w:rPr>
        <w:t>to accelerate at any time the exercisability or vesting of all or any portion of any Award in circumstances involving the grantee’s death, disability, retirement, or a change in control (including a Sale Event);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subject to the provisions of Section 5(b), to extend at any time the period in which Stock Options may be exercised; and</w:t>
      </w:r>
    </w:p>
    <w:p>
      <w:pPr>
        <w:spacing w:after="0" w:line="206" w:lineRule="exact"/>
        <w:rPr>
          <w:sz w:val="20"/>
          <w:szCs w:val="20"/>
          <w:color w:val="auto"/>
        </w:rPr>
      </w:pPr>
    </w:p>
    <w:p>
      <w:pPr>
        <w:ind w:right="60"/>
        <w:spacing w:after="0" w:line="239" w:lineRule="auto"/>
        <w:rPr>
          <w:sz w:val="20"/>
          <w:szCs w:val="20"/>
          <w:color w:val="auto"/>
        </w:rPr>
      </w:pPr>
      <w:r>
        <w:rPr>
          <w:rFonts w:ascii="Times New Roman" w:cs="Times New Roman" w:eastAsia="Times New Roman" w:hAnsi="Times New Roman"/>
          <w:sz w:val="22"/>
          <w:szCs w:val="22"/>
          <w:color w:val="auto"/>
        </w:rPr>
        <w:t>at any time to adopt, alter and repeal such rules, guidelines and practices for administration of the Plan and for its own acts and proceedings as it shall deem advisable; to interpret the terms and provisions of the Plan and any Award (including related written instruments); to make all determinations it deems advisable for the administration of the Plan; to decide all disputes arising in connection with the Plan; and to otherwise supervise the administration of the Plan.</w:t>
      </w:r>
    </w:p>
    <w:p>
      <w:pPr>
        <w:spacing w:after="0" w:line="180" w:lineRule="exact"/>
        <w:rPr>
          <w:sz w:val="20"/>
          <w:szCs w:val="20"/>
          <w:color w:val="auto"/>
        </w:rPr>
      </w:pPr>
    </w:p>
    <w:p>
      <w:pPr>
        <w:ind w:right="200" w:firstLine="749"/>
        <w:spacing w:after="0" w:line="258" w:lineRule="auto"/>
        <w:rPr>
          <w:sz w:val="20"/>
          <w:szCs w:val="20"/>
          <w:color w:val="auto"/>
        </w:rPr>
      </w:pPr>
      <w:r>
        <w:rPr>
          <w:rFonts w:ascii="Times New Roman" w:cs="Times New Roman" w:eastAsia="Times New Roman" w:hAnsi="Times New Roman"/>
          <w:sz w:val="22"/>
          <w:szCs w:val="22"/>
          <w:color w:val="auto"/>
        </w:rPr>
        <w:t>All decisions and interpretations of the Administrator shall be binding on all persons, including the Company and Plan grantees.</w:t>
      </w:r>
    </w:p>
    <w:p>
      <w:pPr>
        <w:spacing w:after="0" w:line="158" w:lineRule="exact"/>
        <w:rPr>
          <w:sz w:val="20"/>
          <w:szCs w:val="20"/>
          <w:color w:val="auto"/>
        </w:rPr>
      </w:pPr>
    </w:p>
    <w:p>
      <w:pPr>
        <w:ind w:firstLine="757"/>
        <w:spacing w:after="0" w:line="235" w:lineRule="auto"/>
        <w:tabs>
          <w:tab w:leader="none" w:pos="1018" w:val="left"/>
        </w:tabs>
        <w:numPr>
          <w:ilvl w:val="0"/>
          <w:numId w:val="39"/>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Delegation of Authority to Grant Options and Restricted Stock Units</w:t>
      </w:r>
      <w:r>
        <w:rPr>
          <w:rFonts w:ascii="Times New Roman" w:cs="Times New Roman" w:eastAsia="Times New Roman" w:hAnsi="Times New Roman"/>
          <w:sz w:val="22"/>
          <w:szCs w:val="22"/>
          <w:color w:val="auto"/>
        </w:rPr>
        <w:t>. Subject to applicable law, the Administrator, in its discretion, may delegate to the Chief Executive Officer or the Chief Financial Officer of the Company all or part of the Administrator’s authority and duties with respect to the granting of Options and Restricted Stock Units to individuals who are (i) not subject to the reporting and other provisions of Section 16 of the Exchange Act and (ii) not Covered Employees. Any such delegation by the Administrator shall include a limitation as to the amount of Options and Restricted Stock Units that may be granted during the period of the delegation and shall contain guidelines as to the determination of the exercise price and the vesting criteria. The Administrator may revoke or amend the terms of a delegation at any time but such action shall not invalidate any prior actions of the Administrator’s delegate or delegates that were consistent with the terms of the Plan.</w:t>
      </w:r>
    </w:p>
    <w:p>
      <w:pPr>
        <w:spacing w:after="0" w:line="178" w:lineRule="exact"/>
        <w:rPr>
          <w:rFonts w:ascii="Times New Roman" w:cs="Times New Roman" w:eastAsia="Times New Roman" w:hAnsi="Times New Roman"/>
          <w:sz w:val="22"/>
          <w:szCs w:val="22"/>
          <w:u w:val="single" w:color="auto"/>
          <w:color w:val="auto"/>
        </w:rPr>
      </w:pPr>
    </w:p>
    <w:p>
      <w:pPr>
        <w:ind w:right="640" w:firstLine="757"/>
        <w:spacing w:after="0" w:line="244" w:lineRule="auto"/>
        <w:tabs>
          <w:tab w:leader="none" w:pos="1018" w:val="left"/>
        </w:tabs>
        <w:numPr>
          <w:ilvl w:val="0"/>
          <w:numId w:val="39"/>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Award Certificate</w:t>
      </w:r>
      <w:r>
        <w:rPr>
          <w:rFonts w:ascii="Times New Roman" w:cs="Times New Roman" w:eastAsia="Times New Roman" w:hAnsi="Times New Roman"/>
          <w:sz w:val="22"/>
          <w:szCs w:val="22"/>
          <w:color w:val="auto"/>
        </w:rPr>
        <w:t>. Awards under the Plan shall be evidenced by Award Certificates that set forth the terms, conditions and limitations for each Award which may include, without limitation, the term of an Award and the provisions applicable in the event employment or service terminates.</w:t>
      </w:r>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5</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ACTIVE/72134752.4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08" w:right="379" w:bottom="1440" w:gutter="0" w:footer="0" w:header="0"/>
        </w:sectPr>
      </w:pPr>
    </w:p>
    <w:bookmarkStart w:id="109" w:name="page110"/>
    <w:bookmarkEnd w:id="109"/>
    <w:p>
      <w:pPr>
        <w:ind w:right="60" w:firstLine="757"/>
        <w:spacing w:after="0" w:line="235" w:lineRule="auto"/>
        <w:tabs>
          <w:tab w:leader="none" w:pos="1018" w:val="left"/>
        </w:tabs>
        <w:numPr>
          <w:ilvl w:val="1"/>
          <w:numId w:val="40"/>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Indemnification</w:t>
      </w:r>
      <w:r>
        <w:rPr>
          <w:rFonts w:ascii="Times New Roman" w:cs="Times New Roman" w:eastAsia="Times New Roman" w:hAnsi="Times New Roman"/>
          <w:sz w:val="22"/>
          <w:szCs w:val="22"/>
          <w:color w:val="auto"/>
        </w:rPr>
        <w:t>. Neither the Board nor the Administrator, nor any member of either or any delegate thereof, shall be liable for any act, omission, interpretation, construction or determination made in good faith in connection with the Plan, and the members of the Board and the Administrator (and any delegate thereof) shall be entitled in all cases to indemnification and reimbursement by the Company in respect of any claim, loss, damage or expense (including, without limitation, reasonable attorneys’ fees) arising or resulting therefrom to the fullest extent permitted by law and/or under the Company’s articles or bylaws or any directors’ and officers’ liability insurance coverage which may be in effect from time to time and/or any indemnification agreement between such individual and the Company.</w:t>
      </w:r>
    </w:p>
    <w:p>
      <w:pPr>
        <w:spacing w:after="0" w:line="183" w:lineRule="exact"/>
        <w:rPr>
          <w:rFonts w:ascii="Times New Roman" w:cs="Times New Roman" w:eastAsia="Times New Roman" w:hAnsi="Times New Roman"/>
          <w:sz w:val="22"/>
          <w:szCs w:val="22"/>
          <w:u w:val="single" w:color="auto"/>
          <w:color w:val="auto"/>
        </w:rPr>
      </w:pPr>
    </w:p>
    <w:p>
      <w:pPr>
        <w:jc w:val="both"/>
        <w:ind w:right="60" w:firstLine="757"/>
        <w:spacing w:after="0" w:line="246" w:lineRule="auto"/>
        <w:tabs>
          <w:tab w:leader="none" w:pos="1018" w:val="left"/>
        </w:tabs>
        <w:numPr>
          <w:ilvl w:val="1"/>
          <w:numId w:val="40"/>
        </w:numPr>
        <w:rPr>
          <w:rFonts w:ascii="Times New Roman" w:cs="Times New Roman" w:eastAsia="Times New Roman" w:hAnsi="Times New Roman"/>
          <w:sz w:val="21"/>
          <w:szCs w:val="21"/>
          <w:u w:val="single" w:color="auto"/>
          <w:color w:val="auto"/>
        </w:rPr>
      </w:pPr>
      <w:r>
        <w:rPr>
          <w:rFonts w:ascii="Times New Roman" w:cs="Times New Roman" w:eastAsia="Times New Roman" w:hAnsi="Times New Roman"/>
          <w:sz w:val="21"/>
          <w:szCs w:val="21"/>
          <w:u w:val="single" w:color="auto"/>
          <w:color w:val="auto"/>
        </w:rPr>
        <w:t>Foreign Award Recipients</w:t>
      </w:r>
      <w:r>
        <w:rPr>
          <w:rFonts w:ascii="Times New Roman" w:cs="Times New Roman" w:eastAsia="Times New Roman" w:hAnsi="Times New Roman"/>
          <w:sz w:val="21"/>
          <w:szCs w:val="21"/>
          <w:color w:val="auto"/>
        </w:rPr>
        <w:t>. Notwithstanding any provision of the Plan to the contrary, in order to comply with the laws in other countries in which the Company and its Subsidiaries operate or have employees or other individuals eligible for Awards, the Administrator, in its sole discretion, shall have the power and authority to: (i) determine which Subsidiaries shall be covered by the Plan; (ii) determine which individuals outside the United States are eligible to participate in the Plan; (iii) modify the terms and conditions of any Award granted to individuals outside the United States to comply with applicable foreign laws;</w:t>
      </w:r>
    </w:p>
    <w:p>
      <w:pPr>
        <w:spacing w:after="0" w:line="1" w:lineRule="exact"/>
        <w:rPr>
          <w:rFonts w:ascii="Times New Roman" w:cs="Times New Roman" w:eastAsia="Times New Roman" w:hAnsi="Times New Roman"/>
          <w:sz w:val="21"/>
          <w:szCs w:val="21"/>
          <w:u w:val="single" w:color="auto"/>
          <w:color w:val="auto"/>
        </w:rPr>
      </w:pPr>
    </w:p>
    <w:p>
      <w:pPr>
        <w:ind w:right="20" w:firstLine="8"/>
        <w:spacing w:after="0" w:line="232" w:lineRule="auto"/>
        <w:tabs>
          <w:tab w:leader="none" w:pos="366"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establish subplans and modify exercise procedures and other terms and procedures, to the extent the Administrator determines such actions to be necessary or advisable (and such subplans and/or modifications shall be attached to this Plan as appendices); provided, however, that no such subplans and/or modifications shall increase the share limitations contained in Section 3(a) hereof; and (v) take any action, before or after an Award is made, that the Administrator determines to be necessary or advisable to obtain approval or comply with any local governmental regulatory exemptions or approvals. Notwithstanding the foregoing, the Administrator may not take any actions hereunder, and no Awards shall be granted, that would violate the Exchange Act or any other applicable United States securities law, the Code, or any other applicable United States governing statute or law.</w:t>
      </w:r>
    </w:p>
    <w:p>
      <w:pPr>
        <w:spacing w:after="0" w:line="180" w:lineRule="exact"/>
        <w:rPr>
          <w:sz w:val="20"/>
          <w:szCs w:val="20"/>
          <w:color w:val="auto"/>
        </w:rPr>
      </w:pPr>
    </w:p>
    <w:p>
      <w:pPr>
        <w:ind w:left="520" w:hanging="512"/>
        <w:spacing w:after="0"/>
        <w:tabs>
          <w:tab w:leader="none" w:pos="520" w:val="left"/>
        </w:tabs>
        <w:numPr>
          <w:ilvl w:val="0"/>
          <w:numId w:val="42"/>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STOCK ISSUABLE UNDER THE PLAN; MERGERS; SUBSTITUTION</w:t>
      </w:r>
    </w:p>
    <w:p>
      <w:pPr>
        <w:spacing w:after="0" w:line="206" w:lineRule="exact"/>
        <w:rPr>
          <w:rFonts w:ascii="Times New Roman" w:cs="Times New Roman" w:eastAsia="Times New Roman" w:hAnsi="Times New Roman"/>
          <w:sz w:val="22"/>
          <w:szCs w:val="22"/>
          <w:u w:val="single" w:color="auto"/>
          <w:color w:val="auto"/>
        </w:rPr>
      </w:pPr>
    </w:p>
    <w:p>
      <w:pPr>
        <w:ind w:firstLine="749"/>
        <w:spacing w:after="0" w:line="233" w:lineRule="auto"/>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a. Stock Issuable</w:t>
      </w:r>
      <w:r>
        <w:rPr>
          <w:rFonts w:ascii="Times New Roman" w:cs="Times New Roman" w:eastAsia="Times New Roman" w:hAnsi="Times New Roman"/>
          <w:sz w:val="22"/>
          <w:szCs w:val="22"/>
          <w:color w:val="auto"/>
        </w:rPr>
        <w:t>. The maximum number of shares of Stock reserved and available for issuance under the Plan shall be 1,973,551 shares (the “Initial Limit”), subject to adjustment as provided in Section 3(c), plus on January 1, 2015 and each January 1 thereafter, the number of shares of Stock reserved and available for issuance under the Plan shall be cumulatively increased by 5 percent of the number of shares of Stock issued and outstanding on the immediately preceding December 31 or such lesser number of shares of Stock as determined by the Administrator (the “Annual Increase”). Subject to such overall limitation, the maximum aggregate number of shares of Stock that may be issued in the form of Incentive Stock Options shall not exceed the Initial Limit cumulatively increased on January 1, 2015 and on each January 1 thereafter by the lesser of the Annual Increase for such year or 1,000,000 shares of Stock, subject in all cases to adjustment as provided in Section 3(c). The shares of Stock underlying any Awards under the Plan and under the Company’s 2007 Equity Incentive Plan that are forfeited, canceled, held back upon exercise of an Option or settlement of an Award to cover the exercise price or tax withholding, reacquired by the Company prior to vesting, satisfied without the issuance of Stock or otherwise terminated (other than by exercise) shall be added back to the shares of Stock available for issuance under the Plan. In the event the Company repurchases shares of Stock on the open market, such shares shall not be added to the shares of Stock</w:t>
      </w:r>
    </w:p>
    <w:p>
      <w:pPr>
        <w:spacing w:after="0" w:line="200" w:lineRule="exact"/>
        <w:rPr>
          <w:sz w:val="20"/>
          <w:szCs w:val="20"/>
          <w:color w:val="auto"/>
        </w:rPr>
      </w:pPr>
    </w:p>
    <w:p>
      <w:pPr>
        <w:spacing w:after="0" w:line="23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6</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ACTIVE/72134752.4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08" w:right="379" w:bottom="1440" w:gutter="0" w:footer="0" w:header="0"/>
        </w:sectPr>
      </w:pPr>
    </w:p>
    <w:bookmarkStart w:id="110" w:name="page111"/>
    <w:bookmarkEnd w:id="110"/>
    <w:p>
      <w:pPr>
        <w:ind w:right="20"/>
        <w:spacing w:after="0" w:line="238" w:lineRule="auto"/>
        <w:rPr>
          <w:sz w:val="20"/>
          <w:szCs w:val="20"/>
          <w:color w:val="auto"/>
        </w:rPr>
      </w:pPr>
      <w:r>
        <w:rPr>
          <w:rFonts w:ascii="Times New Roman" w:cs="Times New Roman" w:eastAsia="Times New Roman" w:hAnsi="Times New Roman"/>
          <w:sz w:val="22"/>
          <w:szCs w:val="22"/>
          <w:color w:val="auto"/>
        </w:rPr>
        <w:t>available for issuance under the Plan. Subject to such overall limitations, shares of Stock may be issued up to such maximum number pursuant to any type or types of Award; provided, however, that Stock Options or Stock Appreciation Rights with respect to no more than 1,000,000 shares of Stock may be granted to any one individual grantee during any one calendar year period. The shares available for issuance under the Plan may be authorized but unissued shares of Stock or shares of Stock reacquired by the Company.</w:t>
      </w:r>
    </w:p>
    <w:p>
      <w:pPr>
        <w:spacing w:after="0" w:line="177" w:lineRule="exact"/>
        <w:rPr>
          <w:sz w:val="20"/>
          <w:szCs w:val="20"/>
          <w:color w:val="auto"/>
        </w:rPr>
      </w:pPr>
    </w:p>
    <w:p>
      <w:pPr>
        <w:ind w:left="1020" w:hanging="263"/>
        <w:spacing w:after="0"/>
        <w:tabs>
          <w:tab w:leader="none" w:pos="1020" w:val="left"/>
        </w:tabs>
        <w:numPr>
          <w:ilvl w:val="0"/>
          <w:numId w:val="43"/>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color w:val="auto"/>
        </w:rPr>
        <w:t>[Reserved.]</w:t>
      </w:r>
    </w:p>
    <w:p>
      <w:pPr>
        <w:spacing w:after="0" w:line="206" w:lineRule="exact"/>
        <w:rPr>
          <w:rFonts w:ascii="Times New Roman" w:cs="Times New Roman" w:eastAsia="Times New Roman" w:hAnsi="Times New Roman"/>
          <w:sz w:val="22"/>
          <w:szCs w:val="22"/>
          <w:u w:val="single" w:color="auto"/>
          <w:color w:val="auto"/>
        </w:rPr>
      </w:pPr>
    </w:p>
    <w:p>
      <w:pPr>
        <w:ind w:firstLine="757"/>
        <w:spacing w:after="0" w:line="232" w:lineRule="auto"/>
        <w:tabs>
          <w:tab w:leader="none" w:pos="1018" w:val="left"/>
        </w:tabs>
        <w:numPr>
          <w:ilvl w:val="0"/>
          <w:numId w:val="43"/>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Changes in Stock</w:t>
      </w:r>
      <w:r>
        <w:rPr>
          <w:rFonts w:ascii="Times New Roman" w:cs="Times New Roman" w:eastAsia="Times New Roman" w:hAnsi="Times New Roman"/>
          <w:sz w:val="22"/>
          <w:szCs w:val="22"/>
          <w:color w:val="auto"/>
        </w:rPr>
        <w:t>. Subject to Section 3(d) hereof, if, as a result of any reorganization, recapitalization, reclassification, stock dividend, stock split, reverse stock split or other similar change in the Company’s capital stock, the outstanding shares of Stock are increased or decreased or are exchanged for a different number or kind of shares or other securities of the Company, or additional shares or new or different shares or other securities of the Company or other non-cash assets are distributed with respect to such shares of Stock or other securities, or, if, as a result of any merger or consolidation, sale of all or substantially all of the assets of the Company, the outstanding shares of Stock are converted into or exchanged for securities of the Company or any successor entity (or a parent or subsidiary thereof), the Administrator shall make an appropriate or proportionate adjustment in (i) the maximum number of shares reserved for issuance under the Plan, including the maximum number of shares that may be issued in the form of Incentive Stock Options, (ii) the number of Stock Options or Stock Appreciation Rights that can be granted to any one individual grantee and the maximum number of shares that may be granted under a Performance-Based Award, (iii) the number and kind of shares or other securities subject to any then outstanding Awards under the Plan, (iv) the repurchase price, if any, per share subject to each outstanding Restricted Stock Award, and (v) the exercise price for each share subject to any then outstanding Stock Options and Stock Appreciation Rights under the Plan, without changing the aggregate exercise price (i.e., the exercise price multiplied by the number of Stock Options and Stock Appreciation Rights) as to which such Stock Options and Stock Appreciation Rights remain exercisable. The Administrator shall also make equitable or proportionate adjustments in the number of shares subject to outstanding Awards and the exercise price and the terms of outstanding Awards to take into consideration cash dividends paid other than in the ordinary course or any other extraordinary corporate event. The adjustment by the Administrator shall be final, binding and conclusive. No fractional shares of Stock shall be issued under the Plan resulting from any such adjustment, but the Administrator in its discretion may make a cash payment in lieu of fractional shares.</w:t>
      </w:r>
    </w:p>
    <w:p>
      <w:pPr>
        <w:spacing w:after="0" w:line="185" w:lineRule="exact"/>
        <w:rPr>
          <w:rFonts w:ascii="Times New Roman" w:cs="Times New Roman" w:eastAsia="Times New Roman" w:hAnsi="Times New Roman"/>
          <w:sz w:val="22"/>
          <w:szCs w:val="22"/>
          <w:u w:val="single" w:color="auto"/>
          <w:color w:val="auto"/>
        </w:rPr>
      </w:pPr>
    </w:p>
    <w:p>
      <w:pPr>
        <w:ind w:right="20" w:firstLine="757"/>
        <w:spacing w:after="0" w:line="247" w:lineRule="auto"/>
        <w:tabs>
          <w:tab w:leader="none" w:pos="1018" w:val="left"/>
        </w:tabs>
        <w:numPr>
          <w:ilvl w:val="0"/>
          <w:numId w:val="43"/>
        </w:numPr>
        <w:rPr>
          <w:rFonts w:ascii="Times New Roman" w:cs="Times New Roman" w:eastAsia="Times New Roman" w:hAnsi="Times New Roman"/>
          <w:sz w:val="21"/>
          <w:szCs w:val="21"/>
          <w:u w:val="single" w:color="auto"/>
          <w:color w:val="auto"/>
        </w:rPr>
      </w:pPr>
      <w:r>
        <w:rPr>
          <w:rFonts w:ascii="Times New Roman" w:cs="Times New Roman" w:eastAsia="Times New Roman" w:hAnsi="Times New Roman"/>
          <w:sz w:val="21"/>
          <w:szCs w:val="21"/>
          <w:u w:val="single" w:color="auto"/>
          <w:color w:val="auto"/>
        </w:rPr>
        <w:t>Mergers and Other Transactions</w:t>
      </w:r>
      <w:r>
        <w:rPr>
          <w:rFonts w:ascii="Times New Roman" w:cs="Times New Roman" w:eastAsia="Times New Roman" w:hAnsi="Times New Roman"/>
          <w:sz w:val="21"/>
          <w:szCs w:val="21"/>
          <w:color w:val="auto"/>
        </w:rPr>
        <w:t>. In the case of and subject to the consummation of a Sale Event, the parties thereto may cause the assumption or continuation of Awards theretofore granted by the successor entity, or the substitution of such Awards with new Awards of the successor entity or parent thereof, with appropriate adjustment as to the number and kind of shares and, if appropriate, the per share exercise prices, as such parties shall agree. To the extent the parties to such Sale Event do not provide for the assumption, continuation or substitution of Awards, upon the effective time of the Sale Event, the Plan and all outstanding Awards granted hereunder shall terminate. In such case except as may be otherwise provided in the relevant Award Certificate, all Options and Stock Appreciation Rights that are not exercisable immediately prior to the effective time of the Sale Event shall become fully exercisable as of the effective time of the Sale Event, all other Awards with time-based vesting,</w:t>
      </w:r>
    </w:p>
    <w:p>
      <w:pPr>
        <w:spacing w:after="0" w:line="200" w:lineRule="exact"/>
        <w:rPr>
          <w:sz w:val="20"/>
          <w:szCs w:val="20"/>
          <w:color w:val="auto"/>
        </w:rPr>
      </w:pPr>
    </w:p>
    <w:p>
      <w:pPr>
        <w:spacing w:after="0" w:line="22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7</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ACTIVE/72134752.4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8" w:right="359" w:bottom="1440" w:gutter="0" w:footer="0" w:header="0"/>
        </w:sectPr>
      </w:pPr>
    </w:p>
    <w:bookmarkStart w:id="111" w:name="page112"/>
    <w:bookmarkEnd w:id="111"/>
    <w:p>
      <w:pPr>
        <w:ind w:right="120"/>
        <w:spacing w:after="0" w:line="246" w:lineRule="auto"/>
        <w:rPr>
          <w:sz w:val="20"/>
          <w:szCs w:val="20"/>
          <w:color w:val="auto"/>
        </w:rPr>
      </w:pPr>
      <w:r>
        <w:rPr>
          <w:rFonts w:ascii="Times New Roman" w:cs="Times New Roman" w:eastAsia="Times New Roman" w:hAnsi="Times New Roman"/>
          <w:sz w:val="21"/>
          <w:szCs w:val="21"/>
          <w:color w:val="auto"/>
        </w:rPr>
        <w:t>conditions or restrictions shall become fully vested and nonforfeitable as of the effective time of the Sale Event and all Awards with conditions and restrictions relating to the attainment of performance goals may become vested and nonforfeitable in connection with a Sale Event in the Administrator’s discretion or to the extent specified in the relevant Award Certificate. In the event of such termination, (i) the Company shall have the option (in its sole discretion) to make or provide for a cash payment to the grantees holding Options and Stock Appreciation Rights, in exchange for the cancellation thereof, in an amount equal to the difference between (A) the Sale Price multiplied by the number of shares of Stock subject to outstanding Options and Stock Appreciation Rights (to the extent then exercisable at prices not in excess of the Sale Price) and (B) the aggregate exercise price of all such outstanding Options and Stock Appreciation Rights; or (ii) each grantee shall be permitted, within a specified period of time prior to the consummation of the Sale Event as determined by the Administrator, to exercise all outstanding Options and Stock Appreciation Rights (to the extent then exercisable) held by such grantee.</w:t>
      </w:r>
    </w:p>
    <w:p>
      <w:pPr>
        <w:spacing w:after="0" w:line="171" w:lineRule="exact"/>
        <w:rPr>
          <w:sz w:val="20"/>
          <w:szCs w:val="20"/>
          <w:color w:val="auto"/>
        </w:rPr>
      </w:pPr>
    </w:p>
    <w:p>
      <w:pPr>
        <w:ind w:right="40" w:firstLine="757"/>
        <w:spacing w:after="0" w:line="236" w:lineRule="auto"/>
        <w:tabs>
          <w:tab w:leader="none" w:pos="1018" w:val="left"/>
        </w:tabs>
        <w:numPr>
          <w:ilvl w:val="1"/>
          <w:numId w:val="44"/>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Substitute Awards</w:t>
      </w:r>
      <w:r>
        <w:rPr>
          <w:rFonts w:ascii="Times New Roman" w:cs="Times New Roman" w:eastAsia="Times New Roman" w:hAnsi="Times New Roman"/>
          <w:sz w:val="22"/>
          <w:szCs w:val="22"/>
          <w:color w:val="auto"/>
        </w:rPr>
        <w:t>. The Administrator may grant Awards under the Plan in substitution for stock and stock based awards held by employees, directors or other key persons of another corporation in connection with the merger or consolidation of the employing corporation with the Company or a Subsidiary or the acquisition by the Company or a Subsidiary of property or stock of the employing corporation. The Administrator may direct that the substitute awards be granted on such terms and conditions as the Administrator considers appropriate in the circumstances. Any substitute Awards granted under the Plan shall not count against the share limitation set forth in Section 3(a).</w:t>
      </w:r>
    </w:p>
    <w:p>
      <w:pPr>
        <w:spacing w:after="0" w:line="181" w:lineRule="exact"/>
        <w:rPr>
          <w:rFonts w:ascii="Times New Roman" w:cs="Times New Roman" w:eastAsia="Times New Roman" w:hAnsi="Times New Roman"/>
          <w:sz w:val="22"/>
          <w:szCs w:val="22"/>
          <w:u w:val="single" w:color="auto"/>
          <w:color w:val="auto"/>
        </w:rPr>
      </w:pPr>
    </w:p>
    <w:p>
      <w:pPr>
        <w:ind w:left="520" w:hanging="512"/>
        <w:spacing w:after="0"/>
        <w:tabs>
          <w:tab w:leader="none" w:pos="520" w:val="left"/>
        </w:tabs>
        <w:numPr>
          <w:ilvl w:val="0"/>
          <w:numId w:val="45"/>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ELIGIBILITY</w:t>
      </w:r>
    </w:p>
    <w:p>
      <w:pPr>
        <w:spacing w:after="0" w:line="206" w:lineRule="exact"/>
        <w:rPr>
          <w:sz w:val="20"/>
          <w:szCs w:val="20"/>
          <w:color w:val="auto"/>
        </w:rPr>
      </w:pPr>
    </w:p>
    <w:p>
      <w:pPr>
        <w:ind w:right="460" w:firstLine="749"/>
        <w:spacing w:after="0" w:line="282" w:lineRule="auto"/>
        <w:rPr>
          <w:sz w:val="20"/>
          <w:szCs w:val="20"/>
          <w:color w:val="auto"/>
        </w:rPr>
      </w:pPr>
      <w:r>
        <w:rPr>
          <w:rFonts w:ascii="Times New Roman" w:cs="Times New Roman" w:eastAsia="Times New Roman" w:hAnsi="Times New Roman"/>
          <w:sz w:val="21"/>
          <w:szCs w:val="21"/>
          <w:color w:val="auto"/>
        </w:rPr>
        <w:t>Grantees under the Plan will be such full or part-time officers and other employees, Non-Employee Directors and Consultants of the Company and its Subsidiaries as are selected from time to time by the Administrator in its sole discretion.</w:t>
      </w:r>
    </w:p>
    <w:p>
      <w:pPr>
        <w:spacing w:after="0" w:line="135" w:lineRule="exact"/>
        <w:rPr>
          <w:sz w:val="20"/>
          <w:szCs w:val="20"/>
          <w:color w:val="auto"/>
        </w:rPr>
      </w:pPr>
    </w:p>
    <w:p>
      <w:pPr>
        <w:ind w:left="520" w:hanging="512"/>
        <w:spacing w:after="0"/>
        <w:tabs>
          <w:tab w:leader="none" w:pos="520" w:val="left"/>
        </w:tabs>
        <w:numPr>
          <w:ilvl w:val="0"/>
          <w:numId w:val="46"/>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STOCK OPTIONS</w:t>
      </w:r>
    </w:p>
    <w:p>
      <w:pPr>
        <w:spacing w:after="0" w:line="206" w:lineRule="exact"/>
        <w:rPr>
          <w:rFonts w:ascii="Times New Roman" w:cs="Times New Roman" w:eastAsia="Times New Roman" w:hAnsi="Times New Roman"/>
          <w:sz w:val="22"/>
          <w:szCs w:val="22"/>
          <w:u w:val="single" w:color="auto"/>
          <w:color w:val="auto"/>
        </w:rPr>
      </w:pPr>
    </w:p>
    <w:p>
      <w:pPr>
        <w:ind w:right="420" w:firstLine="749"/>
        <w:spacing w:after="0" w:line="258" w:lineRule="auto"/>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a. Award of Stock Options</w:t>
      </w:r>
      <w:r>
        <w:rPr>
          <w:rFonts w:ascii="Times New Roman" w:cs="Times New Roman" w:eastAsia="Times New Roman" w:hAnsi="Times New Roman"/>
          <w:sz w:val="22"/>
          <w:szCs w:val="22"/>
          <w:color w:val="auto"/>
        </w:rPr>
        <w:t>. The Administrator may grant Stock Options under the Plan. Any Stock Option granted under the Plan shall be in such form as the Administrator may from time to time approve.</w:t>
      </w:r>
    </w:p>
    <w:p>
      <w:pPr>
        <w:spacing w:after="0" w:line="158" w:lineRule="exact"/>
        <w:rPr>
          <w:sz w:val="20"/>
          <w:szCs w:val="20"/>
          <w:color w:val="auto"/>
        </w:rPr>
      </w:pPr>
    </w:p>
    <w:p>
      <w:pPr>
        <w:ind w:right="80" w:firstLine="749"/>
        <w:spacing w:after="0" w:line="239" w:lineRule="auto"/>
        <w:rPr>
          <w:sz w:val="20"/>
          <w:szCs w:val="20"/>
          <w:color w:val="auto"/>
        </w:rPr>
      </w:pPr>
      <w:r>
        <w:rPr>
          <w:rFonts w:ascii="Times New Roman" w:cs="Times New Roman" w:eastAsia="Times New Roman" w:hAnsi="Times New Roman"/>
          <w:sz w:val="22"/>
          <w:szCs w:val="22"/>
          <w:color w:val="auto"/>
        </w:rPr>
        <w:t>Stock Options granted under the Plan may be either Incentive Stock Options or Non-Qualified Stock Options. Incentive Stock Options may be granted only to employees of the Company or any Subsidiary that is a “subsidiary corporation” within the meaning of Section 424(f) of the Code. To the extent that any Option does not qualify as an Incentive Stock Option, it shall be deemed a Non-Qualified Stock Option.</w:t>
      </w:r>
    </w:p>
    <w:p>
      <w:pPr>
        <w:spacing w:after="0" w:line="180" w:lineRule="exact"/>
        <w:rPr>
          <w:sz w:val="20"/>
          <w:szCs w:val="20"/>
          <w:color w:val="auto"/>
        </w:rPr>
      </w:pPr>
    </w:p>
    <w:p>
      <w:pPr>
        <w:ind w:firstLine="749"/>
        <w:spacing w:after="0" w:line="239" w:lineRule="auto"/>
        <w:rPr>
          <w:sz w:val="20"/>
          <w:szCs w:val="20"/>
          <w:color w:val="auto"/>
        </w:rPr>
      </w:pPr>
      <w:r>
        <w:rPr>
          <w:rFonts w:ascii="Times New Roman" w:cs="Times New Roman" w:eastAsia="Times New Roman" w:hAnsi="Times New Roman"/>
          <w:sz w:val="22"/>
          <w:szCs w:val="22"/>
          <w:color w:val="auto"/>
        </w:rPr>
        <w:t>Stock Options granted pursuant to this Section 5 shall be subject to the following terms and conditions and shall contain such additional terms and conditions, not inconsistent with the terms of the Plan, as the Administrator shall deem desirable. If the Administrator so determines, Stock Options may be granted in lieu of cash compensation at the optionee’s election, subject to such terms and conditions as the Administrator may establish.</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ACTIVE/72134752.4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12" w:name="page113"/>
    <w:bookmarkEnd w:id="112"/>
    <w:p>
      <w:pPr>
        <w:jc w:val="both"/>
        <w:ind w:right="60" w:firstLine="757"/>
        <w:spacing w:after="0" w:line="239" w:lineRule="auto"/>
        <w:tabs>
          <w:tab w:leader="none" w:pos="1018" w:val="left"/>
        </w:tabs>
        <w:numPr>
          <w:ilvl w:val="0"/>
          <w:numId w:val="47"/>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Exercise Price</w:t>
      </w:r>
      <w:r>
        <w:rPr>
          <w:rFonts w:ascii="Times New Roman" w:cs="Times New Roman" w:eastAsia="Times New Roman" w:hAnsi="Times New Roman"/>
          <w:sz w:val="22"/>
          <w:szCs w:val="22"/>
          <w:color w:val="auto"/>
        </w:rPr>
        <w:t>. The exercise price per share for the Stock covered by a Stock Option granted pursuant to this Section 5 shall be determined by the Administrator at the time of grant but shall not be less than 100 percent of the Fair Market Value on the date of grant. In the case of an Incentive Stock Option that is granted to a Ten Percent Owner, the option price of such Incentive Stock Option shall be not less than 110 percent of the Fair Market Value on the grant date.</w:t>
      </w:r>
    </w:p>
    <w:p>
      <w:pPr>
        <w:spacing w:after="0" w:line="180" w:lineRule="exact"/>
        <w:rPr>
          <w:rFonts w:ascii="Times New Roman" w:cs="Times New Roman" w:eastAsia="Times New Roman" w:hAnsi="Times New Roman"/>
          <w:sz w:val="22"/>
          <w:szCs w:val="22"/>
          <w:u w:val="single" w:color="auto"/>
          <w:color w:val="auto"/>
        </w:rPr>
      </w:pPr>
    </w:p>
    <w:p>
      <w:pPr>
        <w:jc w:val="both"/>
        <w:ind w:right="620" w:firstLine="757"/>
        <w:spacing w:after="0" w:line="261" w:lineRule="auto"/>
        <w:tabs>
          <w:tab w:leader="none" w:pos="1018" w:val="left"/>
        </w:tabs>
        <w:numPr>
          <w:ilvl w:val="0"/>
          <w:numId w:val="47"/>
        </w:numPr>
        <w:rPr>
          <w:rFonts w:ascii="Times New Roman" w:cs="Times New Roman" w:eastAsia="Times New Roman" w:hAnsi="Times New Roman"/>
          <w:sz w:val="21"/>
          <w:szCs w:val="21"/>
          <w:u w:val="single" w:color="auto"/>
          <w:color w:val="auto"/>
        </w:rPr>
      </w:pPr>
      <w:r>
        <w:rPr>
          <w:rFonts w:ascii="Times New Roman" w:cs="Times New Roman" w:eastAsia="Times New Roman" w:hAnsi="Times New Roman"/>
          <w:sz w:val="21"/>
          <w:szCs w:val="21"/>
          <w:u w:val="single" w:color="auto"/>
          <w:color w:val="auto"/>
        </w:rPr>
        <w:t>Option Term</w:t>
      </w:r>
      <w:r>
        <w:rPr>
          <w:rFonts w:ascii="Times New Roman" w:cs="Times New Roman" w:eastAsia="Times New Roman" w:hAnsi="Times New Roman"/>
          <w:sz w:val="21"/>
          <w:szCs w:val="21"/>
          <w:color w:val="auto"/>
        </w:rPr>
        <w:t>. The term of each Stock Option shall be fixed by the Administrator, but no Stock Option shall be exercisable more than ten years after the date the Stock Option is granted. In the case of an Incentive Stock Option that is granted to a Ten Percent Owner, the term of such Stock Option shall be no more than five years from the date of grant.</w:t>
      </w:r>
    </w:p>
    <w:p>
      <w:pPr>
        <w:spacing w:after="0" w:line="157" w:lineRule="exact"/>
        <w:rPr>
          <w:rFonts w:ascii="Times New Roman" w:cs="Times New Roman" w:eastAsia="Times New Roman" w:hAnsi="Times New Roman"/>
          <w:sz w:val="21"/>
          <w:szCs w:val="21"/>
          <w:u w:val="single" w:color="auto"/>
          <w:color w:val="auto"/>
        </w:rPr>
      </w:pPr>
    </w:p>
    <w:p>
      <w:pPr>
        <w:ind w:firstLine="757"/>
        <w:spacing w:after="0" w:line="239" w:lineRule="auto"/>
        <w:tabs>
          <w:tab w:leader="none" w:pos="1018" w:val="left"/>
        </w:tabs>
        <w:numPr>
          <w:ilvl w:val="0"/>
          <w:numId w:val="47"/>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Exercisability; Rights of a Stockholder</w:t>
      </w:r>
      <w:r>
        <w:rPr>
          <w:rFonts w:ascii="Times New Roman" w:cs="Times New Roman" w:eastAsia="Times New Roman" w:hAnsi="Times New Roman"/>
          <w:sz w:val="22"/>
          <w:szCs w:val="22"/>
          <w:color w:val="auto"/>
        </w:rPr>
        <w:t>. Stock Options shall become exercisable at such time or times, whether or not in installments, as shall be determined by the Administrator at or after the grant date. The Administrator may at any time accelerate the exercisability of all or any portion of any Stock Option. An optionee shall have the rights of a stockholder only as to shares acquired upon the exercise of a Stock Option and not as to unexercised Stock Options.</w:t>
      </w:r>
    </w:p>
    <w:p>
      <w:pPr>
        <w:spacing w:after="0" w:line="180" w:lineRule="exact"/>
        <w:rPr>
          <w:rFonts w:ascii="Times New Roman" w:cs="Times New Roman" w:eastAsia="Times New Roman" w:hAnsi="Times New Roman"/>
          <w:sz w:val="22"/>
          <w:szCs w:val="22"/>
          <w:u w:val="single" w:color="auto"/>
          <w:color w:val="auto"/>
        </w:rPr>
      </w:pPr>
    </w:p>
    <w:p>
      <w:pPr>
        <w:ind w:right="180" w:firstLine="757"/>
        <w:spacing w:after="0" w:line="244" w:lineRule="auto"/>
        <w:tabs>
          <w:tab w:leader="none" w:pos="1018" w:val="left"/>
        </w:tabs>
        <w:numPr>
          <w:ilvl w:val="0"/>
          <w:numId w:val="47"/>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Method of Exercise</w:t>
      </w:r>
      <w:r>
        <w:rPr>
          <w:rFonts w:ascii="Times New Roman" w:cs="Times New Roman" w:eastAsia="Times New Roman" w:hAnsi="Times New Roman"/>
          <w:sz w:val="22"/>
          <w:szCs w:val="22"/>
          <w:color w:val="auto"/>
        </w:rPr>
        <w:t>. Stock Options may be exercised in whole or in part, by giving written or electronic notice of exercise to the Company, specifying the number of shares to be purchased. Payment of the purchase price may be made by one or more of the following methods except to the extent otherwise provided in the Option Award Certificate: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 cash, by certified or bank check or other instrument acceptable to the Administrator;</w:t>
      </w:r>
    </w:p>
    <w:p>
      <w:pPr>
        <w:spacing w:after="0" w:line="206" w:lineRule="exact"/>
        <w:rPr>
          <w:sz w:val="20"/>
          <w:szCs w:val="20"/>
          <w:color w:val="auto"/>
        </w:rPr>
      </w:pPr>
    </w:p>
    <w:p>
      <w:pPr>
        <w:ind w:right="240"/>
        <w:spacing w:after="0" w:line="244" w:lineRule="auto"/>
        <w:rPr>
          <w:sz w:val="20"/>
          <w:szCs w:val="20"/>
          <w:color w:val="auto"/>
        </w:rPr>
      </w:pPr>
      <w:r>
        <w:rPr>
          <w:rFonts w:ascii="Times New Roman" w:cs="Times New Roman" w:eastAsia="Times New Roman" w:hAnsi="Times New Roman"/>
          <w:sz w:val="22"/>
          <w:szCs w:val="22"/>
          <w:color w:val="auto"/>
        </w:rPr>
        <w:t>Through the delivery (or attestation to the ownership following such procedures as the Company may prescribe) of shares of Stock that are not then subject to restrictions under any Company plan. Such surrendered shares shall be valued at Fair Market Value on the exercise date;</w:t>
      </w:r>
    </w:p>
    <w:p>
      <w:pPr>
        <w:spacing w:after="0" w:line="173" w:lineRule="exact"/>
        <w:rPr>
          <w:sz w:val="20"/>
          <w:szCs w:val="20"/>
          <w:color w:val="auto"/>
        </w:rPr>
      </w:pPr>
    </w:p>
    <w:p>
      <w:pPr>
        <w:ind w:right="40"/>
        <w:spacing w:after="0" w:line="238" w:lineRule="auto"/>
        <w:rPr>
          <w:sz w:val="20"/>
          <w:szCs w:val="20"/>
          <w:color w:val="auto"/>
        </w:rPr>
      </w:pPr>
      <w:r>
        <w:rPr>
          <w:rFonts w:ascii="Times New Roman" w:cs="Times New Roman" w:eastAsia="Times New Roman" w:hAnsi="Times New Roman"/>
          <w:sz w:val="22"/>
          <w:szCs w:val="22"/>
          <w:color w:val="auto"/>
        </w:rPr>
        <w:t>By the optionee delivering to the Company a properly executed exercise notice together with irrevocable instructions to a broker to promptly deliver to the Company cash or a check payable and acceptable to the Company for the purchase price; provided that in the event the optionee chooses to pay the purchase price as so provided, the optionee and the broker shall comply with such procedures and enter into such agreements of indemnity and other agreements as the Company shall prescribe as a condition of such payment procedure; or</w:t>
      </w:r>
    </w:p>
    <w:p>
      <w:pPr>
        <w:spacing w:after="0" w:line="177" w:lineRule="exact"/>
        <w:rPr>
          <w:sz w:val="20"/>
          <w:szCs w:val="20"/>
          <w:color w:val="auto"/>
        </w:rPr>
      </w:pPr>
    </w:p>
    <w:p>
      <w:pPr>
        <w:ind w:right="380"/>
        <w:spacing w:after="0" w:line="244" w:lineRule="auto"/>
        <w:rPr>
          <w:sz w:val="20"/>
          <w:szCs w:val="20"/>
          <w:color w:val="auto"/>
        </w:rPr>
      </w:pPr>
      <w:r>
        <w:rPr>
          <w:rFonts w:ascii="Times New Roman" w:cs="Times New Roman" w:eastAsia="Times New Roman" w:hAnsi="Times New Roman"/>
          <w:sz w:val="22"/>
          <w:szCs w:val="22"/>
          <w:color w:val="auto"/>
        </w:rPr>
        <w:t>With respect to Stock Options that are not Incentive Stock Options, by a “net exercise” arrangement pursuant to which the Company will reduce the number of shares of Stock issuable upon exercise by the largest whole number of shares with a Fair Market Value that does not exceed the aggregate exercise price.</w:t>
      </w:r>
    </w:p>
    <w:p>
      <w:pPr>
        <w:spacing w:after="0" w:line="173" w:lineRule="exact"/>
        <w:rPr>
          <w:sz w:val="20"/>
          <w:szCs w:val="20"/>
          <w:color w:val="auto"/>
        </w:rPr>
      </w:pPr>
    </w:p>
    <w:p>
      <w:pPr>
        <w:ind w:right="120" w:firstLine="749"/>
        <w:spacing w:after="0" w:line="236" w:lineRule="auto"/>
        <w:rPr>
          <w:sz w:val="20"/>
          <w:szCs w:val="20"/>
          <w:color w:val="auto"/>
        </w:rPr>
      </w:pPr>
      <w:r>
        <w:rPr>
          <w:rFonts w:ascii="Times New Roman" w:cs="Times New Roman" w:eastAsia="Times New Roman" w:hAnsi="Times New Roman"/>
          <w:sz w:val="22"/>
          <w:szCs w:val="22"/>
          <w:color w:val="auto"/>
        </w:rPr>
        <w:t>Payment instruments will be received subject to collection. The transfer to the optionee on the records of the Company or of the transfer agent of the shares of Stock to be purchased pursuant to the exercise of a Stock Option will be contingent upon receipt from the optionee (or a purchaser acting in his stead in accordance with the provisions of the Stock Option) by the Company of the full purchase price for such shares and the fulfillment of any other requirements contained in the Option Award Certificate or applicable provisions of laws (including the satisfaction of any withholding taxes that the Company is obligated to withhold with respect to</w:t>
      </w:r>
    </w:p>
    <w:p>
      <w:pPr>
        <w:spacing w:after="0" w:line="200" w:lineRule="exact"/>
        <w:rPr>
          <w:sz w:val="20"/>
          <w:szCs w:val="20"/>
          <w:color w:val="auto"/>
        </w:rPr>
      </w:pPr>
    </w:p>
    <w:p>
      <w:pPr>
        <w:spacing w:after="0" w:line="23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9</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ACTIVE/72134752.4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8" w:right="359" w:bottom="1440" w:gutter="0" w:footer="0" w:header="0"/>
        </w:sectPr>
      </w:pPr>
    </w:p>
    <w:bookmarkStart w:id="113" w:name="page114"/>
    <w:bookmarkEnd w:id="113"/>
    <w:p>
      <w:pPr>
        <w:spacing w:after="0" w:line="238" w:lineRule="auto"/>
        <w:rPr>
          <w:sz w:val="20"/>
          <w:szCs w:val="20"/>
          <w:color w:val="auto"/>
        </w:rPr>
      </w:pPr>
      <w:r>
        <w:rPr>
          <w:rFonts w:ascii="Times New Roman" w:cs="Times New Roman" w:eastAsia="Times New Roman" w:hAnsi="Times New Roman"/>
          <w:sz w:val="22"/>
          <w:szCs w:val="22"/>
          <w:color w:val="auto"/>
        </w:rPr>
        <w:t>the optionee). In the event an optionee chooses to pay the purchase price by previously-owned shares of Stock through the attestation method, the number of shares of Stock transferred to the optionee upon the exercise of the Stock Option shall be net of the number of attested shares. In the event that the Company establishes, for itself or using the services of a third party, an automated system for the exercise of Stock Options, such as a system using an internet website or interactive voice response, then the paperless exercise of Stock Options may be permitted through the use of such an automated system.</w:t>
      </w:r>
    </w:p>
    <w:p>
      <w:pPr>
        <w:spacing w:after="0" w:line="177" w:lineRule="exact"/>
        <w:rPr>
          <w:sz w:val="20"/>
          <w:szCs w:val="20"/>
          <w:color w:val="auto"/>
        </w:rPr>
      </w:pPr>
    </w:p>
    <w:p>
      <w:pPr>
        <w:ind w:right="80" w:firstLine="757"/>
        <w:spacing w:after="0" w:line="238" w:lineRule="auto"/>
        <w:tabs>
          <w:tab w:leader="none" w:pos="1018" w:val="left"/>
        </w:tabs>
        <w:numPr>
          <w:ilvl w:val="1"/>
          <w:numId w:val="48"/>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Annual Limit on Incentive Stock Options</w:t>
      </w:r>
      <w:r>
        <w:rPr>
          <w:rFonts w:ascii="Times New Roman" w:cs="Times New Roman" w:eastAsia="Times New Roman" w:hAnsi="Times New Roman"/>
          <w:sz w:val="22"/>
          <w:szCs w:val="22"/>
          <w:color w:val="auto"/>
        </w:rPr>
        <w:t>. To the extent required for “incentive stock option” treatment under Section 422 of the Code, the aggregate Fair Market Value (determined as of the time of grant) of the shares of Stock with respect to which Incentive Stock Options granted under this Plan and any other plan of the Company or its parent and subsidiary corporations become exercisable for the first time by an optionee during any calendar year shall not exceed $100,000. To the extent that any Stock Option exceeds this limit, it shall constitute a Non-Qualified Stock Option.</w:t>
      </w:r>
    </w:p>
    <w:p>
      <w:pPr>
        <w:spacing w:after="0" w:line="176" w:lineRule="exact"/>
        <w:rPr>
          <w:rFonts w:ascii="Times New Roman" w:cs="Times New Roman" w:eastAsia="Times New Roman" w:hAnsi="Times New Roman"/>
          <w:sz w:val="22"/>
          <w:szCs w:val="22"/>
          <w:u w:val="single" w:color="auto"/>
          <w:color w:val="auto"/>
        </w:rPr>
      </w:pPr>
    </w:p>
    <w:p>
      <w:pPr>
        <w:ind w:left="520" w:hanging="512"/>
        <w:spacing w:after="0"/>
        <w:tabs>
          <w:tab w:leader="none" w:pos="520" w:val="left"/>
        </w:tabs>
        <w:numPr>
          <w:ilvl w:val="0"/>
          <w:numId w:val="49"/>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STOCK APPRECIATION RIGHTS</w:t>
      </w:r>
    </w:p>
    <w:p>
      <w:pPr>
        <w:spacing w:after="0" w:line="206" w:lineRule="exact"/>
        <w:rPr>
          <w:rFonts w:ascii="Times New Roman" w:cs="Times New Roman" w:eastAsia="Times New Roman" w:hAnsi="Times New Roman"/>
          <w:sz w:val="22"/>
          <w:szCs w:val="22"/>
          <w:u w:val="single" w:color="auto"/>
          <w:color w:val="auto"/>
        </w:rPr>
      </w:pPr>
    </w:p>
    <w:p>
      <w:pPr>
        <w:ind w:right="220" w:firstLine="757"/>
        <w:spacing w:after="0" w:line="239" w:lineRule="auto"/>
        <w:tabs>
          <w:tab w:leader="none" w:pos="1018" w:val="left"/>
        </w:tabs>
        <w:numPr>
          <w:ilvl w:val="1"/>
          <w:numId w:val="49"/>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Award of Stock Appreciation Rights</w:t>
      </w:r>
      <w:r>
        <w:rPr>
          <w:rFonts w:ascii="Times New Roman" w:cs="Times New Roman" w:eastAsia="Times New Roman" w:hAnsi="Times New Roman"/>
          <w:sz w:val="22"/>
          <w:szCs w:val="22"/>
          <w:color w:val="auto"/>
        </w:rPr>
        <w:t>. The Administrator may grant Stock Appreciation Rights under the Plan. A Stock Appreciation right is an award entitling the recipient to receive shares of Stock having a value equal to the excess of the Fair Market Value of a share of Stock on the date of exercise over the exercise price of the Stock Appreciation Right multiplied by the number of shares of Stock with respect to which the Stock Appreciation Right shall have been exercised.</w:t>
      </w:r>
    </w:p>
    <w:p>
      <w:pPr>
        <w:spacing w:after="0" w:line="180" w:lineRule="exact"/>
        <w:rPr>
          <w:rFonts w:ascii="Times New Roman" w:cs="Times New Roman" w:eastAsia="Times New Roman" w:hAnsi="Times New Roman"/>
          <w:sz w:val="22"/>
          <w:szCs w:val="22"/>
          <w:u w:val="single" w:color="auto"/>
          <w:color w:val="auto"/>
        </w:rPr>
      </w:pPr>
    </w:p>
    <w:p>
      <w:pPr>
        <w:ind w:left="1020" w:hanging="263"/>
        <w:spacing w:after="0"/>
        <w:tabs>
          <w:tab w:leader="none" w:pos="1020" w:val="left"/>
        </w:tabs>
        <w:numPr>
          <w:ilvl w:val="1"/>
          <w:numId w:val="49"/>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Exercise Price of Stock Appreciation Rights</w:t>
      </w:r>
      <w:r>
        <w:rPr>
          <w:rFonts w:ascii="Times New Roman" w:cs="Times New Roman" w:eastAsia="Times New Roman" w:hAnsi="Times New Roman"/>
          <w:sz w:val="22"/>
          <w:szCs w:val="22"/>
          <w:color w:val="auto"/>
        </w:rPr>
        <w:t>. The exercise price of a Stock Appreciation Right shall not be less than</w:t>
      </w:r>
    </w:p>
    <w:p>
      <w:pPr>
        <w:spacing w:after="0" w:line="14" w:lineRule="exact"/>
        <w:rPr>
          <w:rFonts w:ascii="Times New Roman" w:cs="Times New Roman" w:eastAsia="Times New Roman" w:hAnsi="Times New Roman"/>
          <w:sz w:val="22"/>
          <w:szCs w:val="22"/>
          <w:u w:val="single" w:color="auto"/>
          <w:color w:val="auto"/>
        </w:rPr>
      </w:pPr>
    </w:p>
    <w:p>
      <w:pPr>
        <w:ind w:left="380" w:hanging="372"/>
        <w:spacing w:after="0"/>
        <w:tabs>
          <w:tab w:leader="none" w:pos="380"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the Fair Market Value of the Stock on the date of grant.</w:t>
      </w:r>
    </w:p>
    <w:p>
      <w:pPr>
        <w:spacing w:after="0" w:line="182" w:lineRule="exact"/>
        <w:rPr>
          <w:rFonts w:ascii="Times New Roman" w:cs="Times New Roman" w:eastAsia="Times New Roman" w:hAnsi="Times New Roman"/>
          <w:sz w:val="22"/>
          <w:szCs w:val="22"/>
          <w:color w:val="auto"/>
        </w:rPr>
      </w:pPr>
    </w:p>
    <w:p>
      <w:pPr>
        <w:ind w:right="260" w:firstLine="757"/>
        <w:spacing w:after="0" w:line="258" w:lineRule="auto"/>
        <w:tabs>
          <w:tab w:leader="none" w:pos="1018" w:val="left"/>
        </w:tabs>
        <w:numPr>
          <w:ilvl w:val="1"/>
          <w:numId w:val="50"/>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Grant and Exercise of Stock Appreciation Rights</w:t>
      </w:r>
      <w:r>
        <w:rPr>
          <w:rFonts w:ascii="Times New Roman" w:cs="Times New Roman" w:eastAsia="Times New Roman" w:hAnsi="Times New Roman"/>
          <w:sz w:val="22"/>
          <w:szCs w:val="22"/>
          <w:color w:val="auto"/>
        </w:rPr>
        <w:t>. Stock Appreciation Rights may be granted by the Administrator independently of any Stock Option granted pursuant to Section 5 of the Plan.</w:t>
      </w:r>
    </w:p>
    <w:p>
      <w:pPr>
        <w:spacing w:after="0" w:line="158" w:lineRule="exact"/>
        <w:rPr>
          <w:rFonts w:ascii="Times New Roman" w:cs="Times New Roman" w:eastAsia="Times New Roman" w:hAnsi="Times New Roman"/>
          <w:sz w:val="22"/>
          <w:szCs w:val="22"/>
          <w:u w:val="single" w:color="auto"/>
          <w:color w:val="auto"/>
        </w:rPr>
      </w:pPr>
    </w:p>
    <w:p>
      <w:pPr>
        <w:ind w:right="300" w:firstLine="757"/>
        <w:spacing w:after="0" w:line="244" w:lineRule="auto"/>
        <w:tabs>
          <w:tab w:leader="none" w:pos="1018" w:val="left"/>
        </w:tabs>
        <w:numPr>
          <w:ilvl w:val="1"/>
          <w:numId w:val="50"/>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Terms and Conditions of Stock Appreciation Rights</w:t>
      </w:r>
      <w:r>
        <w:rPr>
          <w:rFonts w:ascii="Times New Roman" w:cs="Times New Roman" w:eastAsia="Times New Roman" w:hAnsi="Times New Roman"/>
          <w:sz w:val="22"/>
          <w:szCs w:val="22"/>
          <w:color w:val="auto"/>
        </w:rPr>
        <w:t>. Stock Appreciation Rights shall be subject to such terms and conditions as shall be determined from time to time by the Administrator. The term of a Stock Appreciation Right may not exceed ten years.</w:t>
      </w:r>
    </w:p>
    <w:p>
      <w:pPr>
        <w:spacing w:after="0" w:line="173" w:lineRule="exact"/>
        <w:rPr>
          <w:rFonts w:ascii="Times New Roman" w:cs="Times New Roman" w:eastAsia="Times New Roman" w:hAnsi="Times New Roman"/>
          <w:sz w:val="22"/>
          <w:szCs w:val="22"/>
          <w:u w:val="single" w:color="auto"/>
          <w:color w:val="auto"/>
        </w:rPr>
      </w:pPr>
    </w:p>
    <w:p>
      <w:pPr>
        <w:ind w:left="520" w:hanging="512"/>
        <w:spacing w:after="0"/>
        <w:tabs>
          <w:tab w:leader="none" w:pos="520" w:val="left"/>
        </w:tabs>
        <w:numPr>
          <w:ilvl w:val="0"/>
          <w:numId w:val="51"/>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RESTRICTED STOCK AWARDS</w:t>
      </w:r>
    </w:p>
    <w:p>
      <w:pPr>
        <w:spacing w:after="0" w:line="206" w:lineRule="exact"/>
        <w:rPr>
          <w:rFonts w:ascii="Times New Roman" w:cs="Times New Roman" w:eastAsia="Times New Roman" w:hAnsi="Times New Roman"/>
          <w:sz w:val="22"/>
          <w:szCs w:val="22"/>
          <w:u w:val="single" w:color="auto"/>
          <w:color w:val="auto"/>
        </w:rPr>
      </w:pPr>
    </w:p>
    <w:p>
      <w:pPr>
        <w:ind w:right="40" w:firstLine="757"/>
        <w:spacing w:after="0" w:line="238" w:lineRule="auto"/>
        <w:tabs>
          <w:tab w:leader="none" w:pos="1018" w:val="left"/>
        </w:tabs>
        <w:numPr>
          <w:ilvl w:val="1"/>
          <w:numId w:val="51"/>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Nature of Restricted Stock Awards</w:t>
      </w:r>
      <w:r>
        <w:rPr>
          <w:rFonts w:ascii="Times New Roman" w:cs="Times New Roman" w:eastAsia="Times New Roman" w:hAnsi="Times New Roman"/>
          <w:sz w:val="22"/>
          <w:szCs w:val="22"/>
          <w:color w:val="auto"/>
        </w:rPr>
        <w:t>. The Administrator may grant Restricted Stock awards under the Plan. A Restricted Stock Award is any Award of Restricted Shares subject to such restrictions and conditions as the Administrator may determine at the time of grant. Conditions may be based on continuing employment (or other service relationship) and/or achievement of pre-established performance goals and objectives. The terms and conditions of each such Award Certificate shall be determined by the Administrator, and such terms and conditions may differ among individual Awards and grantees.</w:t>
      </w: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10</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ACTIVE/72134752.4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8" w:right="359" w:bottom="1440" w:gutter="0" w:footer="0" w:header="0"/>
        </w:sectPr>
      </w:pPr>
    </w:p>
    <w:bookmarkStart w:id="114" w:name="page115"/>
    <w:bookmarkEnd w:id="114"/>
    <w:p>
      <w:pPr>
        <w:ind w:firstLine="757"/>
        <w:spacing w:after="0" w:line="244" w:lineRule="auto"/>
        <w:tabs>
          <w:tab w:leader="none" w:pos="1018" w:val="left"/>
        </w:tabs>
        <w:numPr>
          <w:ilvl w:val="1"/>
          <w:numId w:val="52"/>
        </w:numPr>
        <w:rPr>
          <w:rFonts w:ascii="Times New Roman" w:cs="Times New Roman" w:eastAsia="Times New Roman" w:hAnsi="Times New Roman"/>
          <w:sz w:val="21"/>
          <w:szCs w:val="21"/>
          <w:u w:val="single" w:color="auto"/>
          <w:color w:val="auto"/>
        </w:rPr>
      </w:pPr>
      <w:r>
        <w:rPr>
          <w:rFonts w:ascii="Times New Roman" w:cs="Times New Roman" w:eastAsia="Times New Roman" w:hAnsi="Times New Roman"/>
          <w:sz w:val="21"/>
          <w:szCs w:val="21"/>
          <w:u w:val="single" w:color="auto"/>
          <w:color w:val="auto"/>
        </w:rPr>
        <w:t>Rights as a Stockholder</w:t>
      </w:r>
      <w:r>
        <w:rPr>
          <w:rFonts w:ascii="Times New Roman" w:cs="Times New Roman" w:eastAsia="Times New Roman" w:hAnsi="Times New Roman"/>
          <w:sz w:val="21"/>
          <w:szCs w:val="21"/>
          <w:color w:val="auto"/>
        </w:rPr>
        <w:t>. Upon the grant of the Restricted Stock Award and payment of any applicable purchase price, a grantee shall have the rights of a stockholder with respect to the voting of the Restricted Shares and receipt of dividends; provided that if the lapse of restrictions with respect to the Restricted Stock Award is tied to the attainment of performance goals, any dividends paid by the Company during the performance period shall accrue and shall not be paid to the grantee until and to the extent the performance goals are met with respect to the Restricted Stock Award. Unless the Administrator shall otherwise determine, (i) uncertificated Restricted Shares shall be accompanied by a notation on the records of the Company or the transfer agent to the effect that they are subject to forfeiture until such Restricted Shares are vested as provided in Section 7(d) below, and</w:t>
      </w:r>
    </w:p>
    <w:p>
      <w:pPr>
        <w:spacing w:after="0" w:line="6" w:lineRule="exact"/>
        <w:rPr>
          <w:rFonts w:ascii="Times New Roman" w:cs="Times New Roman" w:eastAsia="Times New Roman" w:hAnsi="Times New Roman"/>
          <w:sz w:val="21"/>
          <w:szCs w:val="21"/>
          <w:u w:val="single" w:color="auto"/>
          <w:color w:val="auto"/>
        </w:rPr>
      </w:pPr>
    </w:p>
    <w:p>
      <w:pPr>
        <w:ind w:right="420" w:firstLine="8"/>
        <w:spacing w:after="0" w:line="235" w:lineRule="auto"/>
        <w:tabs>
          <w:tab w:leader="none" w:pos="318"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certificated Restricted Shares shall remain in the possession of the Company until such Restricted Shares are vested as provided in Section 7(d) below, and the grantee shall be required, as a condition of the grant, to deliver to the Company such instruments of transfer as the Administrator may prescribe.</w:t>
      </w:r>
    </w:p>
    <w:p>
      <w:pPr>
        <w:spacing w:after="0" w:line="177" w:lineRule="exact"/>
        <w:rPr>
          <w:rFonts w:ascii="Times New Roman" w:cs="Times New Roman" w:eastAsia="Times New Roman" w:hAnsi="Times New Roman"/>
          <w:sz w:val="22"/>
          <w:szCs w:val="22"/>
          <w:color w:val="auto"/>
        </w:rPr>
      </w:pPr>
    </w:p>
    <w:p>
      <w:pPr>
        <w:ind w:right="80" w:firstLine="757"/>
        <w:spacing w:after="0" w:line="246" w:lineRule="auto"/>
        <w:tabs>
          <w:tab w:leader="none" w:pos="1018" w:val="left"/>
        </w:tabs>
        <w:numPr>
          <w:ilvl w:val="1"/>
          <w:numId w:val="53"/>
        </w:numPr>
        <w:rPr>
          <w:rFonts w:ascii="Times New Roman" w:cs="Times New Roman" w:eastAsia="Times New Roman" w:hAnsi="Times New Roman"/>
          <w:sz w:val="21"/>
          <w:szCs w:val="21"/>
          <w:u w:val="single" w:color="auto"/>
          <w:color w:val="auto"/>
        </w:rPr>
      </w:pPr>
      <w:r>
        <w:rPr>
          <w:rFonts w:ascii="Times New Roman" w:cs="Times New Roman" w:eastAsia="Times New Roman" w:hAnsi="Times New Roman"/>
          <w:sz w:val="21"/>
          <w:szCs w:val="21"/>
          <w:u w:val="single" w:color="auto"/>
          <w:color w:val="auto"/>
        </w:rPr>
        <w:t>Restrictions</w:t>
      </w:r>
      <w:r>
        <w:rPr>
          <w:rFonts w:ascii="Times New Roman" w:cs="Times New Roman" w:eastAsia="Times New Roman" w:hAnsi="Times New Roman"/>
          <w:sz w:val="21"/>
          <w:szCs w:val="21"/>
          <w:color w:val="auto"/>
        </w:rPr>
        <w:t>. Restricted Shares may not be sold, assigned, transferred, pledged or otherwise encumbered or disposed of except as specifically provided herein or in the Restricted Stock Award Certificate. Except as may otherwise be provided by the Administrator either in the Award Certificate or, subject to Section 18 below, in writing after the Award is issued, if a grantee’s employment (or other service relationship) with the Company and its Subsidiaries terminates for any reason, any Restricted Shares that have not vested at the time of termination shall automatically and without any requirement of notice to such grantee from or other action by or on behalf of, the Company be deemed to have been reacquired by the Company at its original purchase price (if any) from such grantee or such grantee’s legal representative simultaneously with such termination of employment (or other service relationship), and thereafter shall cease to represent any ownership of the Company by the grantee or rights of the grantee as a stockholder. Following such deemed reacquisition of Restricted Shares that are represented by physical certificates, a grantee shall surrender such certificates to the Company upon request without consideration.</w:t>
      </w:r>
    </w:p>
    <w:p>
      <w:pPr>
        <w:spacing w:after="0" w:line="170" w:lineRule="exact"/>
        <w:rPr>
          <w:rFonts w:ascii="Times New Roman" w:cs="Times New Roman" w:eastAsia="Times New Roman" w:hAnsi="Times New Roman"/>
          <w:sz w:val="21"/>
          <w:szCs w:val="21"/>
          <w:u w:val="single" w:color="auto"/>
          <w:color w:val="auto"/>
        </w:rPr>
      </w:pPr>
    </w:p>
    <w:p>
      <w:pPr>
        <w:ind w:right="20" w:firstLine="757"/>
        <w:spacing w:after="0" w:line="234" w:lineRule="auto"/>
        <w:tabs>
          <w:tab w:leader="none" w:pos="1018" w:val="left"/>
        </w:tabs>
        <w:numPr>
          <w:ilvl w:val="1"/>
          <w:numId w:val="53"/>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Vesting of Restricted Shares</w:t>
      </w:r>
      <w:r>
        <w:rPr>
          <w:rFonts w:ascii="Times New Roman" w:cs="Times New Roman" w:eastAsia="Times New Roman" w:hAnsi="Times New Roman"/>
          <w:sz w:val="22"/>
          <w:szCs w:val="22"/>
          <w:color w:val="auto"/>
        </w:rPr>
        <w:t>. The Administrator at the time of grant shall specify the date or dates and/or the attainment of pre-established performance goals, objectives and other conditions on which the non-transferability of the Restricted Shares and the Company’s right of repurchase or forfeiture shall lapse. Subsequent to such date or dates and/or the attainment of such pre-established performance goals, objectives and other conditions, the shares on which all restrictions have lapsed shall no longer be Restricted Stock and shall be deemed “vested.” Except as may otherwise be provided by the Administrator either in the Award Certificate or, subject to Section 18 below, in writing after the Award is issued, a grantee’s rights in any Restricted Shares that have not vested shall automatically terminate upon the grantee’s termination of employment (or other service relationship) with the Company and its Subsidiaries and such shares shall be subject to the provisions of Section 7(c) above.</w:t>
      </w:r>
    </w:p>
    <w:p>
      <w:pPr>
        <w:spacing w:after="0" w:line="200" w:lineRule="exact"/>
        <w:rPr>
          <w:sz w:val="20"/>
          <w:szCs w:val="20"/>
          <w:color w:val="auto"/>
        </w:rPr>
      </w:pPr>
    </w:p>
    <w:p>
      <w:pPr>
        <w:spacing w:after="0" w:line="2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11</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ACTIVE/72134752.4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08" w:right="379" w:bottom="1440" w:gutter="0" w:footer="0" w:header="0"/>
        </w:sectPr>
      </w:pPr>
    </w:p>
    <w:bookmarkStart w:id="115" w:name="page116"/>
    <w:bookmarkEnd w:id="115"/>
    <w:p>
      <w:pPr>
        <w:ind w:left="520" w:hanging="512"/>
        <w:spacing w:after="0"/>
        <w:tabs>
          <w:tab w:leader="none" w:pos="520" w:val="left"/>
        </w:tabs>
        <w:numPr>
          <w:ilvl w:val="0"/>
          <w:numId w:val="54"/>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RESTRICTED STOCK UNITS</w:t>
      </w:r>
    </w:p>
    <w:p>
      <w:pPr>
        <w:spacing w:after="0" w:line="206" w:lineRule="exact"/>
        <w:rPr>
          <w:rFonts w:ascii="Times New Roman" w:cs="Times New Roman" w:eastAsia="Times New Roman" w:hAnsi="Times New Roman"/>
          <w:sz w:val="22"/>
          <w:szCs w:val="22"/>
          <w:u w:val="single" w:color="auto"/>
          <w:color w:val="auto"/>
        </w:rPr>
      </w:pPr>
    </w:p>
    <w:p>
      <w:pPr>
        <w:ind w:firstLine="757"/>
        <w:spacing w:after="0" w:line="234" w:lineRule="auto"/>
        <w:tabs>
          <w:tab w:leader="none" w:pos="1018" w:val="left"/>
        </w:tabs>
        <w:numPr>
          <w:ilvl w:val="1"/>
          <w:numId w:val="54"/>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Nature of Restricted Stock Units</w:t>
      </w:r>
      <w:r>
        <w:rPr>
          <w:rFonts w:ascii="Times New Roman" w:cs="Times New Roman" w:eastAsia="Times New Roman" w:hAnsi="Times New Roman"/>
          <w:sz w:val="22"/>
          <w:szCs w:val="22"/>
          <w:color w:val="auto"/>
        </w:rPr>
        <w:t>. The Administrator may grant Restricted Stock Units under the Plan. A Restricted Stock Unit is an Award of stock units that may be settled in shares of Stock upon the satisfaction of such restrictions and conditions at the time of grant. Conditions may be based on continuing employment (or other service relationship) and/or achievement of pre-established performance goals and objectives. The terms and conditions of each such Award Certificate shall be determined by the Administrator, and such terms and conditions may differ among individual Awards and grantees. Except in the case of Restricted Stock Units with a deferred settlement date that complies with Section 409A, at the end of the vesting period, vested Restricted Stock Units shall be settled in the form of shares of Stock. Restricted Stock Units with deferred settlement dates are subject to Section 409A, and shall contain such additional terms and conditions as the Administrator shall determine in its sole discretion in order to comply with the requirements of Section 409A.</w:t>
      </w:r>
    </w:p>
    <w:p>
      <w:pPr>
        <w:spacing w:after="0" w:line="183" w:lineRule="exact"/>
        <w:rPr>
          <w:rFonts w:ascii="Times New Roman" w:cs="Times New Roman" w:eastAsia="Times New Roman" w:hAnsi="Times New Roman"/>
          <w:sz w:val="22"/>
          <w:szCs w:val="22"/>
          <w:u w:val="single" w:color="auto"/>
          <w:color w:val="auto"/>
        </w:rPr>
      </w:pPr>
    </w:p>
    <w:p>
      <w:pPr>
        <w:ind w:right="60" w:firstLine="757"/>
        <w:spacing w:after="0" w:line="246" w:lineRule="auto"/>
        <w:tabs>
          <w:tab w:leader="none" w:pos="1018" w:val="left"/>
        </w:tabs>
        <w:numPr>
          <w:ilvl w:val="1"/>
          <w:numId w:val="54"/>
        </w:numPr>
        <w:rPr>
          <w:rFonts w:ascii="Times New Roman" w:cs="Times New Roman" w:eastAsia="Times New Roman" w:hAnsi="Times New Roman"/>
          <w:sz w:val="21"/>
          <w:szCs w:val="21"/>
          <w:u w:val="single" w:color="auto"/>
          <w:color w:val="auto"/>
        </w:rPr>
      </w:pPr>
      <w:r>
        <w:rPr>
          <w:rFonts w:ascii="Times New Roman" w:cs="Times New Roman" w:eastAsia="Times New Roman" w:hAnsi="Times New Roman"/>
          <w:sz w:val="21"/>
          <w:szCs w:val="21"/>
          <w:u w:val="single" w:color="auto"/>
          <w:color w:val="auto"/>
        </w:rPr>
        <w:t>Election to Receive Restricted Stock Units in Lieu of Compensation</w:t>
      </w:r>
      <w:r>
        <w:rPr>
          <w:rFonts w:ascii="Times New Roman" w:cs="Times New Roman" w:eastAsia="Times New Roman" w:hAnsi="Times New Roman"/>
          <w:sz w:val="21"/>
          <w:szCs w:val="21"/>
          <w:color w:val="auto"/>
        </w:rPr>
        <w:t>. The Administrator may, in its sole discretion, permit a grantee to elect to receive a portion of future cash compensation otherwise due to such grantee in the form of an award of Restricted Stock Units. Any such election shall be made in writing and shall be delivered to the Company no later than the date specified by the Administrator and in accordance with Section 409A and such other rules and procedures established by the Administrator. Any such future cash compensation that the grantee elects to defer shall be converted to a fixed number of Restricted Stock Units based on the Fair Market Value of Stock on the date the compensation would otherwise have been paid to the grantee if such payment had not been deferred as provided herein. The Administrator shall have the sole right to determine whether and under what circumstances to permit such elections and to impose such limitations and other terms and conditions thereon as the Administrator deems appropriate. Any Restricted Stock Units that are elected to be received in lieu of cash compensation shall be fully vested, unless otherwise provided in the Award Certificate.</w:t>
      </w:r>
    </w:p>
    <w:p>
      <w:pPr>
        <w:spacing w:after="0" w:line="170" w:lineRule="exact"/>
        <w:rPr>
          <w:rFonts w:ascii="Times New Roman" w:cs="Times New Roman" w:eastAsia="Times New Roman" w:hAnsi="Times New Roman"/>
          <w:sz w:val="21"/>
          <w:szCs w:val="21"/>
          <w:u w:val="single" w:color="auto"/>
          <w:color w:val="auto"/>
        </w:rPr>
      </w:pPr>
    </w:p>
    <w:p>
      <w:pPr>
        <w:ind w:firstLine="757"/>
        <w:spacing w:after="0" w:line="239" w:lineRule="auto"/>
        <w:tabs>
          <w:tab w:leader="none" w:pos="1018" w:val="left"/>
        </w:tabs>
        <w:numPr>
          <w:ilvl w:val="1"/>
          <w:numId w:val="54"/>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Rights as a Stockholder</w:t>
      </w:r>
      <w:r>
        <w:rPr>
          <w:rFonts w:ascii="Times New Roman" w:cs="Times New Roman" w:eastAsia="Times New Roman" w:hAnsi="Times New Roman"/>
          <w:sz w:val="22"/>
          <w:szCs w:val="22"/>
          <w:color w:val="auto"/>
        </w:rPr>
        <w:t>. A grantee shall have the rights as a stockholder only as to shares of Stock acquired by the grantee upon settlement of Restricted Stock Units; provided, however, that the grantee may be credited with Dividend Equivalent Rights with respect to the stock units underlying his Restricted Stock Units, subject to the provisions of Section 11 and such terms and conditions as the Administrator may determine.</w:t>
      </w:r>
    </w:p>
    <w:p>
      <w:pPr>
        <w:spacing w:after="0" w:line="180" w:lineRule="exact"/>
        <w:rPr>
          <w:rFonts w:ascii="Times New Roman" w:cs="Times New Roman" w:eastAsia="Times New Roman" w:hAnsi="Times New Roman"/>
          <w:sz w:val="22"/>
          <w:szCs w:val="22"/>
          <w:u w:val="single" w:color="auto"/>
          <w:color w:val="auto"/>
        </w:rPr>
      </w:pPr>
    </w:p>
    <w:p>
      <w:pPr>
        <w:ind w:right="20" w:firstLine="757"/>
        <w:spacing w:after="0" w:line="239" w:lineRule="auto"/>
        <w:tabs>
          <w:tab w:leader="none" w:pos="1018" w:val="left"/>
        </w:tabs>
        <w:numPr>
          <w:ilvl w:val="1"/>
          <w:numId w:val="54"/>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Termination</w:t>
      </w:r>
      <w:r>
        <w:rPr>
          <w:rFonts w:ascii="Times New Roman" w:cs="Times New Roman" w:eastAsia="Times New Roman" w:hAnsi="Times New Roman"/>
          <w:sz w:val="22"/>
          <w:szCs w:val="22"/>
          <w:color w:val="auto"/>
        </w:rPr>
        <w:t>. Except as may otherwise be provided by the Administrator either in the Award Certificate or, subject to Section 18 below, in writing after the Award is issued, a grantee’s right in all Restricted Stock Units that have not vested shall automatically terminate upon the grantee’s termination of employment (or cessation of service relationship) with the Company and its Subsidiaries for any reason.</w:t>
      </w:r>
    </w:p>
    <w:p>
      <w:pPr>
        <w:spacing w:after="0" w:line="200" w:lineRule="exact"/>
        <w:rPr>
          <w:sz w:val="20"/>
          <w:szCs w:val="20"/>
          <w:color w:val="auto"/>
        </w:rPr>
      </w:pPr>
    </w:p>
    <w:p>
      <w:pPr>
        <w:spacing w:after="0" w:line="23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12</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ACTIVE/72134752.4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08" w:right="399" w:bottom="1440" w:gutter="0" w:footer="0" w:header="0"/>
        </w:sectPr>
      </w:pPr>
    </w:p>
    <w:bookmarkStart w:id="116" w:name="page117"/>
    <w:bookmarkEnd w:id="116"/>
    <w:p>
      <w:pPr>
        <w:ind w:left="520" w:hanging="512"/>
        <w:spacing w:after="0"/>
        <w:tabs>
          <w:tab w:leader="none" w:pos="520" w:val="left"/>
        </w:tabs>
        <w:numPr>
          <w:ilvl w:val="0"/>
          <w:numId w:val="55"/>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UNRESTRICTED STOCK AWARDS</w:t>
      </w:r>
    </w:p>
    <w:p>
      <w:pPr>
        <w:spacing w:after="0" w:line="206" w:lineRule="exact"/>
        <w:rPr>
          <w:sz w:val="20"/>
          <w:szCs w:val="20"/>
          <w:color w:val="auto"/>
        </w:rPr>
      </w:pPr>
    </w:p>
    <w:p>
      <w:pPr>
        <w:ind w:right="400" w:firstLine="749"/>
        <w:spacing w:after="0" w:line="255" w:lineRule="auto"/>
        <w:rPr>
          <w:sz w:val="20"/>
          <w:szCs w:val="20"/>
          <w:color w:val="auto"/>
        </w:rPr>
      </w:pPr>
      <w:r>
        <w:rPr>
          <w:rFonts w:ascii="Times New Roman" w:cs="Times New Roman" w:eastAsia="Times New Roman" w:hAnsi="Times New Roman"/>
          <w:sz w:val="21"/>
          <w:szCs w:val="21"/>
          <w:u w:val="single" w:color="auto"/>
          <w:color w:val="auto"/>
        </w:rPr>
        <w:t>Grant or Sale of Unrestricted Stock</w:t>
      </w:r>
      <w:r>
        <w:rPr>
          <w:rFonts w:ascii="Times New Roman" w:cs="Times New Roman" w:eastAsia="Times New Roman" w:hAnsi="Times New Roman"/>
          <w:sz w:val="21"/>
          <w:szCs w:val="21"/>
          <w:color w:val="auto"/>
        </w:rPr>
        <w:t>. The Administrator may grant (or sell at par value or such higher purchase price determined by the Administrator) an Unrestricted Stock Award under the Plan. An Unrestricted Stock Award is an Award pursuant to which the grantee may receive shares of Stock free of any restrictions under the Plan. Unrestricted Stock Awards may be granted in respect of past services or other valid consideration, or in lieu of cash compensation due to such grantee.</w:t>
      </w:r>
    </w:p>
    <w:p>
      <w:pPr>
        <w:spacing w:after="0" w:line="162" w:lineRule="exact"/>
        <w:rPr>
          <w:sz w:val="20"/>
          <w:szCs w:val="20"/>
          <w:color w:val="auto"/>
        </w:rPr>
      </w:pPr>
    </w:p>
    <w:p>
      <w:pPr>
        <w:ind w:left="520" w:hanging="512"/>
        <w:spacing w:after="0"/>
        <w:tabs>
          <w:tab w:leader="none" w:pos="520" w:val="left"/>
        </w:tabs>
        <w:numPr>
          <w:ilvl w:val="0"/>
          <w:numId w:val="56"/>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CASH-BASED AWARDS</w:t>
      </w:r>
    </w:p>
    <w:p>
      <w:pPr>
        <w:spacing w:after="0" w:line="206" w:lineRule="exact"/>
        <w:rPr>
          <w:sz w:val="20"/>
          <w:szCs w:val="20"/>
          <w:color w:val="auto"/>
        </w:rPr>
      </w:pPr>
    </w:p>
    <w:p>
      <w:pPr>
        <w:ind w:firstLine="749"/>
        <w:spacing w:after="0" w:line="235" w:lineRule="auto"/>
        <w:rPr>
          <w:sz w:val="20"/>
          <w:szCs w:val="20"/>
          <w:color w:val="auto"/>
        </w:rPr>
      </w:pPr>
      <w:r>
        <w:rPr>
          <w:rFonts w:ascii="Times New Roman" w:cs="Times New Roman" w:eastAsia="Times New Roman" w:hAnsi="Times New Roman"/>
          <w:sz w:val="22"/>
          <w:szCs w:val="22"/>
          <w:u w:val="single" w:color="auto"/>
          <w:color w:val="auto"/>
        </w:rPr>
        <w:t>Grant of Cash-Based Awards</w:t>
      </w:r>
      <w:r>
        <w:rPr>
          <w:rFonts w:ascii="Times New Roman" w:cs="Times New Roman" w:eastAsia="Times New Roman" w:hAnsi="Times New Roman"/>
          <w:sz w:val="22"/>
          <w:szCs w:val="22"/>
          <w:color w:val="auto"/>
        </w:rPr>
        <w:t>. The Administrator may grant Cash-Based Awards under the Plan. A Cash-Based Award is an award that entitles the grantee to a payment in cash upon the attainment of specified Performance Goals. The Administrator shall determine the maximum duration of the Cash-Based Award, the amount of cash to which the Cash-Based Award pertains, the conditions upon which the Cash-Based Award shall become vested or payable, and such other provisions as the Administrator shall determine. Each Cash-Based Award shall specify a cash-denominated payment amount, formula or payment ranges as determined by the Administrator. Payment, if any, with respect to a Cash-Based Award shall be made in accordance with the terms of the Award and may be made in cash.</w:t>
      </w:r>
    </w:p>
    <w:p>
      <w:pPr>
        <w:spacing w:after="0" w:line="183" w:lineRule="exact"/>
        <w:rPr>
          <w:sz w:val="20"/>
          <w:szCs w:val="20"/>
          <w:color w:val="auto"/>
        </w:rPr>
      </w:pPr>
    </w:p>
    <w:p>
      <w:pPr>
        <w:ind w:left="520" w:hanging="512"/>
        <w:spacing w:after="0"/>
        <w:tabs>
          <w:tab w:leader="none" w:pos="520" w:val="left"/>
        </w:tabs>
        <w:numPr>
          <w:ilvl w:val="0"/>
          <w:numId w:val="57"/>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PERFORMANCE SHARE AWARDS</w:t>
      </w:r>
    </w:p>
    <w:p>
      <w:pPr>
        <w:spacing w:after="0" w:line="206" w:lineRule="exact"/>
        <w:rPr>
          <w:rFonts w:ascii="Times New Roman" w:cs="Times New Roman" w:eastAsia="Times New Roman" w:hAnsi="Times New Roman"/>
          <w:sz w:val="22"/>
          <w:szCs w:val="22"/>
          <w:u w:val="single" w:color="auto"/>
          <w:color w:val="auto"/>
        </w:rPr>
      </w:pPr>
    </w:p>
    <w:p>
      <w:pPr>
        <w:ind w:firstLine="757"/>
        <w:spacing w:after="0" w:line="238" w:lineRule="auto"/>
        <w:tabs>
          <w:tab w:leader="none" w:pos="1018" w:val="left"/>
        </w:tabs>
        <w:numPr>
          <w:ilvl w:val="1"/>
          <w:numId w:val="57"/>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Nature of Performance Share Awards</w:t>
      </w:r>
      <w:r>
        <w:rPr>
          <w:rFonts w:ascii="Times New Roman" w:cs="Times New Roman" w:eastAsia="Times New Roman" w:hAnsi="Times New Roman"/>
          <w:sz w:val="22"/>
          <w:szCs w:val="22"/>
          <w:color w:val="auto"/>
        </w:rPr>
        <w:t>. The Administrator may grant Performance Share Awards under the Plan. A Performance Share Award is an Award entitling the grantee to receive shares of stock upon the attainment of performance goals. The Administrator shall determine whether and to whom Performance Share Awards shall be granted, the Performance Goals, the periods during which performance is to be measured, which may not be less than one year except in the case of a Sale Event, and such other limitations and conditions as the Administrator shall determine.</w:t>
      </w:r>
    </w:p>
    <w:p>
      <w:pPr>
        <w:spacing w:after="0" w:line="176" w:lineRule="exact"/>
        <w:rPr>
          <w:rFonts w:ascii="Times New Roman" w:cs="Times New Roman" w:eastAsia="Times New Roman" w:hAnsi="Times New Roman"/>
          <w:sz w:val="22"/>
          <w:szCs w:val="22"/>
          <w:u w:val="single" w:color="auto"/>
          <w:color w:val="auto"/>
        </w:rPr>
      </w:pPr>
    </w:p>
    <w:p>
      <w:pPr>
        <w:ind w:right="40" w:firstLine="757"/>
        <w:spacing w:after="0" w:line="238" w:lineRule="auto"/>
        <w:tabs>
          <w:tab w:leader="none" w:pos="1018" w:val="left"/>
        </w:tabs>
        <w:numPr>
          <w:ilvl w:val="1"/>
          <w:numId w:val="57"/>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Rights as a Stockholder</w:t>
      </w:r>
      <w:r>
        <w:rPr>
          <w:rFonts w:ascii="Times New Roman" w:cs="Times New Roman" w:eastAsia="Times New Roman" w:hAnsi="Times New Roman"/>
          <w:sz w:val="22"/>
          <w:szCs w:val="22"/>
          <w:color w:val="auto"/>
        </w:rPr>
        <w:t>. A grantee receiving a Performance Share Award shall have the rights of a stockholder only as to shares of Stock actually received by the grantee under the Plan and not with respect to shares subject to the Award but not actually received by the grantee. A grantee shall be entitled to receive shares of Stock under a Performance Share Award only upon satisfaction of all conditions specified in the Performance Share Award Certificate (or in a performance plan adopted by the Administrator).</w:t>
      </w:r>
    </w:p>
    <w:p>
      <w:pPr>
        <w:spacing w:after="0" w:line="176" w:lineRule="exact"/>
        <w:rPr>
          <w:rFonts w:ascii="Times New Roman" w:cs="Times New Roman" w:eastAsia="Times New Roman" w:hAnsi="Times New Roman"/>
          <w:sz w:val="22"/>
          <w:szCs w:val="22"/>
          <w:u w:val="single" w:color="auto"/>
          <w:color w:val="auto"/>
        </w:rPr>
      </w:pPr>
    </w:p>
    <w:p>
      <w:pPr>
        <w:ind w:right="60" w:firstLine="757"/>
        <w:spacing w:after="0" w:line="239" w:lineRule="auto"/>
        <w:tabs>
          <w:tab w:leader="none" w:pos="1018" w:val="left"/>
        </w:tabs>
        <w:numPr>
          <w:ilvl w:val="1"/>
          <w:numId w:val="57"/>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Termination</w:t>
      </w:r>
      <w:r>
        <w:rPr>
          <w:rFonts w:ascii="Times New Roman" w:cs="Times New Roman" w:eastAsia="Times New Roman" w:hAnsi="Times New Roman"/>
          <w:sz w:val="22"/>
          <w:szCs w:val="22"/>
          <w:color w:val="auto"/>
        </w:rPr>
        <w:t>. Except as may otherwise be provided by the Administrator either in the Award agreement or, subject to Section 18 below, in writing after the Award is issued, a grantee’s rights in all Performance Share Awards shall automatically terminate upon the grantee’s termination of employment (or cessation of service relationship) with the Company and its Subsidiaries for any reason.</w:t>
      </w:r>
    </w:p>
    <w:p>
      <w:pPr>
        <w:spacing w:after="0" w:line="200" w:lineRule="exact"/>
        <w:rPr>
          <w:sz w:val="20"/>
          <w:szCs w:val="20"/>
          <w:color w:val="auto"/>
        </w:rPr>
      </w:pPr>
    </w:p>
    <w:p>
      <w:pPr>
        <w:spacing w:after="0" w:line="23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13</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ACTIVE/72134752.4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8" w:right="359" w:bottom="1440" w:gutter="0" w:footer="0" w:header="0"/>
        </w:sectPr>
      </w:pPr>
    </w:p>
    <w:bookmarkStart w:id="117" w:name="page118"/>
    <w:bookmarkEnd w:id="117"/>
    <w:p>
      <w:pPr>
        <w:ind w:left="520" w:hanging="512"/>
        <w:spacing w:after="0"/>
        <w:tabs>
          <w:tab w:leader="none" w:pos="520" w:val="left"/>
        </w:tabs>
        <w:numPr>
          <w:ilvl w:val="0"/>
          <w:numId w:val="58"/>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PERFORMANCE-BASED AWARDS TO COVERED EMPLOYEES</w:t>
      </w:r>
    </w:p>
    <w:p>
      <w:pPr>
        <w:spacing w:after="0" w:line="206" w:lineRule="exact"/>
        <w:rPr>
          <w:rFonts w:ascii="Times New Roman" w:cs="Times New Roman" w:eastAsia="Times New Roman" w:hAnsi="Times New Roman"/>
          <w:sz w:val="22"/>
          <w:szCs w:val="22"/>
          <w:u w:val="single" w:color="auto"/>
          <w:color w:val="auto"/>
        </w:rPr>
      </w:pPr>
    </w:p>
    <w:p>
      <w:pPr>
        <w:ind w:firstLine="757"/>
        <w:spacing w:after="0" w:line="235" w:lineRule="auto"/>
        <w:tabs>
          <w:tab w:leader="none" w:pos="1018" w:val="left"/>
        </w:tabs>
        <w:numPr>
          <w:ilvl w:val="1"/>
          <w:numId w:val="58"/>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Performance-Based Awards</w:t>
      </w:r>
      <w:r>
        <w:rPr>
          <w:rFonts w:ascii="Times New Roman" w:cs="Times New Roman" w:eastAsia="Times New Roman" w:hAnsi="Times New Roman"/>
          <w:sz w:val="22"/>
          <w:szCs w:val="22"/>
          <w:color w:val="auto"/>
        </w:rPr>
        <w:t>. The Administrator may grant one or more Performance-Based Awards in the form of a Restricted Stock Award, Restricted Stock Units, Performance Share Awards or Cash-Based Award payable upon the attainment of Performance Goals that are established by the Administrator and relate to one or more of the Performance Criteria, in each case on a specified date or dates or over any period or periods determined by the Administrator. The Administrator shall define in an objective fashion the manner of calculating the Performance Criteria it selects to use for any Performance Cycle. Depending on the Performance Criteria used to establish such Performance Goals, the Performance Goals may be expressed in terms of overall Company performance or the performance of a division, business unit, or an individual. Each Performance-Based Award shall comply with the provisions set forth below.</w:t>
      </w:r>
    </w:p>
    <w:p>
      <w:pPr>
        <w:spacing w:after="0" w:line="178" w:lineRule="exact"/>
        <w:rPr>
          <w:rFonts w:ascii="Times New Roman" w:cs="Times New Roman" w:eastAsia="Times New Roman" w:hAnsi="Times New Roman"/>
          <w:sz w:val="22"/>
          <w:szCs w:val="22"/>
          <w:u w:val="single" w:color="auto"/>
          <w:color w:val="auto"/>
        </w:rPr>
      </w:pPr>
    </w:p>
    <w:p>
      <w:pPr>
        <w:ind w:right="180" w:firstLine="757"/>
        <w:spacing w:after="0" w:line="234" w:lineRule="auto"/>
        <w:tabs>
          <w:tab w:leader="none" w:pos="1018" w:val="left"/>
        </w:tabs>
        <w:numPr>
          <w:ilvl w:val="1"/>
          <w:numId w:val="58"/>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Grant of Performance-Based Awards</w:t>
      </w:r>
      <w:r>
        <w:rPr>
          <w:rFonts w:ascii="Times New Roman" w:cs="Times New Roman" w:eastAsia="Times New Roman" w:hAnsi="Times New Roman"/>
          <w:sz w:val="22"/>
          <w:szCs w:val="22"/>
          <w:color w:val="auto"/>
        </w:rPr>
        <w:t>. With respect to each Performance-Based Award granted to a Covered Employee (or any other eligible individual that the Administrator determines is reasonably likely to become a Covered Employee), the Administrator shall select, within the first 90 days of a Performance Cycle (or, if shorter, within the maximum period allowed under Section 162(m) of the Code) the Performance Criteria for such grant, and the Performance Goals with respect to each Performance Criterion (including a threshold level of performance below which no amount will become payable with respect to such Award). Each Performance-Based Award will specify the amount payable, or the formula for determining the amount payable, upon achievement of the various applicable performance targets. The Performance Criteria established by the Administrator may be (but need not be) different for each Performance Cycle and different Performance Goals may be applicable to Performance-Based Awards to different Covered Employees.</w:t>
      </w:r>
    </w:p>
    <w:p>
      <w:pPr>
        <w:spacing w:after="0" w:line="183" w:lineRule="exact"/>
        <w:rPr>
          <w:rFonts w:ascii="Times New Roman" w:cs="Times New Roman" w:eastAsia="Times New Roman" w:hAnsi="Times New Roman"/>
          <w:sz w:val="22"/>
          <w:szCs w:val="22"/>
          <w:u w:val="single" w:color="auto"/>
          <w:color w:val="auto"/>
        </w:rPr>
      </w:pPr>
    </w:p>
    <w:p>
      <w:pPr>
        <w:ind w:right="140" w:firstLine="757"/>
        <w:spacing w:after="0" w:line="236" w:lineRule="auto"/>
        <w:tabs>
          <w:tab w:leader="none" w:pos="1018" w:val="left"/>
        </w:tabs>
        <w:numPr>
          <w:ilvl w:val="1"/>
          <w:numId w:val="58"/>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Payment of Performance-Based Awards</w:t>
      </w:r>
      <w:r>
        <w:rPr>
          <w:rFonts w:ascii="Times New Roman" w:cs="Times New Roman" w:eastAsia="Times New Roman" w:hAnsi="Times New Roman"/>
          <w:sz w:val="22"/>
          <w:szCs w:val="22"/>
          <w:color w:val="auto"/>
        </w:rPr>
        <w:t>. Following the completion of a Performance Cycle, the Administrator shall meet to review and certify in writing whether, and to what extent, the Performance Goals for the Performance Cycle have been achieved and, if so, to also calculate and certify in writing the amount of the Performance-Based Awards earned for the Performance Cycle. The Administrator shall then determine the actual size of each Covered Employee’s Performance-Based Award, and, in doing so, may reduce or eliminate the amount of the Performance-Based Award for a Covered Employee if, in its sole judgment, such reduction or elimination is appropriate.</w:t>
      </w:r>
    </w:p>
    <w:p>
      <w:pPr>
        <w:spacing w:after="0" w:line="181" w:lineRule="exact"/>
        <w:rPr>
          <w:rFonts w:ascii="Times New Roman" w:cs="Times New Roman" w:eastAsia="Times New Roman" w:hAnsi="Times New Roman"/>
          <w:sz w:val="22"/>
          <w:szCs w:val="22"/>
          <w:u w:val="single" w:color="auto"/>
          <w:color w:val="auto"/>
        </w:rPr>
      </w:pPr>
    </w:p>
    <w:p>
      <w:pPr>
        <w:ind w:right="200" w:firstLine="757"/>
        <w:spacing w:after="0" w:line="244" w:lineRule="auto"/>
        <w:tabs>
          <w:tab w:leader="none" w:pos="1018" w:val="left"/>
        </w:tabs>
        <w:numPr>
          <w:ilvl w:val="1"/>
          <w:numId w:val="58"/>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Maximum Award Payable</w:t>
      </w:r>
      <w:r>
        <w:rPr>
          <w:rFonts w:ascii="Times New Roman" w:cs="Times New Roman" w:eastAsia="Times New Roman" w:hAnsi="Times New Roman"/>
          <w:sz w:val="22"/>
          <w:szCs w:val="22"/>
          <w:color w:val="auto"/>
        </w:rPr>
        <w:t>. The maximum Performance-Based Award payable to any one Covered Employee under the Plan for a Performance Cycle is 1,000,000 shares of Stock (subject to adjustment as provided in Section 3(c) hereof) or $2,000,000 in the case of a Performance-Based Award that is a Cash-Based Award.</w:t>
      </w:r>
    </w:p>
    <w:p>
      <w:pPr>
        <w:spacing w:after="0" w:line="173" w:lineRule="exact"/>
        <w:rPr>
          <w:rFonts w:ascii="Times New Roman" w:cs="Times New Roman" w:eastAsia="Times New Roman" w:hAnsi="Times New Roman"/>
          <w:sz w:val="22"/>
          <w:szCs w:val="22"/>
          <w:u w:val="single" w:color="auto"/>
          <w:color w:val="auto"/>
        </w:rPr>
      </w:pPr>
    </w:p>
    <w:p>
      <w:pPr>
        <w:ind w:left="520" w:hanging="512"/>
        <w:spacing w:after="0"/>
        <w:tabs>
          <w:tab w:leader="none" w:pos="520" w:val="left"/>
        </w:tabs>
        <w:numPr>
          <w:ilvl w:val="0"/>
          <w:numId w:val="58"/>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DIVIDEND EQUIVALENT RIGHTS</w:t>
      </w:r>
    </w:p>
    <w:p>
      <w:pPr>
        <w:spacing w:after="0" w:line="206" w:lineRule="exact"/>
        <w:rPr>
          <w:rFonts w:ascii="Times New Roman" w:cs="Times New Roman" w:eastAsia="Times New Roman" w:hAnsi="Times New Roman"/>
          <w:sz w:val="22"/>
          <w:szCs w:val="22"/>
          <w:u w:val="single" w:color="auto"/>
          <w:color w:val="auto"/>
        </w:rPr>
      </w:pPr>
    </w:p>
    <w:p>
      <w:pPr>
        <w:ind w:right="180" w:firstLine="757"/>
        <w:spacing w:after="0" w:line="239" w:lineRule="auto"/>
        <w:tabs>
          <w:tab w:leader="none" w:pos="1018" w:val="left"/>
        </w:tabs>
        <w:numPr>
          <w:ilvl w:val="1"/>
          <w:numId w:val="58"/>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Dividend Equivalent Rights</w:t>
      </w:r>
      <w:r>
        <w:rPr>
          <w:rFonts w:ascii="Times New Roman" w:cs="Times New Roman" w:eastAsia="Times New Roman" w:hAnsi="Times New Roman"/>
          <w:sz w:val="22"/>
          <w:szCs w:val="22"/>
          <w:color w:val="auto"/>
        </w:rPr>
        <w:t>. The Administrator may grant Dividend Equivalent Rights under the Plan. A Dividend Equivalent Right is an Award entitling the grantee to receive credits based on cash dividends that would have been paid on the shares of Stock specified in the Dividend Equivalent Right (or other Award to which it relates) if such shares had been issued to the grantee. A Dividend Equivalent Right may be granted hereunder to any grantee as a</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14</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ACTIVE/72134752.4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18" w:name="page119"/>
    <w:bookmarkEnd w:id="118"/>
    <w:p>
      <w:pPr>
        <w:ind w:right="240"/>
        <w:spacing w:after="0" w:line="246" w:lineRule="auto"/>
        <w:rPr>
          <w:sz w:val="20"/>
          <w:szCs w:val="20"/>
          <w:color w:val="auto"/>
        </w:rPr>
      </w:pPr>
      <w:r>
        <w:rPr>
          <w:rFonts w:ascii="Times New Roman" w:cs="Times New Roman" w:eastAsia="Times New Roman" w:hAnsi="Times New Roman"/>
          <w:sz w:val="21"/>
          <w:szCs w:val="21"/>
          <w:color w:val="auto"/>
        </w:rPr>
        <w:t>component of an award of Restricted Stock Units, Restricted Stock Award or Performance Share Award or as a freestanding award. The terms and conditions of Dividend Equivalent Rights shall be specified in the Award Certificate. Dividend equivalents credited to the holder of a Dividend Equivalent Right may be paid currently or may be deemed to be reinvested in additional shares of Stock, which may thereafter accrue additional equivalents. Any such reinvestment shall be at Fair Market Value on the date of reinvestment or such other price as may then apply under a dividend reinvestment plan sponsored by the Company, if any. Dividend Equivalent Rights may be settled in cash or shares of Stock or a combination thereof, in a single installment or installments. A Dividend Equivalent Right granted as a component of an award of Restricted Stock Units or Restricted Stock Award with performance vesting or Performance Share Award shall provide that such Dividend Equivalent Right shall be settled only upon settlement or payment of, or lapse of restrictions on, such other Award, and that such Dividend Equivalent Right shall expire or be forfeited or annulled under the same conditions as such other Award.</w:t>
      </w:r>
    </w:p>
    <w:p>
      <w:pPr>
        <w:spacing w:after="0" w:line="171" w:lineRule="exact"/>
        <w:rPr>
          <w:sz w:val="20"/>
          <w:szCs w:val="20"/>
          <w:color w:val="auto"/>
        </w:rPr>
      </w:pPr>
    </w:p>
    <w:p>
      <w:pPr>
        <w:ind w:right="20" w:firstLine="757"/>
        <w:spacing w:after="0" w:line="239" w:lineRule="auto"/>
        <w:tabs>
          <w:tab w:leader="none" w:pos="1072" w:val="left"/>
        </w:tabs>
        <w:numPr>
          <w:ilvl w:val="1"/>
          <w:numId w:val="59"/>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Termination</w:t>
      </w:r>
      <w:r>
        <w:rPr>
          <w:rFonts w:ascii="Times New Roman" w:cs="Times New Roman" w:eastAsia="Times New Roman" w:hAnsi="Times New Roman"/>
          <w:sz w:val="22"/>
          <w:szCs w:val="22"/>
          <w:color w:val="auto"/>
        </w:rPr>
        <w:t>. Except as may otherwise be provided by the Administrator either in the Award Certificate or, subject to Section 18 below, in writing after the Award is issued, a grantee’s rights in all Dividend Equivalent Rights shall automatically terminate upon the grantee’s termination of employment (or cessation of service relationship) with the Company and its Subsidiaries for any reason.</w:t>
      </w:r>
    </w:p>
    <w:p>
      <w:pPr>
        <w:spacing w:after="0" w:line="180" w:lineRule="exact"/>
        <w:rPr>
          <w:rFonts w:ascii="Times New Roman" w:cs="Times New Roman" w:eastAsia="Times New Roman" w:hAnsi="Times New Roman"/>
          <w:sz w:val="22"/>
          <w:szCs w:val="22"/>
          <w:u w:val="single" w:color="auto"/>
          <w:color w:val="auto"/>
        </w:rPr>
      </w:pPr>
    </w:p>
    <w:p>
      <w:pPr>
        <w:ind w:left="520" w:hanging="512"/>
        <w:spacing w:after="0"/>
        <w:tabs>
          <w:tab w:leader="none" w:pos="520" w:val="left"/>
        </w:tabs>
        <w:numPr>
          <w:ilvl w:val="0"/>
          <w:numId w:val="60"/>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TRANSFERABILITY OF AWARDS</w:t>
      </w:r>
    </w:p>
    <w:p>
      <w:pPr>
        <w:spacing w:after="0" w:line="206" w:lineRule="exact"/>
        <w:rPr>
          <w:rFonts w:ascii="Times New Roman" w:cs="Times New Roman" w:eastAsia="Times New Roman" w:hAnsi="Times New Roman"/>
          <w:sz w:val="22"/>
          <w:szCs w:val="22"/>
          <w:u w:val="single" w:color="auto"/>
          <w:color w:val="auto"/>
        </w:rPr>
      </w:pPr>
    </w:p>
    <w:p>
      <w:pPr>
        <w:ind w:right="80" w:firstLine="757"/>
        <w:spacing w:after="0" w:line="238" w:lineRule="auto"/>
        <w:tabs>
          <w:tab w:leader="none" w:pos="1018" w:val="left"/>
        </w:tabs>
        <w:numPr>
          <w:ilvl w:val="1"/>
          <w:numId w:val="60"/>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Transferability</w:t>
      </w:r>
      <w:r>
        <w:rPr>
          <w:rFonts w:ascii="Times New Roman" w:cs="Times New Roman" w:eastAsia="Times New Roman" w:hAnsi="Times New Roman"/>
          <w:sz w:val="22"/>
          <w:szCs w:val="22"/>
          <w:color w:val="auto"/>
        </w:rPr>
        <w:t>. Except as provided in Section 14(b) below, during a grantee’s lifetime, his or her Awards shall be exercisable only by the grantee, or by the grantee’s legal representative or guardian in the event of the grantee’s incapacity. No Awards shall be sold, assigned, transferred or otherwise encumbered or disposed of by a grantee other than by will or by the laws of descent and distribution or pursuant to a domestic relations order. No Awards shall be subject, in whole or in part, to attachment, execution, or levy of any kind, and any purported transfer in violation hereof shall be null and void.</w:t>
      </w:r>
    </w:p>
    <w:p>
      <w:pPr>
        <w:spacing w:after="0" w:line="176" w:lineRule="exact"/>
        <w:rPr>
          <w:rFonts w:ascii="Times New Roman" w:cs="Times New Roman" w:eastAsia="Times New Roman" w:hAnsi="Times New Roman"/>
          <w:sz w:val="22"/>
          <w:szCs w:val="22"/>
          <w:u w:val="single" w:color="auto"/>
          <w:color w:val="auto"/>
        </w:rPr>
      </w:pPr>
    </w:p>
    <w:p>
      <w:pPr>
        <w:ind w:right="200" w:firstLine="757"/>
        <w:spacing w:after="0" w:line="236" w:lineRule="auto"/>
        <w:tabs>
          <w:tab w:leader="none" w:pos="1018" w:val="left"/>
        </w:tabs>
        <w:numPr>
          <w:ilvl w:val="1"/>
          <w:numId w:val="60"/>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Administrator Action</w:t>
      </w:r>
      <w:r>
        <w:rPr>
          <w:rFonts w:ascii="Times New Roman" w:cs="Times New Roman" w:eastAsia="Times New Roman" w:hAnsi="Times New Roman"/>
          <w:sz w:val="22"/>
          <w:szCs w:val="22"/>
          <w:color w:val="auto"/>
        </w:rPr>
        <w:t>. Notwithstanding Section 14(a), the Administrator, in its discretion, may provide either in the Award Certificate regarding a given Award or by subsequent written approval that the grantee (who is an employee or director) may transfer his or her Non-Qualified Options to his or her immediate family members, to trusts for the benefit of such family members, or to partnerships in which such family members are the only partners, provided that the transferee agrees in writing with the Company to be bound by all of the terms and conditions of this Plan and the applicable Award. In no event may an Award be transferred by a grantee for value.</w:t>
      </w:r>
    </w:p>
    <w:p>
      <w:pPr>
        <w:spacing w:after="0" w:line="181" w:lineRule="exact"/>
        <w:rPr>
          <w:rFonts w:ascii="Times New Roman" w:cs="Times New Roman" w:eastAsia="Times New Roman" w:hAnsi="Times New Roman"/>
          <w:sz w:val="22"/>
          <w:szCs w:val="22"/>
          <w:u w:val="single" w:color="auto"/>
          <w:color w:val="auto"/>
        </w:rPr>
      </w:pPr>
    </w:p>
    <w:p>
      <w:pPr>
        <w:ind w:firstLine="757"/>
        <w:spacing w:after="0" w:line="236" w:lineRule="auto"/>
        <w:tabs>
          <w:tab w:leader="none" w:pos="1018" w:val="left"/>
        </w:tabs>
        <w:numPr>
          <w:ilvl w:val="1"/>
          <w:numId w:val="60"/>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Family Member</w:t>
      </w:r>
      <w:r>
        <w:rPr>
          <w:rFonts w:ascii="Times New Roman" w:cs="Times New Roman" w:eastAsia="Times New Roman" w:hAnsi="Times New Roman"/>
          <w:sz w:val="22"/>
          <w:szCs w:val="22"/>
          <w:color w:val="auto"/>
        </w:rPr>
        <w:t>. For purposes of Section 14(b), “family member” shall mean a grantee’s child, stepchild, grandchild, parent, stepparent, grandparent, spouse, former spouse, sibling, niece, nephew, mother-in-law, father-in-law, son-in-law, daughter-in-law, brother-in-law, or sister-in-law, including adoptive relationships, any person sharing the grantee’s household (other than a tenant of the grantee), a trust in which these persons (or the grantee) have more than 50 percent of the beneficial interest, a foundation in which these persons (or the grantee) control the management of assets, and any other entity in which these persons (or the grantee) own more than 50 percent of the voting interests.</w:t>
      </w: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15</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ACTIVE/72134752.4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19" w:name="page120"/>
    <w:bookmarkEnd w:id="119"/>
    <w:p>
      <w:pPr>
        <w:ind w:right="20" w:firstLine="757"/>
        <w:spacing w:after="0" w:line="238" w:lineRule="auto"/>
        <w:tabs>
          <w:tab w:leader="none" w:pos="1018" w:val="left"/>
        </w:tabs>
        <w:numPr>
          <w:ilvl w:val="1"/>
          <w:numId w:val="61"/>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Designation of Beneficiary</w:t>
      </w:r>
      <w:r>
        <w:rPr>
          <w:rFonts w:ascii="Times New Roman" w:cs="Times New Roman" w:eastAsia="Times New Roman" w:hAnsi="Times New Roman"/>
          <w:sz w:val="22"/>
          <w:szCs w:val="22"/>
          <w:color w:val="auto"/>
        </w:rPr>
        <w:t>. To the extent permitted by the Company, each grantee to whom an Award has been made under the Plan may designate a beneficiary or beneficiaries to exercise any Award or receive any payment under any Award payable on or after the grantee’s death. Any such designation shall be on a form provided for that purpose by the Administrator and shall not be effective until received by the Administrator. If no beneficiary has been designated by a deceased grantee, or if the designated beneficiaries have predeceased the grantee, the beneficiary shall be the grantee’s estate.</w:t>
      </w:r>
    </w:p>
    <w:p>
      <w:pPr>
        <w:spacing w:after="0" w:line="176" w:lineRule="exact"/>
        <w:rPr>
          <w:rFonts w:ascii="Times New Roman" w:cs="Times New Roman" w:eastAsia="Times New Roman" w:hAnsi="Times New Roman"/>
          <w:sz w:val="22"/>
          <w:szCs w:val="22"/>
          <w:u w:val="single" w:color="auto"/>
          <w:color w:val="auto"/>
        </w:rPr>
      </w:pPr>
    </w:p>
    <w:p>
      <w:pPr>
        <w:ind w:left="520" w:hanging="512"/>
        <w:spacing w:after="0"/>
        <w:tabs>
          <w:tab w:leader="none" w:pos="520" w:val="left"/>
        </w:tabs>
        <w:numPr>
          <w:ilvl w:val="0"/>
          <w:numId w:val="62"/>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TAX WITHHOLDING</w:t>
      </w:r>
    </w:p>
    <w:p>
      <w:pPr>
        <w:spacing w:after="0" w:line="206" w:lineRule="exact"/>
        <w:rPr>
          <w:rFonts w:ascii="Times New Roman" w:cs="Times New Roman" w:eastAsia="Times New Roman" w:hAnsi="Times New Roman"/>
          <w:sz w:val="22"/>
          <w:szCs w:val="22"/>
          <w:u w:val="single" w:color="auto"/>
          <w:color w:val="auto"/>
        </w:rPr>
      </w:pPr>
    </w:p>
    <w:p>
      <w:pPr>
        <w:ind w:firstLine="757"/>
        <w:spacing w:after="0" w:line="235" w:lineRule="auto"/>
        <w:tabs>
          <w:tab w:leader="none" w:pos="1018" w:val="left"/>
        </w:tabs>
        <w:numPr>
          <w:ilvl w:val="1"/>
          <w:numId w:val="62"/>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Payment by Grantee</w:t>
      </w:r>
      <w:r>
        <w:rPr>
          <w:rFonts w:ascii="Times New Roman" w:cs="Times New Roman" w:eastAsia="Times New Roman" w:hAnsi="Times New Roman"/>
          <w:sz w:val="22"/>
          <w:szCs w:val="22"/>
          <w:color w:val="auto"/>
        </w:rPr>
        <w:t>. Each grantee shall, no later than the date as of which the value of an Award or of any Stock or other amounts received thereunder first becomes includable in the gross income of the grantee for Federal income tax purposes, pay to the Company, or make arrangements satisfactory to the Administrator regarding payment of, any Federal, state, or local taxes of any kind required by law to be withheld by the Company with respect to such income. The Company and its Subsidiaries shall, to the extent permitted by law, have the right to deduct any such taxes from any payment of any kind otherwise due to the grantee. The Company’s obligation to deliver evidence of book entry (or stock certificates) to any grantee is subject to and conditioned on tax withholding obligations being satisfied by the grantee.</w:t>
      </w:r>
    </w:p>
    <w:p>
      <w:pPr>
        <w:spacing w:after="0" w:line="183" w:lineRule="exact"/>
        <w:rPr>
          <w:rFonts w:ascii="Times New Roman" w:cs="Times New Roman" w:eastAsia="Times New Roman" w:hAnsi="Times New Roman"/>
          <w:sz w:val="22"/>
          <w:szCs w:val="22"/>
          <w:u w:val="single" w:color="auto"/>
          <w:color w:val="auto"/>
        </w:rPr>
      </w:pPr>
    </w:p>
    <w:p>
      <w:pPr>
        <w:ind w:right="140" w:firstLine="757"/>
        <w:spacing w:after="0" w:line="236" w:lineRule="auto"/>
        <w:tabs>
          <w:tab w:leader="none" w:pos="1018" w:val="left"/>
        </w:tabs>
        <w:numPr>
          <w:ilvl w:val="1"/>
          <w:numId w:val="62"/>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Payment in Stock</w:t>
      </w:r>
      <w:r>
        <w:rPr>
          <w:rFonts w:ascii="Times New Roman" w:cs="Times New Roman" w:eastAsia="Times New Roman" w:hAnsi="Times New Roman"/>
          <w:sz w:val="22"/>
          <w:szCs w:val="22"/>
          <w:color w:val="auto"/>
        </w:rPr>
        <w:t>. Subject to approval by the Administrator, the Company’s minimum required tax withholding obligation may be satisfied, in whole or in part, by the Company withholding from shares of Stock to be issued pursuant to any Award a number of shares with an aggregate Fair Market Value (as of the date the withholding is effected) that would satisfy the withholding amount due. The Administrator may also require Awards to be subject to mandatory share withholding up to the required withholding amount. For purposes of share withholding, the Fair Market Value of withheld shares shall be determined in the same manner as the value of Stock includible in income of the grantee.</w:t>
      </w:r>
    </w:p>
    <w:p>
      <w:pPr>
        <w:spacing w:after="0" w:line="181" w:lineRule="exact"/>
        <w:rPr>
          <w:rFonts w:ascii="Times New Roman" w:cs="Times New Roman" w:eastAsia="Times New Roman" w:hAnsi="Times New Roman"/>
          <w:sz w:val="22"/>
          <w:szCs w:val="22"/>
          <w:u w:val="single" w:color="auto"/>
          <w:color w:val="auto"/>
        </w:rPr>
      </w:pPr>
    </w:p>
    <w:p>
      <w:pPr>
        <w:ind w:left="520" w:hanging="512"/>
        <w:spacing w:after="0"/>
        <w:tabs>
          <w:tab w:leader="none" w:pos="520" w:val="left"/>
        </w:tabs>
        <w:numPr>
          <w:ilvl w:val="0"/>
          <w:numId w:val="62"/>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SECTION 409A AWARDS</w:t>
      </w:r>
    </w:p>
    <w:p>
      <w:pPr>
        <w:spacing w:after="0" w:line="206" w:lineRule="exact"/>
        <w:rPr>
          <w:sz w:val="20"/>
          <w:szCs w:val="20"/>
          <w:color w:val="auto"/>
        </w:rPr>
      </w:pPr>
    </w:p>
    <w:p>
      <w:pPr>
        <w:ind w:right="120" w:firstLine="749"/>
        <w:spacing w:after="0" w:line="247" w:lineRule="auto"/>
        <w:rPr>
          <w:sz w:val="20"/>
          <w:szCs w:val="20"/>
          <w:color w:val="auto"/>
        </w:rPr>
      </w:pPr>
      <w:r>
        <w:rPr>
          <w:rFonts w:ascii="Times New Roman" w:cs="Times New Roman" w:eastAsia="Times New Roman" w:hAnsi="Times New Roman"/>
          <w:sz w:val="21"/>
          <w:szCs w:val="21"/>
          <w:color w:val="auto"/>
        </w:rPr>
        <w:t>To the extent that any Award is determined to constitute “nonqualified deferred compensation” within the meaning of Section 409A (a “409A Award”), the Award shall be subject to such additional rules and requirements as specified by the Administrator from time to time in order to comply with Section 409A. In this regard, if any amount under a 409A Award is payable upon a “separation from service” (within the meaning of Section 409A) to a grantee who is then considered a “specified employee” (within the meaning of Section 409A), then no such payment shall be made prior to the date that is the earlier of (i) six months and one day after the grantee’s separation from service, or (ii) the grantee’s death, but only to the extent such delay is necessary to prevent such payment from being subject to interest, penalties and/or additional tax imposed pursuant to Section 409A. Further, the settlement of any such Award may not be accelerated except to the extent permitted by Section 409A.</w:t>
      </w: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16</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ACTIVE/72134752.4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20" w:name="page121"/>
    <w:bookmarkEnd w:id="120"/>
    <w:p>
      <w:pPr>
        <w:ind w:left="520" w:hanging="512"/>
        <w:spacing w:after="0"/>
        <w:tabs>
          <w:tab w:leader="none" w:pos="520" w:val="left"/>
        </w:tabs>
        <w:numPr>
          <w:ilvl w:val="0"/>
          <w:numId w:val="63"/>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TERMINATION OF EMPLOYMENT. TRANSFER, LEAVE OF ABSENCE, ETC.</w:t>
      </w:r>
    </w:p>
    <w:p>
      <w:pPr>
        <w:spacing w:after="0" w:line="206" w:lineRule="exact"/>
        <w:rPr>
          <w:rFonts w:ascii="Times New Roman" w:cs="Times New Roman" w:eastAsia="Times New Roman" w:hAnsi="Times New Roman"/>
          <w:sz w:val="22"/>
          <w:szCs w:val="22"/>
          <w:u w:val="single" w:color="auto"/>
          <w:color w:val="auto"/>
        </w:rPr>
      </w:pPr>
    </w:p>
    <w:p>
      <w:pPr>
        <w:ind w:firstLine="749"/>
        <w:spacing w:after="0" w:line="258" w:lineRule="auto"/>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a. Termination of Employment</w:t>
      </w:r>
      <w:r>
        <w:rPr>
          <w:rFonts w:ascii="Times New Roman" w:cs="Times New Roman" w:eastAsia="Times New Roman" w:hAnsi="Times New Roman"/>
          <w:sz w:val="22"/>
          <w:szCs w:val="22"/>
          <w:color w:val="auto"/>
        </w:rPr>
        <w:t>. If the grantee’s employer ceases to be a Subsidiary, the grantee shall be deemed to have terminated employment for the purposes of the Plan.</w:t>
      </w:r>
    </w:p>
    <w:p>
      <w:pPr>
        <w:spacing w:after="0" w:line="15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For purposes of the Plan, the following events shall not be deemed a termination of employment:</w:t>
      </w:r>
    </w:p>
    <w:p>
      <w:pPr>
        <w:spacing w:after="0" w:line="206" w:lineRule="exact"/>
        <w:rPr>
          <w:sz w:val="20"/>
          <w:szCs w:val="20"/>
          <w:color w:val="auto"/>
        </w:rPr>
      </w:pPr>
    </w:p>
    <w:p>
      <w:pPr>
        <w:ind w:right="260" w:firstLine="757"/>
        <w:spacing w:after="0" w:line="258" w:lineRule="auto"/>
        <w:tabs>
          <w:tab w:leader="none" w:pos="1018" w:val="left"/>
        </w:tabs>
        <w:numPr>
          <w:ilvl w:val="0"/>
          <w:numId w:val="64"/>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color w:val="auto"/>
        </w:rPr>
        <w:t>a transfer to the employment of the Company from a Subsidiary or from the Company to a Subsidiary, or from one Subsidiary to another; or</w:t>
      </w:r>
    </w:p>
    <w:p>
      <w:pPr>
        <w:spacing w:after="0" w:line="158" w:lineRule="exact"/>
        <w:rPr>
          <w:rFonts w:ascii="Times New Roman" w:cs="Times New Roman" w:eastAsia="Times New Roman" w:hAnsi="Times New Roman"/>
          <w:sz w:val="22"/>
          <w:szCs w:val="22"/>
          <w:u w:val="single" w:color="auto"/>
          <w:color w:val="auto"/>
        </w:rPr>
      </w:pPr>
    </w:p>
    <w:p>
      <w:pPr>
        <w:jc w:val="both"/>
        <w:ind w:right="160" w:firstLine="757"/>
        <w:spacing w:after="0" w:line="244" w:lineRule="auto"/>
        <w:tabs>
          <w:tab w:leader="none" w:pos="1018" w:val="left"/>
        </w:tabs>
        <w:numPr>
          <w:ilvl w:val="0"/>
          <w:numId w:val="64"/>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color w:val="auto"/>
        </w:rPr>
        <w:t>an approved leave of absence for military service or sickness, or for any other purpose approved by the Company, if the employee’s right to re-employment is guaranteed either by a statute or by contract or under the policy pursuant to which the leave of absence was granted or if the Administrator otherwise so provides in writing.</w:t>
      </w:r>
    </w:p>
    <w:p>
      <w:pPr>
        <w:spacing w:after="0" w:line="173" w:lineRule="exact"/>
        <w:rPr>
          <w:sz w:val="20"/>
          <w:szCs w:val="20"/>
          <w:color w:val="auto"/>
        </w:rPr>
      </w:pPr>
    </w:p>
    <w:p>
      <w:pPr>
        <w:ind w:right="700" w:firstLine="749"/>
        <w:spacing w:after="0" w:line="258" w:lineRule="auto"/>
        <w:rPr>
          <w:sz w:val="20"/>
          <w:szCs w:val="20"/>
          <w:color w:val="auto"/>
        </w:rPr>
      </w:pPr>
      <w:r>
        <w:rPr>
          <w:rFonts w:ascii="Times New Roman" w:cs="Times New Roman" w:eastAsia="Times New Roman" w:hAnsi="Times New Roman"/>
          <w:sz w:val="22"/>
          <w:szCs w:val="22"/>
          <w:color w:val="auto"/>
        </w:rPr>
        <w:t>Unless the Administrator provides otherwise or as required by law, vesting of Awards granted hereunder shall be suspended during any unpaid leave of absence of such grantee that exceeds a period of seven (7) days.</w:t>
      </w:r>
    </w:p>
    <w:p>
      <w:pPr>
        <w:spacing w:after="0" w:line="158" w:lineRule="exact"/>
        <w:rPr>
          <w:sz w:val="20"/>
          <w:szCs w:val="20"/>
          <w:color w:val="auto"/>
        </w:rPr>
      </w:pPr>
    </w:p>
    <w:p>
      <w:pPr>
        <w:ind w:left="520" w:hanging="512"/>
        <w:spacing w:after="0"/>
        <w:tabs>
          <w:tab w:leader="none" w:pos="520" w:val="left"/>
        </w:tabs>
        <w:numPr>
          <w:ilvl w:val="0"/>
          <w:numId w:val="65"/>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AMENDMENTS AND TERMINATION</w:t>
      </w:r>
    </w:p>
    <w:p>
      <w:pPr>
        <w:spacing w:after="0" w:line="206" w:lineRule="exact"/>
        <w:rPr>
          <w:sz w:val="20"/>
          <w:szCs w:val="20"/>
          <w:color w:val="auto"/>
        </w:rPr>
      </w:pPr>
    </w:p>
    <w:p>
      <w:pPr>
        <w:ind w:firstLine="749"/>
        <w:spacing w:after="0" w:line="233" w:lineRule="auto"/>
        <w:rPr>
          <w:sz w:val="20"/>
          <w:szCs w:val="20"/>
          <w:color w:val="auto"/>
        </w:rPr>
      </w:pPr>
      <w:r>
        <w:rPr>
          <w:rFonts w:ascii="Times New Roman" w:cs="Times New Roman" w:eastAsia="Times New Roman" w:hAnsi="Times New Roman"/>
          <w:sz w:val="22"/>
          <w:szCs w:val="22"/>
          <w:color w:val="auto"/>
        </w:rPr>
        <w:t>The Board may, at any time, amend or discontinue the Plan and the Administrator may, at any time, amend or cancel any outstanding Award for the purpose of satisfying changes in law or for any other lawful purpose, but no such action shall adversely affect rights under any outstanding Award without the holder’s consent. Except as provided in Section 3(c) or 3(d), without prior stockholder approval, in no event may the Administrator exercise its discretion to reduce the exercise price of outstanding Stock Options or Stock Appreciation Rights or effect repricing through cancellation and re-grants or cancellation of Stock Options or Stock Appreciation Rights in exchange for cash. To the extent required under the rules of any securities exchange or market system on which the Stock is listed, to the extent determined by the Administrator to be required by the Code to ensure that Incentive Stock Options granted under the Plan are qualified under Section 422 of the Code, or to ensure that compensation earned under Awards qualifies as performance-based compensation under Section 162(m) of the Code, Plan amendments shall be subject to approval by the Company stockholders entitled to vote at a meeting of stockholders. Nothing in this Section 18 shall limit the Administrator’s authority to take any action permitted pursuant to Section 3(c) or 3(d).</w:t>
      </w:r>
    </w:p>
    <w:p>
      <w:pPr>
        <w:spacing w:after="0" w:line="187" w:lineRule="exact"/>
        <w:rPr>
          <w:sz w:val="20"/>
          <w:szCs w:val="20"/>
          <w:color w:val="auto"/>
        </w:rPr>
      </w:pPr>
    </w:p>
    <w:p>
      <w:pPr>
        <w:ind w:left="520" w:hanging="512"/>
        <w:spacing w:after="0"/>
        <w:tabs>
          <w:tab w:leader="none" w:pos="520" w:val="left"/>
        </w:tabs>
        <w:numPr>
          <w:ilvl w:val="0"/>
          <w:numId w:val="66"/>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STATUS OF PLAN</w:t>
      </w:r>
    </w:p>
    <w:p>
      <w:pPr>
        <w:spacing w:after="0" w:line="206" w:lineRule="exact"/>
        <w:rPr>
          <w:sz w:val="20"/>
          <w:szCs w:val="20"/>
          <w:color w:val="auto"/>
        </w:rPr>
      </w:pPr>
    </w:p>
    <w:p>
      <w:pPr>
        <w:ind w:right="60" w:firstLine="749"/>
        <w:spacing w:after="0" w:line="236" w:lineRule="auto"/>
        <w:rPr>
          <w:sz w:val="20"/>
          <w:szCs w:val="20"/>
          <w:color w:val="auto"/>
        </w:rPr>
      </w:pPr>
      <w:r>
        <w:rPr>
          <w:rFonts w:ascii="Times New Roman" w:cs="Times New Roman" w:eastAsia="Times New Roman" w:hAnsi="Times New Roman"/>
          <w:sz w:val="22"/>
          <w:szCs w:val="22"/>
          <w:color w:val="auto"/>
        </w:rPr>
        <w:t>With respect to the portion of any Award that has not been exercised and any payments in cash, Stock or other consideration not received by a grantee, a grantee shall have no rights greater than those of a general creditor of the Company unless the Administrator shall otherwise expressly determine in connection with any Award or Awards. In its sole discretion, the Administrator may authorize the creation of trusts or other arrangements to meet the Company’s obligations to deliver Stock or make payments with respect to Awards hereunder, provided that the existence of such trusts or other arrangements is consistent with the foregoing sentence.</w:t>
      </w:r>
    </w:p>
    <w:p>
      <w:pPr>
        <w:spacing w:after="0" w:line="200" w:lineRule="exact"/>
        <w:rPr>
          <w:sz w:val="20"/>
          <w:szCs w:val="20"/>
          <w:color w:val="auto"/>
        </w:rPr>
      </w:pPr>
    </w:p>
    <w:p>
      <w:pPr>
        <w:spacing w:after="0" w:line="23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17</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ACTIVE/72134752.4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08" w:right="379" w:bottom="1440" w:gutter="0" w:footer="0" w:header="0"/>
        </w:sectPr>
      </w:pPr>
    </w:p>
    <w:bookmarkStart w:id="121" w:name="page122"/>
    <w:bookmarkEnd w:id="121"/>
    <w:p>
      <w:pPr>
        <w:ind w:left="520" w:hanging="512"/>
        <w:spacing w:after="0"/>
        <w:tabs>
          <w:tab w:leader="none" w:pos="520" w:val="left"/>
        </w:tabs>
        <w:numPr>
          <w:ilvl w:val="0"/>
          <w:numId w:val="67"/>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GENERAL PROVISIONS</w:t>
      </w:r>
    </w:p>
    <w:p>
      <w:pPr>
        <w:spacing w:after="0" w:line="206" w:lineRule="exact"/>
        <w:rPr>
          <w:rFonts w:ascii="Times New Roman" w:cs="Times New Roman" w:eastAsia="Times New Roman" w:hAnsi="Times New Roman"/>
          <w:sz w:val="22"/>
          <w:szCs w:val="22"/>
          <w:u w:val="single" w:color="auto"/>
          <w:color w:val="auto"/>
        </w:rPr>
      </w:pPr>
    </w:p>
    <w:p>
      <w:pPr>
        <w:ind w:right="320" w:firstLine="757"/>
        <w:spacing w:after="0" w:line="258" w:lineRule="auto"/>
        <w:tabs>
          <w:tab w:leader="none" w:pos="1018" w:val="left"/>
        </w:tabs>
        <w:numPr>
          <w:ilvl w:val="1"/>
          <w:numId w:val="67"/>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No Distribution</w:t>
      </w:r>
      <w:r>
        <w:rPr>
          <w:rFonts w:ascii="Times New Roman" w:cs="Times New Roman" w:eastAsia="Times New Roman" w:hAnsi="Times New Roman"/>
          <w:sz w:val="22"/>
          <w:szCs w:val="22"/>
          <w:color w:val="auto"/>
        </w:rPr>
        <w:t>. The Administrator may require each person acquiring Stock pursuant to an Award to represent to and agree with the Company in writing that such person is acquiring the shares without a view to distribution thereof.</w:t>
      </w:r>
    </w:p>
    <w:p>
      <w:pPr>
        <w:spacing w:after="0" w:line="158" w:lineRule="exact"/>
        <w:rPr>
          <w:rFonts w:ascii="Times New Roman" w:cs="Times New Roman" w:eastAsia="Times New Roman" w:hAnsi="Times New Roman"/>
          <w:sz w:val="22"/>
          <w:szCs w:val="22"/>
          <w:u w:val="single" w:color="auto"/>
          <w:color w:val="auto"/>
        </w:rPr>
      </w:pPr>
    </w:p>
    <w:p>
      <w:pPr>
        <w:ind w:firstLine="757"/>
        <w:spacing w:after="0" w:line="243" w:lineRule="auto"/>
        <w:tabs>
          <w:tab w:leader="none" w:pos="1018" w:val="left"/>
        </w:tabs>
        <w:numPr>
          <w:ilvl w:val="1"/>
          <w:numId w:val="67"/>
        </w:numPr>
        <w:rPr>
          <w:rFonts w:ascii="Times New Roman" w:cs="Times New Roman" w:eastAsia="Times New Roman" w:hAnsi="Times New Roman"/>
          <w:sz w:val="21"/>
          <w:szCs w:val="21"/>
          <w:u w:val="single" w:color="auto"/>
          <w:color w:val="auto"/>
        </w:rPr>
      </w:pPr>
      <w:r>
        <w:rPr>
          <w:rFonts w:ascii="Times New Roman" w:cs="Times New Roman" w:eastAsia="Times New Roman" w:hAnsi="Times New Roman"/>
          <w:sz w:val="21"/>
          <w:szCs w:val="21"/>
          <w:u w:val="single" w:color="auto"/>
          <w:color w:val="auto"/>
        </w:rPr>
        <w:t>Delivery of Stock Certificates</w:t>
      </w:r>
      <w:r>
        <w:rPr>
          <w:rFonts w:ascii="Times New Roman" w:cs="Times New Roman" w:eastAsia="Times New Roman" w:hAnsi="Times New Roman"/>
          <w:sz w:val="21"/>
          <w:szCs w:val="21"/>
          <w:color w:val="auto"/>
        </w:rPr>
        <w:t>. Stock certificates to grantees under this Plan shall be deemed delivered for all purposes when the Company or a stock transfer agent of the Company shall have mailed such certificates in the United States mail, addressed to the grantee, at the grantee’s last known address on file with the Company. Uncertificated Stock shall be deemed delivered for all purposes when the Company or a Stock transfer agent of the Company shall have given to the grantee by electronic mail (with proof of receipt) or by United States mail, addressed to the grantee, at the grantee’s last known address on file with the Company, notice of issuance and recorded the issuance in its records (which may include electronic “book entry” records). Notwithstanding anything herein to the contrary, the Company shall not be required to issue or deliver any certificates evidencing shares of Stock pursuant to the exercise of any Award, unless and until the Administrator has determined, with advice of counsel (to the extent the Administrator deems such advice necessary or advisable), that the issuance and delivery of such certificates is in compliance with all applicable laws, regulations of governmental authorities and, if applicable, the requirements of any exchange on which the shares of Stock are listed, quoted or traded. All Stock certificates delivered pursuant to the Plan shall be subject to any stop-transfer orders and other restrictions as the Administrator deems necessary or advisable to comply with federal, state or foreign jurisdiction, securities or other laws, rules and quotation system on which the Stock is listed, quoted or traded. The Administrator may place legends on any Stock certificate to reference restrictions applicable to the Stock. In addition to the terms and conditions provided herein, the Administrator may require that an individual make such reasonable covenants, agreements, and representations as the Administrator, in its discretion, deems necessary or advisable in order to comply with any such laws, regulations, or requirements. The Administrator shall have the right to require any individual to comply with any timing or other restrictions with respect to the settlement or exercise of any Award, including a window-period limitation, as may be imposed in the discretion of the Administrator.</w:t>
      </w:r>
    </w:p>
    <w:p>
      <w:pPr>
        <w:spacing w:after="0" w:line="200" w:lineRule="exact"/>
        <w:rPr>
          <w:rFonts w:ascii="Times New Roman" w:cs="Times New Roman" w:eastAsia="Times New Roman" w:hAnsi="Times New Roman"/>
          <w:sz w:val="21"/>
          <w:szCs w:val="21"/>
          <w:u w:val="single" w:color="auto"/>
          <w:color w:val="auto"/>
        </w:rPr>
      </w:pPr>
    </w:p>
    <w:p>
      <w:pPr>
        <w:spacing w:after="0" w:line="231" w:lineRule="exact"/>
        <w:rPr>
          <w:rFonts w:ascii="Times New Roman" w:cs="Times New Roman" w:eastAsia="Times New Roman" w:hAnsi="Times New Roman"/>
          <w:sz w:val="21"/>
          <w:szCs w:val="21"/>
          <w:u w:val="single" w:color="auto"/>
          <w:color w:val="auto"/>
        </w:rPr>
      </w:pPr>
    </w:p>
    <w:p>
      <w:pPr>
        <w:ind w:right="80" w:firstLine="757"/>
        <w:spacing w:after="0" w:line="244" w:lineRule="auto"/>
        <w:tabs>
          <w:tab w:leader="none" w:pos="1018" w:val="left"/>
        </w:tabs>
        <w:numPr>
          <w:ilvl w:val="1"/>
          <w:numId w:val="67"/>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Stockholder Rights</w:t>
      </w:r>
      <w:r>
        <w:rPr>
          <w:rFonts w:ascii="Times New Roman" w:cs="Times New Roman" w:eastAsia="Times New Roman" w:hAnsi="Times New Roman"/>
          <w:sz w:val="22"/>
          <w:szCs w:val="22"/>
          <w:color w:val="auto"/>
        </w:rPr>
        <w:t>. Until Stock is deemed delivered in accordance with Section 20(b), no right to vote or receive dividends or any other rights of a stockholder will exist with respect to shares of Stock to be issued in connection with an Award, notwithstanding the exercise of a Stock Option or any other action by the grantee with respect to an Award.</w:t>
      </w:r>
    </w:p>
    <w:p>
      <w:pPr>
        <w:spacing w:after="0" w:line="173" w:lineRule="exact"/>
        <w:rPr>
          <w:rFonts w:ascii="Times New Roman" w:cs="Times New Roman" w:eastAsia="Times New Roman" w:hAnsi="Times New Roman"/>
          <w:sz w:val="22"/>
          <w:szCs w:val="22"/>
          <w:u w:val="single" w:color="auto"/>
          <w:color w:val="auto"/>
        </w:rPr>
      </w:pPr>
    </w:p>
    <w:p>
      <w:pPr>
        <w:ind w:right="120" w:firstLine="757"/>
        <w:spacing w:after="0" w:line="239" w:lineRule="auto"/>
        <w:tabs>
          <w:tab w:leader="none" w:pos="1018" w:val="left"/>
        </w:tabs>
        <w:numPr>
          <w:ilvl w:val="1"/>
          <w:numId w:val="67"/>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Other Compensation Arrangements; No Employment Rights</w:t>
      </w:r>
      <w:r>
        <w:rPr>
          <w:rFonts w:ascii="Times New Roman" w:cs="Times New Roman" w:eastAsia="Times New Roman" w:hAnsi="Times New Roman"/>
          <w:sz w:val="22"/>
          <w:szCs w:val="22"/>
          <w:color w:val="auto"/>
        </w:rPr>
        <w:t>. Nothing contained in this Plan shall prevent the Board from adopting other or additional compensation arrangements, including trusts, and such arrangements may be either generally applicable or applicable only in specific cases. The adoption of this Plan and the grant of Awards do not confer upon any employee any right to continued employment with the Company or any Subsidiary.</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18</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ACTIVE/72134752.4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5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22" w:name="page123"/>
    <w:bookmarkEnd w:id="122"/>
    <w:p>
      <w:pPr>
        <w:ind w:right="280" w:firstLine="757"/>
        <w:spacing w:after="0" w:line="258" w:lineRule="auto"/>
        <w:tabs>
          <w:tab w:leader="none" w:pos="1018" w:val="left"/>
        </w:tabs>
        <w:numPr>
          <w:ilvl w:val="0"/>
          <w:numId w:val="68"/>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Trading Policy Restrictions</w:t>
      </w:r>
      <w:r>
        <w:rPr>
          <w:rFonts w:ascii="Times New Roman" w:cs="Times New Roman" w:eastAsia="Times New Roman" w:hAnsi="Times New Roman"/>
          <w:sz w:val="22"/>
          <w:szCs w:val="22"/>
          <w:color w:val="auto"/>
        </w:rPr>
        <w:t>. Option exercises and other Awards under the Plan shall be subject to the Company’s insider trading policies and procedures, as in effect from time to time.</w:t>
      </w:r>
    </w:p>
    <w:p>
      <w:pPr>
        <w:spacing w:after="0" w:line="158" w:lineRule="exact"/>
        <w:rPr>
          <w:rFonts w:ascii="Times New Roman" w:cs="Times New Roman" w:eastAsia="Times New Roman" w:hAnsi="Times New Roman"/>
          <w:sz w:val="22"/>
          <w:szCs w:val="22"/>
          <w:u w:val="single" w:color="auto"/>
          <w:color w:val="auto"/>
        </w:rPr>
      </w:pPr>
    </w:p>
    <w:p>
      <w:pPr>
        <w:ind w:right="20" w:firstLine="757"/>
        <w:spacing w:after="0" w:line="258" w:lineRule="auto"/>
        <w:tabs>
          <w:tab w:leader="none" w:pos="1018" w:val="left"/>
        </w:tabs>
        <w:numPr>
          <w:ilvl w:val="0"/>
          <w:numId w:val="68"/>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Clawback Policy</w:t>
      </w:r>
      <w:r>
        <w:rPr>
          <w:rFonts w:ascii="Times New Roman" w:cs="Times New Roman" w:eastAsia="Times New Roman" w:hAnsi="Times New Roman"/>
          <w:sz w:val="22"/>
          <w:szCs w:val="22"/>
          <w:color w:val="auto"/>
        </w:rPr>
        <w:t>. Awards under the Plan shall be subject to the Company’s clawback policy, as may be adopted and as in effect from time to time.</w:t>
      </w:r>
    </w:p>
    <w:p>
      <w:pPr>
        <w:spacing w:after="0" w:line="158" w:lineRule="exact"/>
        <w:rPr>
          <w:sz w:val="20"/>
          <w:szCs w:val="20"/>
          <w:color w:val="auto"/>
        </w:rPr>
      </w:pPr>
    </w:p>
    <w:p>
      <w:pPr>
        <w:ind w:left="520" w:hanging="512"/>
        <w:spacing w:after="0"/>
        <w:tabs>
          <w:tab w:leader="none" w:pos="520" w:val="left"/>
        </w:tabs>
        <w:numPr>
          <w:ilvl w:val="0"/>
          <w:numId w:val="69"/>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EFFECTIVE DATE OF PLAN</w:t>
      </w:r>
    </w:p>
    <w:p>
      <w:pPr>
        <w:spacing w:after="0" w:line="206" w:lineRule="exact"/>
        <w:rPr>
          <w:sz w:val="20"/>
          <w:szCs w:val="20"/>
          <w:color w:val="auto"/>
        </w:rPr>
      </w:pPr>
    </w:p>
    <w:p>
      <w:pPr>
        <w:ind w:firstLine="749"/>
        <w:spacing w:after="0" w:line="238" w:lineRule="auto"/>
        <w:rPr>
          <w:sz w:val="20"/>
          <w:szCs w:val="20"/>
          <w:color w:val="auto"/>
        </w:rPr>
      </w:pPr>
      <w:r>
        <w:rPr>
          <w:rFonts w:ascii="Times New Roman" w:cs="Times New Roman" w:eastAsia="Times New Roman" w:hAnsi="Times New Roman"/>
          <w:sz w:val="22"/>
          <w:szCs w:val="22"/>
          <w:color w:val="auto"/>
        </w:rPr>
        <w:t>This Plan shall become effective immediately prior to the Company’s Initial Public Offering, following stockholder approval of the Plan in accordance with applicable state law, the Company’s bylaws and articles of incorporation, and applicable stock exchange rules or pursuant to written consent. No grants of Stock Options and other Awards may be made hereunder after the tenth anniversary of the Effective Date and no grants of Incentive Stock Options may be made hereunder after the tenth anniversary of the date the Plan is approved by the Board.</w:t>
      </w:r>
    </w:p>
    <w:p>
      <w:pPr>
        <w:spacing w:after="0" w:line="177" w:lineRule="exact"/>
        <w:rPr>
          <w:sz w:val="20"/>
          <w:szCs w:val="20"/>
          <w:color w:val="auto"/>
        </w:rPr>
      </w:pPr>
    </w:p>
    <w:p>
      <w:pPr>
        <w:ind w:left="520" w:hanging="512"/>
        <w:spacing w:after="0"/>
        <w:tabs>
          <w:tab w:leader="none" w:pos="520" w:val="left"/>
        </w:tabs>
        <w:numPr>
          <w:ilvl w:val="0"/>
          <w:numId w:val="70"/>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GOVERNING LAW</w:t>
      </w:r>
    </w:p>
    <w:p>
      <w:pPr>
        <w:spacing w:after="0" w:line="206" w:lineRule="exact"/>
        <w:rPr>
          <w:sz w:val="20"/>
          <w:szCs w:val="20"/>
          <w:color w:val="auto"/>
        </w:rPr>
      </w:pPr>
    </w:p>
    <w:p>
      <w:pPr>
        <w:ind w:right="20" w:firstLine="749"/>
        <w:spacing w:after="0" w:line="258" w:lineRule="auto"/>
        <w:rPr>
          <w:sz w:val="20"/>
          <w:szCs w:val="20"/>
          <w:color w:val="auto"/>
        </w:rPr>
      </w:pPr>
      <w:r>
        <w:rPr>
          <w:rFonts w:ascii="Times New Roman" w:cs="Times New Roman" w:eastAsia="Times New Roman" w:hAnsi="Times New Roman"/>
          <w:sz w:val="22"/>
          <w:szCs w:val="22"/>
          <w:color w:val="auto"/>
        </w:rPr>
        <w:t>This Plan and all Awards and actions taken thereunder shall be governed by, and construed in accordance with, the laws of the State of Delaware, applied without regard to conflict of law principles.</w:t>
      </w:r>
    </w:p>
    <w:p>
      <w:pPr>
        <w:spacing w:after="0" w:line="15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DATE APPROVED BY BOARD OF DIRECTORS: September 25, 2014</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DATE APPROVED BY STOCKHOLDERS: September 25, 2014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2"/>
          <w:szCs w:val="22"/>
          <w:color w:val="auto"/>
        </w:rPr>
        <w:t>19</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ACTIVE/72134752.4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5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408" w:right="459" w:bottom="1440" w:gutter="0" w:footer="0" w:header="0"/>
        </w:sectPr>
      </w:pPr>
    </w:p>
    <w:bookmarkStart w:id="123" w:name="page124"/>
    <w:bookmarkEnd w:id="123"/>
    <w:p>
      <w:pPr>
        <w:ind w:left="4680"/>
        <w:spacing w:after="0"/>
        <w:rPr>
          <w:sz w:val="20"/>
          <w:szCs w:val="20"/>
          <w:color w:val="auto"/>
        </w:rPr>
      </w:pPr>
      <w:r>
        <w:rPr>
          <w:rFonts w:ascii="Times New Roman" w:cs="Times New Roman" w:eastAsia="Times New Roman" w:hAnsi="Times New Roman"/>
          <w:sz w:val="20"/>
          <w:szCs w:val="20"/>
          <w:b w:val="1"/>
          <w:bCs w:val="1"/>
          <w:color w:val="auto"/>
        </w:rPr>
        <w:t>AMENDMENT NO. 1</w:t>
      </w:r>
    </w:p>
    <w:p>
      <w:pPr>
        <w:spacing w:after="0" w:line="25"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20"/>
          <w:szCs w:val="20"/>
          <w:b w:val="1"/>
          <w:bCs w:val="1"/>
          <w:color w:val="auto"/>
        </w:rPr>
        <w:t>TO THE</w:t>
      </w:r>
    </w:p>
    <w:p>
      <w:pPr>
        <w:ind w:left="4900"/>
        <w:spacing w:after="0"/>
        <w:rPr>
          <w:sz w:val="20"/>
          <w:szCs w:val="20"/>
          <w:color w:val="auto"/>
        </w:rPr>
      </w:pPr>
      <w:r>
        <w:rPr>
          <w:rFonts w:ascii="Times New Roman" w:cs="Times New Roman" w:eastAsia="Times New Roman" w:hAnsi="Times New Roman"/>
          <w:sz w:val="20"/>
          <w:szCs w:val="20"/>
          <w:b w:val="1"/>
          <w:bCs w:val="1"/>
          <w:color w:val="auto"/>
        </w:rPr>
        <w:t>HUBSPOT, INC.</w:t>
      </w:r>
    </w:p>
    <w:p>
      <w:pPr>
        <w:ind w:left="3520"/>
        <w:spacing w:after="0"/>
        <w:rPr>
          <w:sz w:val="20"/>
          <w:szCs w:val="20"/>
          <w:color w:val="auto"/>
        </w:rPr>
      </w:pPr>
      <w:r>
        <w:rPr>
          <w:rFonts w:ascii="Times New Roman" w:cs="Times New Roman" w:eastAsia="Times New Roman" w:hAnsi="Times New Roman"/>
          <w:sz w:val="20"/>
          <w:szCs w:val="20"/>
          <w:b w:val="1"/>
          <w:bCs w:val="1"/>
          <w:color w:val="auto"/>
        </w:rPr>
        <w:t>2014 STOCK OPTION AND INCENTIVE PLAN</w:t>
      </w:r>
    </w:p>
    <w:p>
      <w:pPr>
        <w:spacing w:after="0" w:line="200" w:lineRule="exact"/>
        <w:rPr>
          <w:sz w:val="20"/>
          <w:szCs w:val="20"/>
          <w:color w:val="auto"/>
        </w:rPr>
      </w:pPr>
    </w:p>
    <w:p>
      <w:pPr>
        <w:spacing w:after="0" w:line="260" w:lineRule="exact"/>
        <w:rPr>
          <w:sz w:val="20"/>
          <w:szCs w:val="20"/>
          <w:color w:val="auto"/>
        </w:rPr>
      </w:pPr>
    </w:p>
    <w:p>
      <w:pPr>
        <w:ind w:right="280"/>
        <w:spacing w:after="0" w:line="273" w:lineRule="auto"/>
        <w:rPr>
          <w:sz w:val="20"/>
          <w:szCs w:val="20"/>
          <w:color w:val="auto"/>
        </w:rPr>
      </w:pPr>
      <w:r>
        <w:rPr>
          <w:rFonts w:ascii="Times New Roman" w:cs="Times New Roman" w:eastAsia="Times New Roman" w:hAnsi="Times New Roman"/>
          <w:sz w:val="20"/>
          <w:szCs w:val="20"/>
          <w:b w:val="1"/>
          <w:bCs w:val="1"/>
          <w:color w:val="auto"/>
        </w:rPr>
        <w:t>WHEREAS</w:t>
      </w:r>
      <w:r>
        <w:rPr>
          <w:rFonts w:ascii="Times New Roman" w:cs="Times New Roman" w:eastAsia="Times New Roman" w:hAnsi="Times New Roman"/>
          <w:sz w:val="20"/>
          <w:szCs w:val="20"/>
          <w:color w:val="auto"/>
        </w:rPr>
        <w:t>, HubSpot, Inc. (the “Company”) maintains the HubSpot, Inc. 2014 Stock Option and Incentive Plan (the “Plan”), which was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previously adopted by the Board of Directors of the Company (the “Board”) and approved by the stockholders of the Company;</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WHEREAS</w:t>
      </w:r>
      <w:r>
        <w:rPr>
          <w:rFonts w:ascii="Times New Roman" w:cs="Times New Roman" w:eastAsia="Times New Roman" w:hAnsi="Times New Roman"/>
          <w:sz w:val="20"/>
          <w:szCs w:val="20"/>
          <w:color w:val="auto"/>
        </w:rPr>
        <w:t>, the Board desires to amend the Plan to eliminate the “evergreen” feature on a prospective basis; and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WHEREAS</w:t>
      </w:r>
      <w:r>
        <w:rPr>
          <w:rFonts w:ascii="Times New Roman" w:cs="Times New Roman" w:eastAsia="Times New Roman" w:hAnsi="Times New Roman"/>
          <w:sz w:val="20"/>
          <w:szCs w:val="20"/>
          <w:color w:val="auto"/>
        </w:rPr>
        <w:t>, Section 18 of the Plan provides that the Board may amend the Plan at any time, subject to certain conditions set forth therein.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NOW, THEREFORE</w:t>
      </w:r>
      <w:r>
        <w:rPr>
          <w:rFonts w:ascii="Times New Roman" w:cs="Times New Roman" w:eastAsia="Times New Roman" w:hAnsi="Times New Roman"/>
          <w:sz w:val="20"/>
          <w:szCs w:val="20"/>
          <w:color w:val="auto"/>
        </w:rPr>
        <w:t>:</w:t>
      </w:r>
    </w:p>
    <w:p>
      <w:pPr>
        <w:spacing w:after="0" w:line="233" w:lineRule="exact"/>
        <w:rPr>
          <w:sz w:val="20"/>
          <w:szCs w:val="20"/>
          <w:color w:val="auto"/>
        </w:rPr>
      </w:pPr>
    </w:p>
    <w:p>
      <w:pPr>
        <w:ind w:left="600" w:hanging="592"/>
        <w:spacing w:after="0"/>
        <w:tabs>
          <w:tab w:leader="none" w:pos="600" w:val="left"/>
        </w:tabs>
        <w:numPr>
          <w:ilvl w:val="0"/>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Section 3(a) of the Plan is hereby deleted it in its entirety and replaced with the following:</w:t>
      </w:r>
    </w:p>
    <w:p>
      <w:pPr>
        <w:spacing w:after="0" w:line="229"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20"/>
          <w:szCs w:val="20"/>
          <w:color w:val="auto"/>
        </w:rPr>
        <w:t xml:space="preserve">“(b) </w:t>
      </w:r>
      <w:r>
        <w:rPr>
          <w:rFonts w:ascii="Times New Roman" w:cs="Times New Roman" w:eastAsia="Times New Roman" w:hAnsi="Times New Roman"/>
          <w:sz w:val="20"/>
          <w:szCs w:val="20"/>
          <w:u w:val="single" w:color="auto"/>
          <w:color w:val="auto"/>
        </w:rPr>
        <w:t>Stock Issuable</w:t>
      </w:r>
      <w:r>
        <w:rPr>
          <w:rFonts w:ascii="Times New Roman" w:cs="Times New Roman" w:eastAsia="Times New Roman" w:hAnsi="Times New Roman"/>
          <w:sz w:val="20"/>
          <w:szCs w:val="20"/>
          <w:color w:val="auto"/>
        </w:rPr>
        <w:t>. The maximum number of shares of Stock reserved and available for issuance under the Plan shall be 1,973,551 shares (the “Initial Limit”), subject to adjustment as provided in Section 3(c), plus on January 1, 2015 and each January 1 thereafter through January 1, 2022, the number of shares of Stock reserved and available for issuance under the Plan shall be cumulatively increased by 5 percent of the number of shares of Stock issued and outstanding on the immediately preceding December 31 or such lesser number of shares of Stock as determined by the Administrator (the “Annual Increase”). For the avoidance of doubt, no Annual Increases shall occur after January 1, 2022. Subject to such overall limitation, the maximum aggregate number of shares of Stock that may be issued in the form of Incentive Stock Options shall not exceed the Initial Limit cumulatively increased on January 1, 2015 and on each January 1 thereafter through January 1, 2022 by the lesser of the Annual Increase for such year or 1,000,000 shares of Stock, subject in all cases to adjustment as provided in Section 3(c). The shares of Stock underlying any Awards under the Plan and under the Company’s 2007 Equity Incentive Plan that are forfeited, canceled, held back upon exercise of an Option or settlement of an Award to cover the exercise price or tax withholding, reacquired by the Company prior to vesting, satisfied without the issuance of Stock or otherwise terminated (other than by exercise) shall be added back to the shares of Stock available for issuance under the Plan. In the event the Company repurchases shares of Stock on the open market, such shares shall not be added to the shares of Stock available for issuance under the Plan. Subject to such overall limitations, shares of Stock may be issued up to such maximum number pursuant to any type or types of Award; provided, however, that Stock Options or Stock Appreciation Rights with respect to no more than 1,000,000 shares of Stock may be granted to any one individual grantee during any one calendar year period. The shares available for issuance under the Plan may be authorized but unissued shares of Stock or shares of Stock reacquired by the Company.”</w:t>
      </w:r>
    </w:p>
    <w:p>
      <w:pPr>
        <w:spacing w:after="0" w:line="205" w:lineRule="exact"/>
        <w:rPr>
          <w:sz w:val="20"/>
          <w:szCs w:val="20"/>
          <w:color w:val="auto"/>
        </w:rPr>
      </w:pPr>
    </w:p>
    <w:p>
      <w:pPr>
        <w:ind w:left="600" w:hanging="592"/>
        <w:spacing w:after="0"/>
        <w:tabs>
          <w:tab w:leader="none" w:pos="600" w:val="left"/>
        </w:tabs>
        <w:numPr>
          <w:ilvl w:val="0"/>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Effective Date of Amendment</w:t>
      </w:r>
      <w:r>
        <w:rPr>
          <w:rFonts w:ascii="Times New Roman" w:cs="Times New Roman" w:eastAsia="Times New Roman" w:hAnsi="Times New Roman"/>
          <w:sz w:val="20"/>
          <w:szCs w:val="20"/>
          <w:color w:val="auto"/>
        </w:rPr>
        <w:t>. This Amendment to the Plan shall become effective upon the date that it is approved by the Board.</w:t>
      </w:r>
    </w:p>
    <w:p>
      <w:pPr>
        <w:spacing w:after="0" w:line="229" w:lineRule="exact"/>
        <w:rPr>
          <w:rFonts w:ascii="Times New Roman" w:cs="Times New Roman" w:eastAsia="Times New Roman" w:hAnsi="Times New Roman"/>
          <w:sz w:val="20"/>
          <w:szCs w:val="20"/>
          <w:color w:val="auto"/>
        </w:rPr>
      </w:pPr>
    </w:p>
    <w:p>
      <w:pPr>
        <w:ind w:left="600" w:hanging="592"/>
        <w:spacing w:after="0"/>
        <w:tabs>
          <w:tab w:leader="none" w:pos="600" w:val="left"/>
        </w:tabs>
        <w:numPr>
          <w:ilvl w:val="0"/>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Other Provisions.</w:t>
      </w:r>
      <w:r>
        <w:rPr>
          <w:rFonts w:ascii="Times New Roman" w:cs="Times New Roman" w:eastAsia="Times New Roman" w:hAnsi="Times New Roman"/>
          <w:sz w:val="20"/>
          <w:szCs w:val="20"/>
          <w:color w:val="auto"/>
        </w:rPr>
        <w:t xml:space="preserve"> Except as set forth above, all other provisions of the Plan shall remain unchanged.</w:t>
      </w:r>
    </w:p>
    <w:p>
      <w:pPr>
        <w:spacing w:after="0" w:line="241" w:lineRule="exact"/>
        <w:rPr>
          <w:sz w:val="20"/>
          <w:szCs w:val="20"/>
          <w:color w:val="auto"/>
        </w:rPr>
      </w:pPr>
    </w:p>
    <w:p>
      <w:pPr>
        <w:ind w:right="240"/>
        <w:spacing w:after="0" w:line="221" w:lineRule="auto"/>
        <w:rPr>
          <w:sz w:val="20"/>
          <w:szCs w:val="20"/>
          <w:color w:val="auto"/>
        </w:rPr>
      </w:pPr>
      <w:r>
        <w:rPr>
          <w:rFonts w:ascii="Times New Roman" w:cs="Times New Roman" w:eastAsia="Times New Roman" w:hAnsi="Times New Roman"/>
          <w:sz w:val="20"/>
          <w:szCs w:val="20"/>
          <w:color w:val="auto"/>
        </w:rPr>
        <w:t>IN WITNESS WHEREOF, this Amendment No. 1 to the Plan has been adopted by the Board of Directors of the Company this 26</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20"/>
          <w:szCs w:val="20"/>
          <w:color w:val="auto"/>
        </w:rPr>
        <w:t xml:space="preserve"> day of January 2022.</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20</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ACTIVE/72134752.4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5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09" w:right="379" w:bottom="1440" w:gutter="0" w:footer="0" w:header="0"/>
        </w:sectPr>
      </w:pPr>
    </w:p>
    <w:bookmarkStart w:id="124" w:name="page125"/>
    <w:bookmarkEnd w:id="124"/>
    <w:p>
      <w:pPr>
        <w:jc w:val="center"/>
        <w:ind w:left="2800"/>
        <w:spacing w:after="0" w:line="267" w:lineRule="auto"/>
        <w:rPr>
          <w:sz w:val="20"/>
          <w:szCs w:val="20"/>
          <w:color w:val="auto"/>
        </w:rPr>
      </w:pPr>
      <w:r>
        <w:rPr>
          <w:rFonts w:ascii="Times New Roman" w:cs="Times New Roman" w:eastAsia="Times New Roman" w:hAnsi="Times New Roman"/>
          <w:sz w:val="25"/>
          <w:szCs w:val="25"/>
          <w:b w:val="1"/>
          <w:bCs w:val="1"/>
          <w:color w:val="auto"/>
        </w:rPr>
        <w:t>GLOBAL INCENTIVE STOCK OPTION AGREEMENT UNDER THE HUBSPOT, INC. 2014 STOCK OPTION AND INCENTIVE PLAN</w:t>
      </w:r>
    </w:p>
    <w:p>
      <w:pPr>
        <w:spacing w:after="0" w:line="365" w:lineRule="exact"/>
        <w:rPr>
          <w:sz w:val="20"/>
          <w:szCs w:val="20"/>
          <w:color w:val="auto"/>
        </w:rPr>
      </w:pPr>
    </w:p>
    <w:p>
      <w:pPr>
        <w:spacing w:after="0"/>
        <w:tabs>
          <w:tab w:leader="none" w:pos="2140" w:val="left"/>
        </w:tabs>
        <w:rPr>
          <w:sz w:val="20"/>
          <w:szCs w:val="20"/>
          <w:color w:val="auto"/>
        </w:rPr>
      </w:pPr>
      <w:r>
        <w:rPr>
          <w:rFonts w:ascii="Times New Roman" w:cs="Times New Roman" w:eastAsia="Times New Roman" w:hAnsi="Times New Roman"/>
          <w:sz w:val="22"/>
          <w:szCs w:val="22"/>
          <w:color w:val="auto"/>
        </w:rPr>
        <w:t>Name of Optionee:</w:t>
      </w:r>
      <w:r>
        <w:rPr>
          <w:sz w:val="20"/>
          <w:szCs w:val="20"/>
          <w:color w:val="auto"/>
        </w:rPr>
        <w:tab/>
      </w:r>
      <w:r>
        <w:rPr>
          <w:rFonts w:ascii="Times New Roman" w:cs="Times New Roman" w:eastAsia="Times New Roman" w:hAnsi="Times New Roman"/>
          <w:sz w:val="21"/>
          <w:szCs w:val="21"/>
          <w:color w:val="auto"/>
        </w:rPr>
        <w:t>&lt;Participant Name&gt;</w:t>
      </w:r>
    </w:p>
    <w:p>
      <w:pPr>
        <w:spacing w:after="0" w:line="206" w:lineRule="exact"/>
        <w:rPr>
          <w:sz w:val="20"/>
          <w:szCs w:val="20"/>
          <w:color w:val="auto"/>
        </w:rPr>
      </w:pPr>
    </w:p>
    <w:p>
      <w:pPr>
        <w:spacing w:after="0"/>
        <w:tabs>
          <w:tab w:leader="none" w:pos="2140" w:val="left"/>
        </w:tabs>
        <w:rPr>
          <w:sz w:val="20"/>
          <w:szCs w:val="20"/>
          <w:color w:val="auto"/>
        </w:rPr>
      </w:pPr>
      <w:r>
        <w:rPr>
          <w:rFonts w:ascii="Times New Roman" w:cs="Times New Roman" w:eastAsia="Times New Roman" w:hAnsi="Times New Roman"/>
          <w:sz w:val="22"/>
          <w:szCs w:val="22"/>
          <w:color w:val="auto"/>
        </w:rPr>
        <w:t>No. of Option Shares:</w:t>
      </w:r>
      <w:r>
        <w:rPr>
          <w:sz w:val="20"/>
          <w:szCs w:val="20"/>
          <w:color w:val="auto"/>
        </w:rPr>
        <w:tab/>
      </w:r>
      <w:r>
        <w:rPr>
          <w:rFonts w:ascii="Times New Roman" w:cs="Times New Roman" w:eastAsia="Times New Roman" w:hAnsi="Times New Roman"/>
          <w:sz w:val="21"/>
          <w:szCs w:val="21"/>
          <w:color w:val="auto"/>
        </w:rPr>
        <w:t>&lt;Number of Awards Granted&gt;</w:t>
      </w:r>
    </w:p>
    <w:p>
      <w:pPr>
        <w:spacing w:after="0" w:line="206" w:lineRule="exact"/>
        <w:rPr>
          <w:sz w:val="20"/>
          <w:szCs w:val="20"/>
          <w:color w:val="auto"/>
        </w:rPr>
      </w:pPr>
    </w:p>
    <w:p>
      <w:pPr>
        <w:spacing w:after="0"/>
        <w:tabs>
          <w:tab w:leader="none" w:pos="3020" w:val="left"/>
        </w:tabs>
        <w:rPr>
          <w:sz w:val="20"/>
          <w:szCs w:val="20"/>
          <w:color w:val="auto"/>
        </w:rPr>
      </w:pPr>
      <w:r>
        <w:rPr>
          <w:rFonts w:ascii="Times New Roman" w:cs="Times New Roman" w:eastAsia="Times New Roman" w:hAnsi="Times New Roman"/>
          <w:sz w:val="22"/>
          <w:szCs w:val="22"/>
          <w:color w:val="auto"/>
        </w:rPr>
        <w:t>Option Exercise Price per Share:</w:t>
      </w:r>
      <w:r>
        <w:rPr>
          <w:sz w:val="20"/>
          <w:szCs w:val="20"/>
          <w:color w:val="auto"/>
        </w:rPr>
        <w:tab/>
      </w:r>
      <w:r>
        <w:rPr>
          <w:rFonts w:ascii="Times New Roman" w:cs="Times New Roman" w:eastAsia="Times New Roman" w:hAnsi="Times New Roman"/>
          <w:sz w:val="21"/>
          <w:szCs w:val="21"/>
          <w:color w:val="auto"/>
        </w:rPr>
        <w:t>$ &lt;Grant Date FMV&gt;</w:t>
      </w:r>
    </w:p>
    <w:p>
      <w:pPr>
        <w:spacing w:after="0" w:line="1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b w:val="1"/>
          <w:bCs w:val="1"/>
          <w:color w:val="auto"/>
        </w:rPr>
        <w:t>[FMV on Grant Date (110% of FMV if a 10% owner)]</w:t>
      </w:r>
    </w:p>
    <w:p>
      <w:pPr>
        <w:sectPr>
          <w:pgSz w:w="11900" w:h="16838" w:orient="portrait"/>
          <w:cols w:equalWidth="0" w:num="1">
            <w:col w:w="11240"/>
          </w:cols>
          <w:pgMar w:left="320" w:top="1407" w:right="339" w:bottom="1440" w:gutter="0" w:footer="0" w:header="0"/>
        </w:sectPr>
      </w:pP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Grant Date:</w:t>
      </w:r>
    </w:p>
    <w:p>
      <w:pPr>
        <w:spacing w:after="0" w:line="20" w:lineRule="exact"/>
        <w:rPr>
          <w:sz w:val="20"/>
          <w:szCs w:val="20"/>
          <w:color w:val="auto"/>
        </w:rPr>
      </w:pPr>
      <w:r>
        <w:rPr>
          <w:sz w:val="20"/>
          <w:szCs w:val="20"/>
          <w:color w:val="auto"/>
        </w:rPr>
        <w:br w:type="column"/>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&lt;Grant Date&gt;</w:t>
      </w:r>
    </w:p>
    <w:p>
      <w:pPr>
        <w:spacing w:after="0" w:line="200" w:lineRule="exact"/>
        <w:rPr>
          <w:sz w:val="20"/>
          <w:szCs w:val="20"/>
          <w:color w:val="auto"/>
        </w:rPr>
      </w:pPr>
    </w:p>
    <w:p>
      <w:pPr>
        <w:sectPr>
          <w:pgSz w:w="11900" w:h="16838" w:orient="portrait"/>
          <w:cols w:equalWidth="0" w:num="2">
            <w:col w:w="1020" w:space="280"/>
            <w:col w:w="9940"/>
          </w:cols>
          <w:pgMar w:left="320" w:top="1407" w:right="339" w:bottom="1440" w:gutter="0" w:footer="0" w:header="0"/>
          <w:type w:val="continuous"/>
        </w:sectPr>
      </w:pP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Vesting Commencement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&lt;Vest from Hire Date&gt;, &lt;Vesting Schedule (Dates &amp; Quantities)&gt;</w:t>
      </w:r>
    </w:p>
    <w:p>
      <w:pPr>
        <w:spacing w:after="0" w:line="200" w:lineRule="exact"/>
        <w:rPr>
          <w:sz w:val="20"/>
          <w:szCs w:val="20"/>
          <w:color w:val="auto"/>
        </w:rPr>
      </w:pPr>
    </w:p>
    <w:p>
      <w:pPr>
        <w:sectPr>
          <w:pgSz w:w="11900" w:h="16838" w:orient="portrait"/>
          <w:cols w:equalWidth="0" w:num="2">
            <w:col w:w="2640" w:space="400"/>
            <w:col w:w="8200"/>
          </w:cols>
          <w:pgMar w:left="320" w:top="1407" w:right="339" w:bottom="1440" w:gutter="0" w:footer="0" w:header="0"/>
          <w:type w:val="continuous"/>
        </w:sectPr>
      </w:pPr>
    </w:p>
    <w:p>
      <w:pPr>
        <w:spacing w:after="0" w:line="18" w:lineRule="exact"/>
        <w:rPr>
          <w:sz w:val="20"/>
          <w:szCs w:val="20"/>
          <w:color w:val="auto"/>
        </w:rPr>
      </w:pPr>
    </w:p>
    <w:p>
      <w:pPr>
        <w:spacing w:after="0"/>
        <w:tabs>
          <w:tab w:leader="none" w:pos="1720" w:val="left"/>
        </w:tabs>
        <w:rPr>
          <w:sz w:val="20"/>
          <w:szCs w:val="20"/>
          <w:color w:val="auto"/>
        </w:rPr>
      </w:pPr>
      <w:r>
        <w:rPr>
          <w:rFonts w:ascii="Times New Roman" w:cs="Times New Roman" w:eastAsia="Times New Roman" w:hAnsi="Times New Roman"/>
          <w:sz w:val="22"/>
          <w:szCs w:val="22"/>
          <w:color w:val="auto"/>
        </w:rPr>
        <w:t>Expiration Date:</w:t>
      </w:r>
      <w:r>
        <w:rPr>
          <w:sz w:val="20"/>
          <w:szCs w:val="20"/>
          <w:color w:val="auto"/>
        </w:rPr>
        <w:tab/>
      </w:r>
      <w:r>
        <w:rPr>
          <w:rFonts w:ascii="Times New Roman" w:cs="Times New Roman" w:eastAsia="Times New Roman" w:hAnsi="Times New Roman"/>
          <w:sz w:val="21"/>
          <w:szCs w:val="21"/>
          <w:color w:val="auto"/>
        </w:rPr>
        <w:t>&lt;Expiration Date&gt;</w:t>
      </w:r>
    </w:p>
    <w:p>
      <w:pPr>
        <w:spacing w:after="0" w:line="1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b w:val="1"/>
          <w:bCs w:val="1"/>
          <w:color w:val="auto"/>
        </w:rPr>
        <w:t>[up to 10 years (5 if a 10% owner)]</w:t>
      </w:r>
    </w:p>
    <w:p>
      <w:pPr>
        <w:spacing w:after="0" w:line="398"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Pursuant to the HubSpot, Inc. 2014 Stock Option and Incentive Plan as amended through the date hereof (the “Plan”), and this Global Incentive Stock Option Award Agreement, including any additional terms and conditions for the Optionee’s country set forth in the appendix attached hereto (the “Appendix” and together with the Global Incentive Stock Option Agreement, the “Agreement”), HubSpot, Inc. (the “Company”) hereby grants to the Optionee named above an option (the “Stock Option”) to purchase on or prior to the Expiration Date specified above all or part of the number of shares of Common Stock, par value $0.001 per share (the “Stock”), of the Company specified above at the Option Exercise Price per Share specified above subject to the terms and conditions set forth herein and in the Plan.</w:t>
      </w:r>
    </w:p>
    <w:p>
      <w:pPr>
        <w:spacing w:after="0" w:line="399" w:lineRule="exact"/>
        <w:rPr>
          <w:sz w:val="20"/>
          <w:szCs w:val="20"/>
          <w:color w:val="auto"/>
        </w:rPr>
      </w:pPr>
    </w:p>
    <w:p>
      <w:pPr>
        <w:jc w:val="both"/>
        <w:ind w:firstLine="757"/>
        <w:spacing w:after="0"/>
        <w:tabs>
          <w:tab w:leader="none" w:pos="1194" w:val="left"/>
        </w:tabs>
        <w:numPr>
          <w:ilvl w:val="0"/>
          <w:numId w:val="7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Vesting Schedule</w:t>
      </w:r>
      <w:r>
        <w:rPr>
          <w:rFonts w:ascii="Times New Roman" w:cs="Times New Roman" w:eastAsia="Times New Roman" w:hAnsi="Times New Roman"/>
          <w:sz w:val="21"/>
          <w:szCs w:val="21"/>
          <w:color w:val="auto"/>
        </w:rPr>
        <w:t>. No portion of this Stock Option may be exercised until such portion shall have become vested and exercisable. Except as set forth below, and subject to the discretion of the Administrator (as defined in Section 2 of the Plan) to accelerate the vesting schedule hereunder, the Option Shares shall vest and become exercisable [in [ ] installments]</w:t>
      </w:r>
      <w:r>
        <w:rPr>
          <w:rFonts w:ascii="Times New Roman" w:cs="Times New Roman" w:eastAsia="Times New Roman" w:hAnsi="Times New Roman"/>
          <w:sz w:val="27"/>
          <w:szCs w:val="27"/>
          <w:color w:val="auto"/>
          <w:vertAlign w:val="superscript"/>
        </w:rPr>
        <w:t>1</w:t>
      </w:r>
      <w:r>
        <w:rPr>
          <w:rFonts w:ascii="Times New Roman" w:cs="Times New Roman" w:eastAsia="Times New Roman" w:hAnsi="Times New Roman"/>
          <w:sz w:val="21"/>
          <w:szCs w:val="21"/>
          <w:color w:val="auto"/>
        </w:rPr>
        <w:t xml:space="preserve"> following the Vesting Commencement Date; provided that the Optionee remains an employee of the Company or a Subsidiary on such date. For the avoidance of doubt, employment during only a period prior to a vesting date (but where employment has terminated prior to the vesting date) does not entitle the Optionee to vest in a pro-rata portion of the Stock Option on such date or entitle the Optionee to compensation for lost vesting. Notwithstanding the foregoing, in the event that the Optionee’s employment with the Company and any Subsidiary terminates due to the Optionee’s death, then the Option Shares shall be deemed fully vested and exercisable upon the date of the Optionee’s death. Once vested and exercisable, this Stock Option shall continue to be exercisable at any time or times prior to the close of business on the Expiration Date, subject to the provisions hereof and of the Plan. This Agreement is subject to the terms and conditions of any policies of the Company regarding vesting during leaves of absence.</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21</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ACTIVE/72134752.4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5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type w:val="continuous"/>
        </w:sectPr>
      </w:pPr>
    </w:p>
    <w:bookmarkStart w:id="125" w:name="page126"/>
    <w:bookmarkEnd w:id="125"/>
    <w:p>
      <w:pPr>
        <w:jc w:val="both"/>
        <w:spacing w:after="0" w:line="238" w:lineRule="auto"/>
        <w:rPr>
          <w:sz w:val="20"/>
          <w:szCs w:val="20"/>
          <w:color w:val="auto"/>
        </w:rPr>
      </w:pPr>
      <w:r>
        <w:rPr>
          <w:rFonts w:ascii="Times New Roman" w:cs="Times New Roman" w:eastAsia="Times New Roman" w:hAnsi="Times New Roman"/>
          <w:sz w:val="22"/>
          <w:szCs w:val="22"/>
          <w:color w:val="auto"/>
        </w:rPr>
        <w:t>Notwithstanding the foregoing, in the event of a Sale Event (as defined in the Plan) in which this Stock Option is continued or assumed by a successor to the Company, this Stock Option shall be deemed vested and exercisable upon the date on which the Optionee’s employment relationship with the Company and any Subsidiary or successor entity, as the case may be, terminates if such termination occurs (i) within 12 months after such Sale Event or 90 days prior to such Sale Event, and (ii) such termination is by the Company or any Subsidiary or successor entity without Cause or by the Optionee for Good Reason.</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following definitions shall apply:</w:t>
      </w:r>
    </w:p>
    <w:p>
      <w:pPr>
        <w:spacing w:after="0" w:line="202"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Cause</w:t>
      </w:r>
      <w:r>
        <w:rPr>
          <w:rFonts w:ascii="Times New Roman" w:cs="Times New Roman" w:eastAsia="Times New Roman" w:hAnsi="Times New Roman"/>
          <w:sz w:val="21"/>
          <w:szCs w:val="21"/>
          <w:color w:val="auto"/>
        </w:rPr>
        <w:t>” shall mean (i) the Optionee’s dishonest statements or acts with respect to the Company or any affiliate of the Company, or any current or prospective customers, suppliers vendors or other third parties with which such entity does business;</w:t>
      </w:r>
    </w:p>
    <w:p>
      <w:pPr>
        <w:spacing w:after="0" w:line="1" w:lineRule="exact"/>
        <w:rPr>
          <w:sz w:val="20"/>
          <w:szCs w:val="20"/>
          <w:color w:val="auto"/>
        </w:rPr>
      </w:pPr>
    </w:p>
    <w:p>
      <w:pPr>
        <w:jc w:val="both"/>
        <w:ind w:firstLine="8"/>
        <w:spacing w:after="0" w:line="232" w:lineRule="auto"/>
        <w:tabs>
          <w:tab w:leader="none" w:pos="358"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Optionee’s commission of (A) a felony (or crime of similar magnitude under non-U.S. laws, as determined by the Administrator) or (B) any misdemeanor involving moral turpitude, deceit, dishonesty or fraud; (iii) the Optionee’s failure to perform his or her assigned duties and responsibilities to the reasonable satisfaction of the Company or a Subsidiary which failure continues, in the reasonable judgment of the Company or a Subsidiary, after written notice given to the Optionee by the Company or a Subsidiary; (iv) the Optionee’s gross negligence, willful misconduct or insubordination with respect to the Company or any Subsidiary (including, but not limited to, any violation of the Company’s or any Subsidiary's code of conduct, insider trading, willful accounting improprieties or failure to cooperate with investigations); or (v) the Optionee’s material violation of any provision of any agreement(s) between the Optionee and the Company or any Subsidiary relating to noncompetition, nonsolicitation, nondisclosure and/or assignment of inventions.</w:t>
      </w:r>
    </w:p>
    <w:p>
      <w:pPr>
        <w:spacing w:after="0" w:line="174"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i w:val="1"/>
          <w:iCs w:val="1"/>
          <w:color w:val="auto"/>
        </w:rPr>
        <w:t xml:space="preserve">“Good Reason” </w:t>
      </w:r>
      <w:r>
        <w:rPr>
          <w:rFonts w:ascii="Times New Roman" w:cs="Times New Roman" w:eastAsia="Times New Roman" w:hAnsi="Times New Roman"/>
          <w:sz w:val="22"/>
          <w:szCs w:val="22"/>
          <w:color w:val="auto"/>
        </w:rPr>
        <w:t>shall mean (i) a material diminution in the Optionee’s base salary except for across-the-board salary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reductions similarly affecting all or substantially all similarly situated employees of the Company or a Subsidiary or (ii) a change of more than 50 miles in the geographic location at which the Optionee provides services to the Company or a Subsidiary, so long as the Optionee provides notice to the Company or the Subsidiary within at least 90 days following the initial occurrence of any such event and the Company or the Subsidiary fails to cure such event within 30 days of such notice.</w:t>
      </w:r>
    </w:p>
    <w:p>
      <w:pPr>
        <w:spacing w:after="0" w:line="181" w:lineRule="exact"/>
        <w:rPr>
          <w:sz w:val="20"/>
          <w:szCs w:val="20"/>
          <w:color w:val="auto"/>
        </w:rPr>
      </w:pPr>
    </w:p>
    <w:p>
      <w:pPr>
        <w:ind w:left="1180" w:hanging="423"/>
        <w:spacing w:after="0"/>
        <w:tabs>
          <w:tab w:leader="none" w:pos="1180" w:val="left"/>
        </w:tabs>
        <w:numPr>
          <w:ilvl w:val="0"/>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Manner of Exercise</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jc w:val="both"/>
        <w:ind w:firstLine="1056"/>
        <w:spacing w:after="0" w:line="239" w:lineRule="auto"/>
        <w:tabs>
          <w:tab w:leader="none" w:pos="1527" w:val="left"/>
        </w:tabs>
        <w:numPr>
          <w:ilvl w:val="1"/>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Optionee may exercise this Stock Option only in the following manner: from time to time on or prior to the Expiration Date of this Stock Option, the Optionee may give written notice to the Administrator of his or her election to purchase some or all of the Option Shares purchasable at the time of such notice. This notice shall specify the number of Option Shares to be purchased.</w:t>
      </w:r>
    </w:p>
    <w:p>
      <w:pPr>
        <w:spacing w:after="0" w:line="207"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Payment of the purchase price for the Option Shares may be made by one or more of the following methods: (i) in cash, by certified or bank check or other instrument acceptable to the Administrator; (ii) if permitted by the Administrator, through the delivery (or attestation to the ownership) of shares of Stock that have been purchased by the Optionee on the open market or that are beneficially owned by the Optionee and are not then subject to any restrictions under any Company plan and that otherwise satisfy any holding periods as may be required by the</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22</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ACTIVE/72134752.4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5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26" w:name="page127"/>
    <w:bookmarkEnd w:id="126"/>
    <w:p>
      <w:pPr>
        <w:jc w:val="both"/>
        <w:spacing w:after="0" w:line="235" w:lineRule="auto"/>
        <w:rPr>
          <w:sz w:val="20"/>
          <w:szCs w:val="20"/>
          <w:color w:val="auto"/>
        </w:rPr>
      </w:pPr>
      <w:r>
        <w:rPr>
          <w:rFonts w:ascii="Times New Roman" w:cs="Times New Roman" w:eastAsia="Times New Roman" w:hAnsi="Times New Roman"/>
          <w:sz w:val="22"/>
          <w:szCs w:val="22"/>
          <w:color w:val="auto"/>
        </w:rPr>
        <w:t>Administrator; (iii) by the Optionee delivering to the Company a properly executed exercise notice together with irrevocable instructions to a broker to promptly deliver to the Company cash or a check payable and acceptable to the Company to pay the option purchase price, provided that in the event the Optionee chooses to pay the option purchase price as so provided, the Optionee and the broker shall comply with such procedures and enter into such agreements of indemnity and other agreements as the Administrator shall prescribe as a condition of such payment procedure; (iv) if permitted by the Administrator, by a “net exercise” arrangement pursuant to which the Company will reduce the number of shares of Stock issuable upon exercise by the largest whole number of shares with a Fair Market Value that does not exceed the aggregate exercise price; or (v) a combination of (i), (ii), (iii) and (iv) above. Payment instruments will be received subject to collection.</w:t>
      </w:r>
    </w:p>
    <w:p>
      <w:pPr>
        <w:spacing w:after="0" w:line="178" w:lineRule="exact"/>
        <w:rPr>
          <w:sz w:val="20"/>
          <w:szCs w:val="20"/>
          <w:color w:val="auto"/>
        </w:rPr>
      </w:pPr>
    </w:p>
    <w:p>
      <w:pPr>
        <w:jc w:val="both"/>
        <w:ind w:firstLine="749"/>
        <w:spacing w:after="0" w:line="253" w:lineRule="auto"/>
        <w:rPr>
          <w:sz w:val="20"/>
          <w:szCs w:val="20"/>
          <w:color w:val="auto"/>
        </w:rPr>
      </w:pPr>
      <w:r>
        <w:rPr>
          <w:rFonts w:ascii="Times New Roman" w:cs="Times New Roman" w:eastAsia="Times New Roman" w:hAnsi="Times New Roman"/>
          <w:sz w:val="21"/>
          <w:szCs w:val="21"/>
          <w:color w:val="auto"/>
        </w:rPr>
        <w:t>The transfer to the Optionee on the records of the Company or of the transfer agent of the Option Shares will be contingent upon (i) the Company’s receipt from the Optionee of the full purchase price for the Option Shares, as set forth above,</w:t>
      </w:r>
    </w:p>
    <w:p>
      <w:pPr>
        <w:spacing w:after="0" w:line="1" w:lineRule="exact"/>
        <w:rPr>
          <w:sz w:val="20"/>
          <w:szCs w:val="20"/>
          <w:color w:val="auto"/>
        </w:rPr>
      </w:pPr>
    </w:p>
    <w:p>
      <w:pPr>
        <w:ind w:left="340" w:hanging="332"/>
        <w:spacing w:after="0"/>
        <w:tabs>
          <w:tab w:leader="none" w:pos="340" w:val="left"/>
        </w:tabs>
        <w:numPr>
          <w:ilvl w:val="0"/>
          <w:numId w:val="7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fulfillment of any other requirements contained herein or in the Plan or in any other agreement or provision of laws, and</w:t>
      </w:r>
    </w:p>
    <w:p>
      <w:pPr>
        <w:spacing w:after="0" w:line="1" w:lineRule="exact"/>
        <w:rPr>
          <w:rFonts w:ascii="Times New Roman" w:cs="Times New Roman" w:eastAsia="Times New Roman" w:hAnsi="Times New Roman"/>
          <w:sz w:val="21"/>
          <w:szCs w:val="21"/>
          <w:color w:val="auto"/>
        </w:rPr>
      </w:pPr>
    </w:p>
    <w:p>
      <w:pPr>
        <w:jc w:val="both"/>
        <w:ind w:firstLine="8"/>
        <w:spacing w:after="0" w:line="245" w:lineRule="auto"/>
        <w:tabs>
          <w:tab w:leader="none" w:pos="379" w:val="left"/>
        </w:tabs>
        <w:numPr>
          <w:ilvl w:val="0"/>
          <w:numId w:val="7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receipt by the Company of any agreement, statement or other evidence that the Company may require to satisfy itself that the issuance of Stock to be purchased pursuant to the exercise of Stock Options under the Plan and any subsequent resale of the shares of Stock will be in compliance with applicable laws and regulations. In the event the Optionee chooses (and the Administrator permits to) pay the purchase price by previously-owned shares of Stock through the attestation method, the number of shares of Stock transferred to the Optionee upon the exercise of the Stock Option shall be net of the Shares attested to.</w:t>
      </w:r>
    </w:p>
    <w:p>
      <w:pPr>
        <w:spacing w:after="0" w:line="174" w:lineRule="exact"/>
        <w:rPr>
          <w:rFonts w:ascii="Times New Roman" w:cs="Times New Roman" w:eastAsia="Times New Roman" w:hAnsi="Times New Roman"/>
          <w:sz w:val="21"/>
          <w:szCs w:val="21"/>
          <w:color w:val="auto"/>
        </w:rPr>
      </w:pPr>
    </w:p>
    <w:p>
      <w:pPr>
        <w:jc w:val="both"/>
        <w:ind w:firstLine="1056"/>
        <w:spacing w:after="0" w:line="234" w:lineRule="auto"/>
        <w:tabs>
          <w:tab w:leader="none" w:pos="1527" w:val="left"/>
        </w:tabs>
        <w:numPr>
          <w:ilvl w:val="2"/>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shares of Stock purchased upon exercise of this Stock Option shall be transferred to the Optionee on the records of the Company or of the transfer agent upon compliance to the satisfaction of the Administrator with all requirements under applicable laws or regulations in connection with such transfer and with the requirements hereof and of the Plan. The determination of the Administrator as to such compliance shall be final and binding on the Optionee. The Optionee shall not be deemed to be the holder of, or to have any of the rights of a holder with respect to, any shares of Stock subject to this Stock Option unless and until this Stock Option shall have been exercised pursuant to the terms hereof, the Company or the transfer agent shall have transferred the shares to the Optionee, and the Optionee’s name shall have been entered as the stockholder of record on the books of the Company. Thereupon, the Optionee shall have full voting, dividend and other ownership rights with respect to such shares of Stock.</w:t>
      </w:r>
    </w:p>
    <w:p>
      <w:pPr>
        <w:spacing w:after="0" w:line="75" w:lineRule="exact"/>
        <w:rPr>
          <w:rFonts w:ascii="Times New Roman" w:cs="Times New Roman" w:eastAsia="Times New Roman" w:hAnsi="Times New Roman"/>
          <w:sz w:val="22"/>
          <w:szCs w:val="22"/>
          <w:color w:val="auto"/>
        </w:rPr>
      </w:pPr>
    </w:p>
    <w:p>
      <w:pPr>
        <w:jc w:val="both"/>
        <w:ind w:firstLine="1056"/>
        <w:spacing w:after="0" w:line="244" w:lineRule="auto"/>
        <w:tabs>
          <w:tab w:leader="none" w:pos="1527" w:val="left"/>
        </w:tabs>
        <w:numPr>
          <w:ilvl w:val="2"/>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minimum number of shares with respect to which this Stock Option may be exercised at any one time shall be 100 shares, unless the number of shares with respect to which this Stock Option is being exercised is the total number of shares subject to exercise under this Stock Option at the time.</w:t>
      </w:r>
    </w:p>
    <w:p>
      <w:pPr>
        <w:spacing w:after="0" w:line="65" w:lineRule="exact"/>
        <w:rPr>
          <w:rFonts w:ascii="Times New Roman" w:cs="Times New Roman" w:eastAsia="Times New Roman" w:hAnsi="Times New Roman"/>
          <w:sz w:val="22"/>
          <w:szCs w:val="22"/>
          <w:color w:val="auto"/>
        </w:rPr>
      </w:pPr>
    </w:p>
    <w:p>
      <w:pPr>
        <w:ind w:firstLine="1056"/>
        <w:spacing w:after="0" w:line="258" w:lineRule="auto"/>
        <w:tabs>
          <w:tab w:leader="none" w:pos="1527" w:val="left"/>
        </w:tabs>
        <w:numPr>
          <w:ilvl w:val="2"/>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 other provision hereof or of the Plan, no portion of this Stock Option shall be exercisable after the Expiration Date hereof.</w:t>
      </w:r>
    </w:p>
    <w:p>
      <w:pPr>
        <w:spacing w:after="0" w:line="185" w:lineRule="exact"/>
        <w:rPr>
          <w:rFonts w:ascii="Times New Roman" w:cs="Times New Roman" w:eastAsia="Times New Roman" w:hAnsi="Times New Roman"/>
          <w:sz w:val="22"/>
          <w:szCs w:val="22"/>
          <w:color w:val="auto"/>
        </w:rPr>
      </w:pPr>
    </w:p>
    <w:p>
      <w:pPr>
        <w:ind w:right="500" w:firstLine="757"/>
        <w:spacing w:after="0" w:line="258" w:lineRule="auto"/>
        <w:tabs>
          <w:tab w:leader="none" w:pos="1181" w:val="left"/>
        </w:tabs>
        <w:numPr>
          <w:ilvl w:val="1"/>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 of Employment</w:t>
      </w:r>
      <w:r>
        <w:rPr>
          <w:rFonts w:ascii="Times New Roman" w:cs="Times New Roman" w:eastAsia="Times New Roman" w:hAnsi="Times New Roman"/>
          <w:sz w:val="22"/>
          <w:szCs w:val="22"/>
          <w:color w:val="auto"/>
        </w:rPr>
        <w:t>. If the Optionee’s employment by the Company or a Subsidiary is terminated, the period within which to exercise the Stock Option may be subject to earlier termination as set forth below.</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23</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ACTIVE/72134752.4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5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27" w:name="page128"/>
    <w:bookmarkEnd w:id="127"/>
    <w:p>
      <w:pPr>
        <w:spacing w:after="0" w:line="77" w:lineRule="exact"/>
        <w:rPr>
          <w:sz w:val="20"/>
          <w:szCs w:val="20"/>
          <w:color w:val="auto"/>
        </w:rPr>
      </w:pPr>
    </w:p>
    <w:p>
      <w:pPr>
        <w:jc w:val="both"/>
        <w:ind w:firstLine="1056"/>
        <w:spacing w:after="0" w:line="239" w:lineRule="auto"/>
        <w:tabs>
          <w:tab w:leader="none" w:pos="1527" w:val="left"/>
        </w:tabs>
        <w:numPr>
          <w:ilvl w:val="0"/>
          <w:numId w:val="77"/>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Termination Due to Death</w:t>
      </w:r>
      <w:r>
        <w:rPr>
          <w:rFonts w:ascii="Times New Roman" w:cs="Times New Roman" w:eastAsia="Times New Roman" w:hAnsi="Times New Roman"/>
          <w:sz w:val="22"/>
          <w:szCs w:val="22"/>
          <w:color w:val="auto"/>
        </w:rPr>
        <w:t>. If the Optionee’s employment terminates by reason of the Optionee’s death, any portion of this Stock Option outstanding on such date, to the extent exercisable on the date of death, may thereafter be exercised by the Optionee’s legal representative or legatee for a period of 12 months from the date of death or until the Expiration Date, if earlier.</w:t>
      </w:r>
    </w:p>
    <w:p>
      <w:pPr>
        <w:spacing w:after="0" w:line="72" w:lineRule="exact"/>
        <w:rPr>
          <w:rFonts w:ascii="Times New Roman" w:cs="Times New Roman" w:eastAsia="Times New Roman" w:hAnsi="Times New Roman"/>
          <w:sz w:val="22"/>
          <w:szCs w:val="22"/>
          <w:u w:val="single" w:color="auto"/>
          <w:color w:val="auto"/>
        </w:rPr>
      </w:pPr>
    </w:p>
    <w:p>
      <w:pPr>
        <w:jc w:val="both"/>
        <w:ind w:firstLine="1056"/>
        <w:spacing w:after="0" w:line="238" w:lineRule="auto"/>
        <w:tabs>
          <w:tab w:leader="none" w:pos="1527" w:val="left"/>
        </w:tabs>
        <w:numPr>
          <w:ilvl w:val="0"/>
          <w:numId w:val="77"/>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Termination Due to Disability</w:t>
      </w:r>
      <w:r>
        <w:rPr>
          <w:rFonts w:ascii="Times New Roman" w:cs="Times New Roman" w:eastAsia="Times New Roman" w:hAnsi="Times New Roman"/>
          <w:sz w:val="22"/>
          <w:szCs w:val="22"/>
          <w:color w:val="auto"/>
        </w:rPr>
        <w:t>. If the Optionee’s employment terminates by reason of the Optionee’s disability (as determined by the Administrator), any portion of this Stock Option outstanding on such date, to the extent vested and exercisable on the date of such disability, may thereafter be exercised by the Optionee for a period of 12 months from the date of disability or until the Expiration Date, if earlier. Any portion of this Stock Option that is not vested and exercisable on the date of disability shall terminate immediately and be of no further force or effect.</w:t>
      </w:r>
    </w:p>
    <w:p>
      <w:pPr>
        <w:spacing w:after="0" w:line="68" w:lineRule="exact"/>
        <w:rPr>
          <w:rFonts w:ascii="Times New Roman" w:cs="Times New Roman" w:eastAsia="Times New Roman" w:hAnsi="Times New Roman"/>
          <w:sz w:val="22"/>
          <w:szCs w:val="22"/>
          <w:u w:val="single" w:color="auto"/>
          <w:color w:val="auto"/>
        </w:rPr>
      </w:pPr>
    </w:p>
    <w:p>
      <w:pPr>
        <w:jc w:val="both"/>
        <w:ind w:firstLine="1056"/>
        <w:spacing w:after="0" w:line="235" w:lineRule="auto"/>
        <w:tabs>
          <w:tab w:leader="none" w:pos="1527" w:val="left"/>
        </w:tabs>
        <w:numPr>
          <w:ilvl w:val="0"/>
          <w:numId w:val="77"/>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Termination for Cause</w:t>
      </w:r>
      <w:r>
        <w:rPr>
          <w:rFonts w:ascii="Times New Roman" w:cs="Times New Roman" w:eastAsia="Times New Roman" w:hAnsi="Times New Roman"/>
          <w:sz w:val="22"/>
          <w:szCs w:val="22"/>
          <w:color w:val="auto"/>
        </w:rPr>
        <w:t>. If the Optionee’s employment terminates for Cause, any portion of this Stock Option outstanding on such date shall terminate immediately and be of no further force and effect. For purposes hereof, “Cause” shall mean a determination by the Administrator that the Optionee shall be dismissed as a result of (i) any material breach by the Optionee of any agreement between the Optionee and the Company or a Subsidiary; (ii) the conviction of, indictment for or plea of nolo contendere by the Optionee to a felony (or crime of similar magnitude under non-U.S. laws, as determined by the Administrator) or a crime involving moral turpitude; or (iii) any material misconduct or willful and deliberate non-performance (other than by reason of disability) by the Optionee of the Optionee’s duties to the Company or a Subsidiary.</w:t>
      </w:r>
    </w:p>
    <w:p>
      <w:pPr>
        <w:spacing w:after="0" w:line="75" w:lineRule="exact"/>
        <w:rPr>
          <w:rFonts w:ascii="Times New Roman" w:cs="Times New Roman" w:eastAsia="Times New Roman" w:hAnsi="Times New Roman"/>
          <w:sz w:val="22"/>
          <w:szCs w:val="22"/>
          <w:u w:val="single" w:color="auto"/>
          <w:color w:val="auto"/>
        </w:rPr>
      </w:pPr>
    </w:p>
    <w:p>
      <w:pPr>
        <w:jc w:val="both"/>
        <w:ind w:firstLine="1056"/>
        <w:spacing w:after="0" w:line="236" w:lineRule="auto"/>
        <w:tabs>
          <w:tab w:leader="none" w:pos="1527" w:val="left"/>
        </w:tabs>
        <w:numPr>
          <w:ilvl w:val="0"/>
          <w:numId w:val="77"/>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Other Termination</w:t>
      </w:r>
      <w:r>
        <w:rPr>
          <w:rFonts w:ascii="Times New Roman" w:cs="Times New Roman" w:eastAsia="Times New Roman" w:hAnsi="Times New Roman"/>
          <w:sz w:val="22"/>
          <w:szCs w:val="22"/>
          <w:color w:val="auto"/>
        </w:rPr>
        <w:t>. If the Optionee’s employment terminates for any reason other than the Optionee’s death, the Optionee’s disability, or Cause, and unless otherwise determined by the Administrator, any portion of this Stock Option outstanding on such date may be exercised, to the extent vested and exercisable on the date of termination (after giving effect to any accelerated vesting in Section 1 above), for a period of three months from the date of termination or until the Expiration Date, if earlier. Any portion of this Stock Option that is not vested and exercisable on the date of termination shall terminate immediately and be of no further force or effect.</w:t>
      </w:r>
    </w:p>
    <w:p>
      <w:pPr>
        <w:spacing w:after="0" w:line="208"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22"/>
          <w:szCs w:val="22"/>
          <w:color w:val="auto"/>
        </w:rPr>
        <w:t>The Administrator’s determination of the reason for termination and the date of termination of the Optionee’s employment shall be conclusive and binding on the Optionee and his or her representatives or legatees.</w:t>
      </w:r>
    </w:p>
    <w:p>
      <w:pPr>
        <w:spacing w:after="0" w:line="158" w:lineRule="exact"/>
        <w:rPr>
          <w:sz w:val="20"/>
          <w:szCs w:val="20"/>
          <w:color w:val="auto"/>
        </w:rPr>
      </w:pPr>
    </w:p>
    <w:p>
      <w:pPr>
        <w:jc w:val="both"/>
        <w:ind w:right="300" w:firstLine="757"/>
        <w:spacing w:after="0" w:line="239" w:lineRule="auto"/>
        <w:tabs>
          <w:tab w:leader="none" w:pos="1181"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Incorporation of Plan</w:t>
      </w:r>
      <w:r>
        <w:rPr>
          <w:rFonts w:ascii="Times New Roman" w:cs="Times New Roman" w:eastAsia="Times New Roman" w:hAnsi="Times New Roman"/>
          <w:sz w:val="22"/>
          <w:szCs w:val="22"/>
          <w:color w:val="auto"/>
        </w:rPr>
        <w:t>. Notwithstanding anything herein to the contrary, this Stock Option shall be subject to and governed by all the terms and conditions of the Plan, including the powers of the Administrator set forth in Section 2(b) of the Plan. Capitalized terms in this Agreement shall have the meaning specified in the Plan, unless a different meaning is specified herein.</w:t>
      </w:r>
    </w:p>
    <w:p>
      <w:pPr>
        <w:spacing w:after="0" w:line="180" w:lineRule="exact"/>
        <w:rPr>
          <w:rFonts w:ascii="Times New Roman" w:cs="Times New Roman" w:eastAsia="Times New Roman" w:hAnsi="Times New Roman"/>
          <w:sz w:val="22"/>
          <w:szCs w:val="22"/>
          <w:color w:val="auto"/>
        </w:rPr>
      </w:pPr>
    </w:p>
    <w:p>
      <w:pPr>
        <w:jc w:val="both"/>
        <w:ind w:right="300" w:firstLine="757"/>
        <w:spacing w:after="0" w:line="239" w:lineRule="auto"/>
        <w:tabs>
          <w:tab w:leader="none" w:pos="1181"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Transferability</w:t>
      </w:r>
      <w:r>
        <w:rPr>
          <w:rFonts w:ascii="Times New Roman" w:cs="Times New Roman" w:eastAsia="Times New Roman" w:hAnsi="Times New Roman"/>
          <w:sz w:val="22"/>
          <w:szCs w:val="22"/>
          <w:color w:val="auto"/>
        </w:rPr>
        <w:t>. This Agreement is personal to the Optionee, is non-assignable and is not transferable in any manner, by operation of law or otherwise, other than by will or the laws of descent and distribution. This Stock Option is exercisable, during the Optionee’s lifetime, only by the Optionee, and thereafter, only by the Optionee’s legal representative or legatee.</w:t>
      </w:r>
    </w:p>
    <w:p>
      <w:pPr>
        <w:spacing w:after="0" w:line="180" w:lineRule="exact"/>
        <w:rPr>
          <w:rFonts w:ascii="Times New Roman" w:cs="Times New Roman" w:eastAsia="Times New Roman" w:hAnsi="Times New Roman"/>
          <w:sz w:val="22"/>
          <w:szCs w:val="22"/>
          <w:color w:val="auto"/>
        </w:rPr>
      </w:pPr>
    </w:p>
    <w:p>
      <w:pPr>
        <w:ind w:firstLine="757"/>
        <w:spacing w:after="0" w:line="258" w:lineRule="auto"/>
        <w:tabs>
          <w:tab w:leader="none" w:pos="1194"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Status of the Stock Option</w:t>
      </w:r>
      <w:r>
        <w:rPr>
          <w:rFonts w:ascii="Times New Roman" w:cs="Times New Roman" w:eastAsia="Times New Roman" w:hAnsi="Times New Roman"/>
          <w:sz w:val="22"/>
          <w:szCs w:val="22"/>
          <w:color w:val="auto"/>
        </w:rPr>
        <w:t>. This Stock Option is intended to qualify as an “incentive stock option” under Section 422 of the Internal Revenue Code of 1986, as amended (the</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24</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ACTIVE/72134752.4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5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8" w:name="page129"/>
    <w:bookmarkEnd w:id="128"/>
    <w:p>
      <w:pPr>
        <w:jc w:val="both"/>
        <w:spacing w:after="0" w:line="235" w:lineRule="auto"/>
        <w:rPr>
          <w:sz w:val="20"/>
          <w:szCs w:val="20"/>
          <w:color w:val="auto"/>
        </w:rPr>
      </w:pPr>
      <w:r>
        <w:rPr>
          <w:rFonts w:ascii="Times New Roman" w:cs="Times New Roman" w:eastAsia="Times New Roman" w:hAnsi="Times New Roman"/>
          <w:sz w:val="22"/>
          <w:szCs w:val="22"/>
          <w:color w:val="auto"/>
        </w:rPr>
        <w:t>“Code”), but the Company does not represent or warrant that this Stock Option qualifies as such. The Optionee should consult with his or her own tax advisors regarding the tax effects of this Stock Option and the requirements necessary to obtain favorable income tax treatment under Section 422 of the Code, including, but not limited to, holding period requirements. To the extent any portion of this Stock Option does not so qualify as an “incentive stock option,” such portion shall be deemed to be a non-qualified stock option. If the Optionee intends to dispose or does dispose (whether by sale, gift, transfer or otherwise) of any Option Shares within the one-year period beginning on the date after the transfer of such shares to him or her, or within the two-year period beginning on the day after the grant of this Stock Option, he or she will so notify the Company within 30 days after such disposition.</w:t>
      </w:r>
    </w:p>
    <w:p>
      <w:pPr>
        <w:spacing w:after="0" w:line="178" w:lineRule="exact"/>
        <w:rPr>
          <w:sz w:val="20"/>
          <w:szCs w:val="20"/>
          <w:color w:val="auto"/>
        </w:rPr>
      </w:pPr>
    </w:p>
    <w:p>
      <w:pPr>
        <w:ind w:left="1180" w:hanging="423"/>
        <w:spacing w:after="0"/>
        <w:tabs>
          <w:tab w:leader="none" w:pos="1180"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Responsibility for Taxes</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jc w:val="both"/>
        <w:ind w:firstLine="1505"/>
        <w:spacing w:after="0" w:line="247" w:lineRule="exact"/>
        <w:tabs>
          <w:tab w:leader="none" w:pos="2036" w:val="left"/>
        </w:tabs>
        <w:numPr>
          <w:ilvl w:val="1"/>
          <w:numId w:val="7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Optionee acknowledges that, regardless of any action taken by the Company or, if different, the Subsidiary employing the Optionee (the “Employer”), the ultimate liability for all income tax, social insurance, payroll tax, fringe benefits tax, payment on account or other tax</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related items related to the Optionee’s participation in the Plan and legally applicable to the Optionee or deemed by the Company or the Employer in its discretion to be an appropriate charge to the Optionee even if legally applicable to the Company or the Employer (“Tax-Related Items”) is and remains the Optionee’s responsibility and may exceed the amount, if any, actually withheld by the Company or the Employer. The Optionee further acknowledges that the Company and/or the Employer (i) make no representations or undertakings regarding the treatment of any Tax-Related Items in connection with any aspect of this Stock Option, including, but not limited to, the grant, vesting or exercise of this Stock Option, the subsequent sale of shares of Stock acquired pursuant to such exercise and the receipt of any dividends; and (ii) do not commit to and are under no obligation to structure the terms of the grant or any aspect of this Stock Option to reduce or eliminate the Optionee’s liability for Tax-Related Items or achieve any particular tax result. Further, if the Optionee is subject to Tax-Related Items in more than one jurisdiction, the Optionee acknowledges that the Company and/or the Employer (or former employer, as applicable) may be required to withhold or account for Tax-Related Items in more than one jurisdiction.</w:t>
      </w:r>
    </w:p>
    <w:p>
      <w:pPr>
        <w:spacing w:after="0" w:line="183" w:lineRule="exact"/>
        <w:rPr>
          <w:rFonts w:ascii="Times New Roman" w:cs="Times New Roman" w:eastAsia="Times New Roman" w:hAnsi="Times New Roman"/>
          <w:sz w:val="21"/>
          <w:szCs w:val="21"/>
          <w:color w:val="auto"/>
        </w:rPr>
      </w:pPr>
    </w:p>
    <w:p>
      <w:pPr>
        <w:jc w:val="both"/>
        <w:ind w:firstLine="1505"/>
        <w:spacing w:after="0" w:line="233" w:lineRule="auto"/>
        <w:tabs>
          <w:tab w:leader="none" w:pos="2036" w:val="left"/>
        </w:tabs>
        <w:numPr>
          <w:ilvl w:val="1"/>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connection with any relevant taxable or tax withholding event, as applicable, the Optionee agrees to make adequate arrangements satisfactory to the Company and/or the Employer to satisfy all Tax-Related Items. In this regard, the Optionee authorizes the Company and/or the Employer, or their respective agents, at their discretion, to satisfy any applicable withholding obligations with regard to all Tax-Related Items by one or a combination of the following: (i) withholding from the Optionee’s wages or other cash compensation payable to the Optionee by the Company and/or the Employer; (ii) allowing or requiring the Optionee to make a cash payment to cover the Tax-Related Items; (iii) withholding from proceeds of the sale of shares of Stock acquired upon exercise of this Stock Option either through a voluntary sale or through a mandatory sale arranged by the Company (on the Optionee’s behalf pursuant to this authorization without further consent); (iv) withholding from the shares of Stock to be issued to the Optionee upon exercise of this Stock Option; or (v) any other method of withholding determined by the Company and permitted by applicable law; provided, however, that that if the Optionee is a Section 16 officer of the Company under the Exchange Act, in which case, the obligation for Tax-Related Items may be satisfied only by one or a combination of methods (i), (ii) and (iii) above.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25</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ACTIVE/72134752.4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5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29" w:name="page130"/>
    <w:bookmarkEnd w:id="129"/>
    <w:p>
      <w:pPr>
        <w:jc w:val="both"/>
        <w:ind w:firstLine="1505"/>
        <w:spacing w:after="0" w:line="234" w:lineRule="auto"/>
        <w:tabs>
          <w:tab w:leader="none" w:pos="2036" w:val="left"/>
        </w:tabs>
        <w:numPr>
          <w:ilvl w:val="1"/>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and/or the Employer may withhold or account for Tax-Related Items by considering statutory or other withholding rates, including maximum rates applicable in the Optionee’s jurisdiction. In the event of over-withholding the Optionee may receive a refund of any over-withheld amount in cash through the Employer's normal payroll processes (with no entitlement to the equivalent in Stock) or, if not refunded, the Optionee may seek a refund from the local tax authorities. In the event of under-withholding, the Optionee may be required to pay additional Tax-Related Items directly to the applicable tax authority or to the Company and/or the Employer. If the obligation for Tax-Related Items is satisfied by withholding in shares of Stock, for tax purposes, the Optionee is deemed to have been issued the full number of shares of Stock subject to the exercised Stock Option, notwithstanding that a number of the shares of Stock is held back solely for the purpose of paying the Tax-Related Items.</w:t>
      </w:r>
    </w:p>
    <w:p>
      <w:pPr>
        <w:spacing w:after="0" w:line="183" w:lineRule="exact"/>
        <w:rPr>
          <w:rFonts w:ascii="Times New Roman" w:cs="Times New Roman" w:eastAsia="Times New Roman" w:hAnsi="Times New Roman"/>
          <w:sz w:val="22"/>
          <w:szCs w:val="22"/>
          <w:color w:val="auto"/>
        </w:rPr>
      </w:pPr>
    </w:p>
    <w:p>
      <w:pPr>
        <w:jc w:val="both"/>
        <w:ind w:firstLine="1505"/>
        <w:spacing w:after="0" w:line="238" w:lineRule="auto"/>
        <w:tabs>
          <w:tab w:leader="none" w:pos="2036" w:val="left"/>
        </w:tabs>
        <w:numPr>
          <w:ilvl w:val="1"/>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Optionee agrees to pay to the Company or the Employer any amount of Tax-Related Items that the Company or the Employer may be required to withhold or account for as a result of the Optionee’s participation in the Plan that cannot be satisfied by the means previously described. The Company may refuse to issue or deliver the shares of Stock, or the proceeds of the sale of shares of Stock, if the Optionee fails to comply with his or her obligations in connection with the Tax-Related Items.</w:t>
      </w:r>
    </w:p>
    <w:p>
      <w:pPr>
        <w:spacing w:after="0" w:line="176" w:lineRule="exact"/>
        <w:rPr>
          <w:rFonts w:ascii="Times New Roman" w:cs="Times New Roman" w:eastAsia="Times New Roman" w:hAnsi="Times New Roman"/>
          <w:sz w:val="22"/>
          <w:szCs w:val="22"/>
          <w:color w:val="auto"/>
        </w:rPr>
      </w:pPr>
    </w:p>
    <w:p>
      <w:pPr>
        <w:jc w:val="both"/>
        <w:ind w:firstLine="757"/>
        <w:spacing w:after="0" w:line="239" w:lineRule="auto"/>
        <w:tabs>
          <w:tab w:leader="none" w:pos="1221"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Obligation to Continue Employment</w:t>
      </w:r>
      <w:r>
        <w:rPr>
          <w:rFonts w:ascii="Times New Roman" w:cs="Times New Roman" w:eastAsia="Times New Roman" w:hAnsi="Times New Roman"/>
          <w:sz w:val="22"/>
          <w:szCs w:val="22"/>
          <w:color w:val="auto"/>
        </w:rPr>
        <w:t>. The grant of this Stock Option shall not be interpreted as forming or amending an employment contract with the Company or any Subsidiary (including the Employer), and shall not be construed as giving the Optionee the right to be retained in the employ of the Employer. Neither the Plan nor this Agreement shall interfere in any way with the right of the Employer to terminate the employment of the Optionee at any time.</w:t>
      </w:r>
    </w:p>
    <w:p>
      <w:pPr>
        <w:spacing w:after="0" w:line="180" w:lineRule="exact"/>
        <w:rPr>
          <w:rFonts w:ascii="Times New Roman" w:cs="Times New Roman" w:eastAsia="Times New Roman" w:hAnsi="Times New Roman"/>
          <w:sz w:val="22"/>
          <w:szCs w:val="22"/>
          <w:color w:val="auto"/>
        </w:rPr>
      </w:pPr>
    </w:p>
    <w:p>
      <w:pPr>
        <w:ind w:firstLine="757"/>
        <w:spacing w:after="0" w:line="258" w:lineRule="auto"/>
        <w:tabs>
          <w:tab w:leader="none" w:pos="1194"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Integration</w:t>
      </w:r>
      <w:r>
        <w:rPr>
          <w:rFonts w:ascii="Times New Roman" w:cs="Times New Roman" w:eastAsia="Times New Roman" w:hAnsi="Times New Roman"/>
          <w:sz w:val="22"/>
          <w:szCs w:val="22"/>
          <w:color w:val="auto"/>
        </w:rPr>
        <w:t>. This Agreement constitutes the entire agreement between the parties with respect to this Stock Option and supersedes all prior agreements and discussions between the parties concerning such subject matter.</w:t>
      </w:r>
    </w:p>
    <w:p>
      <w:pPr>
        <w:spacing w:after="0" w:line="158" w:lineRule="exact"/>
        <w:rPr>
          <w:rFonts w:ascii="Times New Roman" w:cs="Times New Roman" w:eastAsia="Times New Roman" w:hAnsi="Times New Roman"/>
          <w:sz w:val="22"/>
          <w:szCs w:val="22"/>
          <w:color w:val="auto"/>
        </w:rPr>
      </w:pPr>
    </w:p>
    <w:p>
      <w:pPr>
        <w:ind w:left="1180" w:hanging="423"/>
        <w:spacing w:after="0"/>
        <w:tabs>
          <w:tab w:leader="none" w:pos="1180"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Nature of Grant</w:t>
      </w:r>
      <w:r>
        <w:rPr>
          <w:rFonts w:ascii="Times New Roman" w:cs="Times New Roman" w:eastAsia="Times New Roman" w:hAnsi="Times New Roman"/>
          <w:sz w:val="22"/>
          <w:szCs w:val="22"/>
          <w:color w:val="auto"/>
        </w:rPr>
        <w:t>. By accepting this Stock Option, the Optionee acknowledges, understands and agrees that:</w:t>
      </w:r>
    </w:p>
    <w:p>
      <w:pPr>
        <w:spacing w:after="0" w:line="206" w:lineRule="exact"/>
        <w:rPr>
          <w:rFonts w:ascii="Times New Roman" w:cs="Times New Roman" w:eastAsia="Times New Roman" w:hAnsi="Times New Roman"/>
          <w:sz w:val="22"/>
          <w:szCs w:val="22"/>
          <w:color w:val="auto"/>
        </w:rPr>
      </w:pPr>
    </w:p>
    <w:p>
      <w:pPr>
        <w:ind w:firstLine="1505"/>
        <w:spacing w:after="0" w:line="258" w:lineRule="auto"/>
        <w:tabs>
          <w:tab w:leader="none" w:pos="2036" w:val="left"/>
        </w:tabs>
        <w:numPr>
          <w:ilvl w:val="1"/>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Plan is established voluntarily by the Company, it is discretionary in nature, and may be modified, amended, suspended or terminated by the Company at any time, to the extent permitted by the Plan;</w:t>
      </w:r>
    </w:p>
    <w:p>
      <w:pPr>
        <w:spacing w:after="0" w:line="158" w:lineRule="exact"/>
        <w:rPr>
          <w:rFonts w:ascii="Times New Roman" w:cs="Times New Roman" w:eastAsia="Times New Roman" w:hAnsi="Times New Roman"/>
          <w:sz w:val="22"/>
          <w:szCs w:val="22"/>
          <w:color w:val="auto"/>
        </w:rPr>
      </w:pPr>
    </w:p>
    <w:p>
      <w:pPr>
        <w:jc w:val="both"/>
        <w:ind w:firstLine="1505"/>
        <w:spacing w:after="0" w:line="244" w:lineRule="auto"/>
        <w:tabs>
          <w:tab w:leader="none" w:pos="2036" w:val="left"/>
        </w:tabs>
        <w:numPr>
          <w:ilvl w:val="1"/>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grant of this Stock Option is exceptional, voluntary and occasional and does not create any contractual or other right to receive future grants of stock options, or benefits in lieu of stock options, even if stock options have been granted in the past;</w:t>
      </w:r>
    </w:p>
    <w:p>
      <w:pPr>
        <w:spacing w:after="0" w:line="173" w:lineRule="exact"/>
        <w:rPr>
          <w:rFonts w:ascii="Times New Roman" w:cs="Times New Roman" w:eastAsia="Times New Roman" w:hAnsi="Times New Roman"/>
          <w:sz w:val="22"/>
          <w:szCs w:val="22"/>
          <w:color w:val="auto"/>
        </w:rPr>
      </w:pPr>
    </w:p>
    <w:p>
      <w:pPr>
        <w:ind w:left="2040" w:hanging="535"/>
        <w:spacing w:after="0"/>
        <w:tabs>
          <w:tab w:leader="none" w:pos="2040" w:val="left"/>
        </w:tabs>
        <w:numPr>
          <w:ilvl w:val="1"/>
          <w:numId w:val="8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all decisions with respect to future stock option or other grants, if any, will be at the sole discretion of the</w:t>
      </w:r>
    </w:p>
    <w:p>
      <w:pPr>
        <w:spacing w:after="0" w:line="25"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Company;</w:t>
      </w:r>
    </w:p>
    <w:p>
      <w:pPr>
        <w:spacing w:after="0" w:line="182" w:lineRule="exact"/>
        <w:rPr>
          <w:rFonts w:ascii="Times New Roman" w:cs="Times New Roman" w:eastAsia="Times New Roman" w:hAnsi="Times New Roman"/>
          <w:sz w:val="21"/>
          <w:szCs w:val="21"/>
          <w:color w:val="auto"/>
        </w:rPr>
      </w:pPr>
    </w:p>
    <w:p>
      <w:pPr>
        <w:ind w:left="2040" w:hanging="535"/>
        <w:spacing w:after="0"/>
        <w:tabs>
          <w:tab w:leader="none" w:pos="2040" w:val="left"/>
        </w:tabs>
        <w:numPr>
          <w:ilvl w:val="1"/>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Optionee is voluntarily participating in the Plan;</w:t>
      </w:r>
    </w:p>
    <w:p>
      <w:pPr>
        <w:spacing w:after="0" w:line="206" w:lineRule="exact"/>
        <w:rPr>
          <w:rFonts w:ascii="Times New Roman" w:cs="Times New Roman" w:eastAsia="Times New Roman" w:hAnsi="Times New Roman"/>
          <w:sz w:val="22"/>
          <w:szCs w:val="22"/>
          <w:color w:val="auto"/>
        </w:rPr>
      </w:pPr>
    </w:p>
    <w:p>
      <w:pPr>
        <w:ind w:firstLine="1505"/>
        <w:spacing w:after="0" w:line="258" w:lineRule="auto"/>
        <w:tabs>
          <w:tab w:leader="none" w:pos="2036" w:val="left"/>
        </w:tabs>
        <w:numPr>
          <w:ilvl w:val="1"/>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Stock Option and the Option Shares subject to this Stock Option, and the income from and value of same, are not intended to replace any pension rights or compensation;</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26</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ACTIVE/72134752.4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5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30" w:name="page131"/>
    <w:bookmarkEnd w:id="130"/>
    <w:p>
      <w:pPr>
        <w:jc w:val="both"/>
        <w:ind w:firstLine="1505"/>
        <w:spacing w:after="0" w:line="244" w:lineRule="auto"/>
        <w:tabs>
          <w:tab w:leader="none" w:pos="2036" w:val="left"/>
        </w:tabs>
        <w:numPr>
          <w:ilvl w:val="1"/>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unless otherwise agreed with the Company, this Stock Option and the Option Shares subject to this Stock Option, and the income from and value of same, are not granted as consideration for, or in connection with, the service the Optionee may provide as a director of a Subsidiary or Affiliate;</w:t>
      </w:r>
    </w:p>
    <w:p>
      <w:pPr>
        <w:spacing w:after="0" w:line="173" w:lineRule="exact"/>
        <w:rPr>
          <w:rFonts w:ascii="Times New Roman" w:cs="Times New Roman" w:eastAsia="Times New Roman" w:hAnsi="Times New Roman"/>
          <w:sz w:val="22"/>
          <w:szCs w:val="22"/>
          <w:color w:val="auto"/>
        </w:rPr>
      </w:pPr>
    </w:p>
    <w:p>
      <w:pPr>
        <w:jc w:val="both"/>
        <w:ind w:firstLine="1505"/>
        <w:spacing w:after="0" w:line="239" w:lineRule="auto"/>
        <w:tabs>
          <w:tab w:leader="none" w:pos="2036" w:val="left"/>
        </w:tabs>
        <w:numPr>
          <w:ilvl w:val="1"/>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Stock Option and the Option Shares subject to this Stock Option, and the income from and value of same, are not part of normal or expected compensation for purposes of, including, without limitation, calculating any severance, resignation, termination, redundancy, dismissal, end-of-service payments, bonuses, holiday-pay, long-service awards, pension or retirement or welfare benefits or similar payments;</w:t>
      </w:r>
    </w:p>
    <w:p>
      <w:pPr>
        <w:spacing w:after="0" w:line="180" w:lineRule="exact"/>
        <w:rPr>
          <w:rFonts w:ascii="Times New Roman" w:cs="Times New Roman" w:eastAsia="Times New Roman" w:hAnsi="Times New Roman"/>
          <w:sz w:val="22"/>
          <w:szCs w:val="22"/>
          <w:color w:val="auto"/>
        </w:rPr>
      </w:pPr>
    </w:p>
    <w:p>
      <w:pPr>
        <w:ind w:firstLine="1505"/>
        <w:spacing w:after="0" w:line="258" w:lineRule="auto"/>
        <w:tabs>
          <w:tab w:leader="none" w:pos="2036" w:val="left"/>
        </w:tabs>
        <w:numPr>
          <w:ilvl w:val="1"/>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future value of the Option Shares subject to this Stock Option is unknown, indeterminable, and cannot be predicted with certainty;</w:t>
      </w:r>
    </w:p>
    <w:p>
      <w:pPr>
        <w:spacing w:after="0" w:line="158" w:lineRule="exact"/>
        <w:rPr>
          <w:rFonts w:ascii="Times New Roman" w:cs="Times New Roman" w:eastAsia="Times New Roman" w:hAnsi="Times New Roman"/>
          <w:sz w:val="22"/>
          <w:szCs w:val="22"/>
          <w:color w:val="auto"/>
        </w:rPr>
      </w:pPr>
    </w:p>
    <w:p>
      <w:pPr>
        <w:ind w:left="2040" w:hanging="535"/>
        <w:spacing w:after="0"/>
        <w:tabs>
          <w:tab w:leader="none" w:pos="2040" w:val="left"/>
        </w:tabs>
        <w:numPr>
          <w:ilvl w:val="1"/>
          <w:numId w:val="8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the Option Shares subject to this Stock Option do not increase in value, this Stock Option will have no</w:t>
      </w:r>
    </w:p>
    <w:p>
      <w:pPr>
        <w:spacing w:after="0" w:line="25"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value;</w:t>
      </w:r>
    </w:p>
    <w:p>
      <w:pPr>
        <w:spacing w:after="0" w:line="182" w:lineRule="exact"/>
        <w:rPr>
          <w:rFonts w:ascii="Times New Roman" w:cs="Times New Roman" w:eastAsia="Times New Roman" w:hAnsi="Times New Roman"/>
          <w:sz w:val="21"/>
          <w:szCs w:val="21"/>
          <w:color w:val="auto"/>
        </w:rPr>
      </w:pPr>
    </w:p>
    <w:p>
      <w:pPr>
        <w:ind w:firstLine="1505"/>
        <w:spacing w:after="0" w:line="258" w:lineRule="auto"/>
        <w:tabs>
          <w:tab w:leader="none" w:pos="2036" w:val="left"/>
        </w:tabs>
        <w:numPr>
          <w:ilvl w:val="1"/>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Optionee exercises this Stock Option and acquires shares of Stock, the value of such shares may increase or decrease in value, even below the Option Exercise Price;</w:t>
      </w:r>
    </w:p>
    <w:p>
      <w:pPr>
        <w:spacing w:after="0" w:line="158" w:lineRule="exact"/>
        <w:rPr>
          <w:rFonts w:ascii="Times New Roman" w:cs="Times New Roman" w:eastAsia="Times New Roman" w:hAnsi="Times New Roman"/>
          <w:sz w:val="22"/>
          <w:szCs w:val="22"/>
          <w:color w:val="auto"/>
        </w:rPr>
      </w:pPr>
    </w:p>
    <w:p>
      <w:pPr>
        <w:jc w:val="both"/>
        <w:ind w:firstLine="1505"/>
        <w:spacing w:after="0" w:line="239" w:lineRule="auto"/>
        <w:tabs>
          <w:tab w:leader="none" w:pos="2036" w:val="left"/>
        </w:tabs>
        <w:numPr>
          <w:ilvl w:val="1"/>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claim or entitlement to compensation or damages shall arise from forfeiture of this Stock Option resulting from the termination of the Optionee’s employment (for any reason whatsoever, whether or not later found to be invalid or in breach of applicable employment or other laws in the jurisdiction where the Optionee is employed or the terms of the Optionee’s employment agreement, if any);</w:t>
      </w:r>
    </w:p>
    <w:p>
      <w:pPr>
        <w:spacing w:after="0" w:line="180" w:lineRule="exact"/>
        <w:rPr>
          <w:rFonts w:ascii="Times New Roman" w:cs="Times New Roman" w:eastAsia="Times New Roman" w:hAnsi="Times New Roman"/>
          <w:sz w:val="22"/>
          <w:szCs w:val="22"/>
          <w:color w:val="auto"/>
        </w:rPr>
      </w:pPr>
    </w:p>
    <w:p>
      <w:pPr>
        <w:jc w:val="both"/>
        <w:ind w:firstLine="1505"/>
        <w:spacing w:after="0" w:line="239" w:lineRule="auto"/>
        <w:tabs>
          <w:tab w:leader="none" w:pos="2036" w:val="left"/>
        </w:tabs>
        <w:numPr>
          <w:ilvl w:val="1"/>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unless otherwise provided in the Plan or by the Company in its discretion, this Stock Option and the benefits evidenced by this Agreement do not create any entitlement to have this Stock Option or any such benefits transferred to, or assumed by, another company nor to be exchanged, cashed out or substituted for, in connection with any corporate transaction affecting the shares of Stock; and</w:t>
      </w:r>
    </w:p>
    <w:p>
      <w:pPr>
        <w:spacing w:after="0" w:line="180" w:lineRule="exact"/>
        <w:rPr>
          <w:rFonts w:ascii="Times New Roman" w:cs="Times New Roman" w:eastAsia="Times New Roman" w:hAnsi="Times New Roman"/>
          <w:sz w:val="22"/>
          <w:szCs w:val="22"/>
          <w:color w:val="auto"/>
        </w:rPr>
      </w:pPr>
    </w:p>
    <w:p>
      <w:pPr>
        <w:ind w:left="2040" w:hanging="535"/>
        <w:spacing w:after="0"/>
        <w:tabs>
          <w:tab w:leader="none" w:pos="2040" w:val="left"/>
        </w:tabs>
        <w:numPr>
          <w:ilvl w:val="1"/>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Optionee resides and/or works in a country outside the United States, the following shall apply:</w:t>
      </w:r>
    </w:p>
    <w:p>
      <w:pPr>
        <w:spacing w:after="0" w:line="206" w:lineRule="exact"/>
        <w:rPr>
          <w:rFonts w:ascii="Times New Roman" w:cs="Times New Roman" w:eastAsia="Times New Roman" w:hAnsi="Times New Roman"/>
          <w:sz w:val="22"/>
          <w:szCs w:val="22"/>
          <w:color w:val="auto"/>
        </w:rPr>
      </w:pPr>
    </w:p>
    <w:p>
      <w:pPr>
        <w:ind w:left="760" w:firstLine="1494"/>
        <w:spacing w:after="0" w:line="258" w:lineRule="auto"/>
        <w:tabs>
          <w:tab w:leader="none" w:pos="2557" w:val="left"/>
        </w:tabs>
        <w:numPr>
          <w:ilvl w:val="2"/>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Stock Option and any Option Shares subject to this Stock Option, and the income from and value of same, are not part of normal or expected compensation for any purpose;</w:t>
      </w:r>
    </w:p>
    <w:p>
      <w:pPr>
        <w:spacing w:after="0" w:line="158" w:lineRule="exact"/>
        <w:rPr>
          <w:rFonts w:ascii="Times New Roman" w:cs="Times New Roman" w:eastAsia="Times New Roman" w:hAnsi="Times New Roman"/>
          <w:sz w:val="22"/>
          <w:szCs w:val="22"/>
          <w:color w:val="auto"/>
        </w:rPr>
      </w:pPr>
    </w:p>
    <w:p>
      <w:pPr>
        <w:jc w:val="both"/>
        <w:ind w:left="760" w:firstLine="1494"/>
        <w:spacing w:after="0" w:line="239" w:lineRule="auto"/>
        <w:tabs>
          <w:tab w:leader="none" w:pos="2557" w:val="left"/>
        </w:tabs>
        <w:numPr>
          <w:ilvl w:val="2"/>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neither the Company, the Employer nor any other Subsidiary shall be liable for any foreign exchange rate fluctuation between the Optionee’s local currency and the United States Dollar that may affect the value of this Stock Option or of any amounts due to the Optionee pursuant to the exercise of this Stock Option or the subsequent sale of any shares of Stock acquired upon exercise.</w:t>
      </w:r>
    </w:p>
    <w:p>
      <w:pPr>
        <w:spacing w:after="0" w:line="180" w:lineRule="exact"/>
        <w:rPr>
          <w:rFonts w:ascii="Times New Roman" w:cs="Times New Roman" w:eastAsia="Times New Roman" w:hAnsi="Times New Roman"/>
          <w:sz w:val="22"/>
          <w:szCs w:val="22"/>
          <w:color w:val="auto"/>
        </w:rPr>
      </w:pPr>
    </w:p>
    <w:p>
      <w:pPr>
        <w:jc w:val="both"/>
        <w:ind w:firstLine="757"/>
        <w:spacing w:after="0" w:line="244" w:lineRule="auto"/>
        <w:tabs>
          <w:tab w:leader="none" w:pos="1221"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Appendix</w:t>
      </w:r>
      <w:r>
        <w:rPr>
          <w:rFonts w:ascii="Times New Roman" w:cs="Times New Roman" w:eastAsia="Times New Roman" w:hAnsi="Times New Roman"/>
          <w:sz w:val="22"/>
          <w:szCs w:val="22"/>
          <w:color w:val="auto"/>
        </w:rPr>
        <w:t>. Notwithstanding any provision of this Global Incentive Stock Option Agreement, if the Optionee resides in a country outside the United States or is otherwise subject to the laws of a country other than the United States, this Stock Option shall be subject to the</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27</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ACTIVE/72134752.4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5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31" w:name="page132"/>
    <w:bookmarkEnd w:id="131"/>
    <w:p>
      <w:pPr>
        <w:jc w:val="both"/>
        <w:spacing w:after="0" w:line="239" w:lineRule="auto"/>
        <w:rPr>
          <w:sz w:val="20"/>
          <w:szCs w:val="20"/>
          <w:color w:val="auto"/>
        </w:rPr>
      </w:pPr>
      <w:r>
        <w:rPr>
          <w:rFonts w:ascii="Times New Roman" w:cs="Times New Roman" w:eastAsia="Times New Roman" w:hAnsi="Times New Roman"/>
          <w:sz w:val="22"/>
          <w:szCs w:val="22"/>
          <w:color w:val="auto"/>
        </w:rPr>
        <w:t>additional terms and conditions set forth in the Appendix for the Optionee’s country, if any. Moreover, if the Optionee relocates to one of the countries included in the Appendix during the term of the Stock Option, the terms and conditions for such country shall apply to the Optionee, to the extent the Company determines that the application of such terms and conditions is necessary or advisable for legal or administrative reasons. The Appendix forms part of this Agreement.</w:t>
      </w:r>
    </w:p>
    <w:p>
      <w:pPr>
        <w:spacing w:after="0" w:line="180" w:lineRule="exact"/>
        <w:rPr>
          <w:sz w:val="20"/>
          <w:szCs w:val="20"/>
          <w:color w:val="auto"/>
        </w:rPr>
      </w:pPr>
    </w:p>
    <w:p>
      <w:pPr>
        <w:jc w:val="both"/>
        <w:ind w:firstLine="757"/>
        <w:spacing w:after="0" w:line="238" w:lineRule="auto"/>
        <w:tabs>
          <w:tab w:leader="none" w:pos="1181"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Language</w:t>
      </w:r>
      <w:r>
        <w:rPr>
          <w:rFonts w:ascii="Times New Roman" w:cs="Times New Roman" w:eastAsia="Times New Roman" w:hAnsi="Times New Roman"/>
          <w:sz w:val="22"/>
          <w:szCs w:val="22"/>
          <w:color w:val="auto"/>
        </w:rPr>
        <w:t>. The Optionee acknowledges that he or she is proficient in the English language or has consulted with an advisor who is sufficiently proficient in English, so as to allow the Optionee to understand the terms and conditions of this Agreement. If the Optionee has received this Agreement, or any other documents related to this Stock Option and/or the Plan translated into a language other than English and if the meaning of the translated version is different than the English version, the English version will control.</w:t>
      </w:r>
    </w:p>
    <w:p>
      <w:pPr>
        <w:spacing w:after="0" w:line="176" w:lineRule="exact"/>
        <w:rPr>
          <w:rFonts w:ascii="Times New Roman" w:cs="Times New Roman" w:eastAsia="Times New Roman" w:hAnsi="Times New Roman"/>
          <w:sz w:val="22"/>
          <w:szCs w:val="22"/>
          <w:color w:val="auto"/>
        </w:rPr>
      </w:pPr>
    </w:p>
    <w:p>
      <w:pPr>
        <w:jc w:val="both"/>
        <w:ind w:firstLine="757"/>
        <w:spacing w:after="0" w:line="244" w:lineRule="auto"/>
        <w:tabs>
          <w:tab w:leader="none" w:pos="1181"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Notices</w:t>
      </w:r>
      <w:r>
        <w:rPr>
          <w:rFonts w:ascii="Times New Roman" w:cs="Times New Roman" w:eastAsia="Times New Roman" w:hAnsi="Times New Roman"/>
          <w:sz w:val="22"/>
          <w:szCs w:val="22"/>
          <w:color w:val="auto"/>
        </w:rPr>
        <w:t>. Notices hereunder shall be mailed or delivered to the Company at its principal place of business and shall be mailed or delivered to the Optionee at the address on file with the Company or, in either case, at such other address as one party may subsequently furnish to the other party in writing.</w:t>
      </w:r>
    </w:p>
    <w:p>
      <w:pPr>
        <w:spacing w:after="0" w:line="173" w:lineRule="exact"/>
        <w:rPr>
          <w:rFonts w:ascii="Times New Roman" w:cs="Times New Roman" w:eastAsia="Times New Roman" w:hAnsi="Times New Roman"/>
          <w:sz w:val="22"/>
          <w:szCs w:val="22"/>
          <w:color w:val="auto"/>
        </w:rPr>
      </w:pPr>
    </w:p>
    <w:p>
      <w:pPr>
        <w:jc w:val="both"/>
        <w:ind w:firstLine="757"/>
        <w:spacing w:after="0" w:line="244" w:lineRule="auto"/>
        <w:tabs>
          <w:tab w:leader="none" w:pos="1181"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Waivers</w:t>
      </w:r>
      <w:r>
        <w:rPr>
          <w:rFonts w:ascii="Times New Roman" w:cs="Times New Roman" w:eastAsia="Times New Roman" w:hAnsi="Times New Roman"/>
          <w:sz w:val="22"/>
          <w:szCs w:val="22"/>
          <w:color w:val="auto"/>
        </w:rPr>
        <w:t>. The Optionee acknowledges that a waiver by the Company of breach of any provision of this Agreement shall not operate or be construed as a waiver of any other provision of this Agreement, or of any subsequent breach by the Optionee or any other Optionee.</w:t>
      </w:r>
    </w:p>
    <w:p>
      <w:pPr>
        <w:spacing w:after="0" w:line="173" w:lineRule="exact"/>
        <w:rPr>
          <w:rFonts w:ascii="Times New Roman" w:cs="Times New Roman" w:eastAsia="Times New Roman" w:hAnsi="Times New Roman"/>
          <w:sz w:val="22"/>
          <w:szCs w:val="22"/>
          <w:color w:val="auto"/>
        </w:rPr>
      </w:pPr>
    </w:p>
    <w:p>
      <w:pPr>
        <w:ind w:right="20" w:firstLine="757"/>
        <w:spacing w:after="0" w:line="258" w:lineRule="auto"/>
        <w:tabs>
          <w:tab w:leader="none" w:pos="1181"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Choice of Law</w:t>
      </w:r>
      <w:r>
        <w:rPr>
          <w:rFonts w:ascii="Times New Roman" w:cs="Times New Roman" w:eastAsia="Times New Roman" w:hAnsi="Times New Roman"/>
          <w:sz w:val="22"/>
          <w:szCs w:val="22"/>
          <w:color w:val="auto"/>
        </w:rPr>
        <w:t>. This Agreement shall be governed by, and construed in accordance with, the laws of the State of Delaware, applied without regard to conflict of law principles.</w:t>
      </w:r>
    </w:p>
    <w:p>
      <w:pPr>
        <w:spacing w:after="0" w:line="158" w:lineRule="exact"/>
        <w:rPr>
          <w:rFonts w:ascii="Times New Roman" w:cs="Times New Roman" w:eastAsia="Times New Roman" w:hAnsi="Times New Roman"/>
          <w:sz w:val="22"/>
          <w:szCs w:val="22"/>
          <w:color w:val="auto"/>
        </w:rPr>
      </w:pPr>
    </w:p>
    <w:p>
      <w:pPr>
        <w:jc w:val="both"/>
        <w:ind w:firstLine="757"/>
        <w:spacing w:after="0" w:line="239" w:lineRule="auto"/>
        <w:tabs>
          <w:tab w:leader="none" w:pos="1194"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Venue</w:t>
      </w:r>
      <w:r>
        <w:rPr>
          <w:rFonts w:ascii="Times New Roman" w:cs="Times New Roman" w:eastAsia="Times New Roman" w:hAnsi="Times New Roman"/>
          <w:sz w:val="22"/>
          <w:szCs w:val="22"/>
          <w:color w:val="auto"/>
        </w:rPr>
        <w:t>. For purposes of litigating any dispute that arises directly or indirectly from the relationship of the parties evidenced by this Agreement, the parties hereby submit to and consent to the exclusive jurisdiction of the State of Massachusetts and agree that such litigation shall be conducted only in the courts of Middlesex County, Massachusetts, or the federal courts for the Commonwealth of Massachusetts, where this grant is made and/or to be performed, and no other courts.</w:t>
      </w:r>
    </w:p>
    <w:p>
      <w:pPr>
        <w:spacing w:after="0" w:line="180" w:lineRule="exact"/>
        <w:rPr>
          <w:rFonts w:ascii="Times New Roman" w:cs="Times New Roman" w:eastAsia="Times New Roman" w:hAnsi="Times New Roman"/>
          <w:sz w:val="22"/>
          <w:szCs w:val="22"/>
          <w:color w:val="auto"/>
        </w:rPr>
      </w:pPr>
    </w:p>
    <w:p>
      <w:pPr>
        <w:jc w:val="both"/>
        <w:ind w:firstLine="757"/>
        <w:spacing w:after="0" w:line="282" w:lineRule="auto"/>
        <w:tabs>
          <w:tab w:leader="none" w:pos="1181" w:val="left"/>
        </w:tabs>
        <w:numPr>
          <w:ilvl w:val="0"/>
          <w:numId w:val="8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Severability</w:t>
      </w:r>
      <w:r>
        <w:rPr>
          <w:rFonts w:ascii="Times New Roman" w:cs="Times New Roman" w:eastAsia="Times New Roman" w:hAnsi="Times New Roman"/>
          <w:sz w:val="21"/>
          <w:szCs w:val="21"/>
          <w:color w:val="auto"/>
        </w:rPr>
        <w:t>. The provisions of this Agreement are severable and if any one or more provisions are determined to be illegal or otherwise unenforceable, in whole or in part, the remaining provisions shall nevertheless be binding and enforceable.</w:t>
      </w:r>
    </w:p>
    <w:p>
      <w:pPr>
        <w:spacing w:after="0" w:line="134" w:lineRule="exact"/>
        <w:rPr>
          <w:rFonts w:ascii="Times New Roman" w:cs="Times New Roman" w:eastAsia="Times New Roman" w:hAnsi="Times New Roman"/>
          <w:sz w:val="21"/>
          <w:szCs w:val="21"/>
          <w:color w:val="auto"/>
        </w:rPr>
      </w:pPr>
    </w:p>
    <w:p>
      <w:pPr>
        <w:jc w:val="both"/>
        <w:ind w:firstLine="757"/>
        <w:spacing w:after="0" w:line="239" w:lineRule="auto"/>
        <w:tabs>
          <w:tab w:leader="none" w:pos="1194"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Imposition of Other Requirements</w:t>
      </w:r>
      <w:r>
        <w:rPr>
          <w:rFonts w:ascii="Times New Roman" w:cs="Times New Roman" w:eastAsia="Times New Roman" w:hAnsi="Times New Roman"/>
          <w:sz w:val="22"/>
          <w:szCs w:val="22"/>
          <w:color w:val="auto"/>
        </w:rPr>
        <w:t>. The Company reserves the right to impose other requirements on this Stock Option and the shares of Stock acquired upon exercise of this Stock Option, to the extent the Company determines it is necessary or advisable for legal or administrative reasons, and to require the Optionee to accept any additional agreements or undertakings that may be necessary to accomplish the foregoing.</w:t>
      </w:r>
    </w:p>
    <w:p>
      <w:pPr>
        <w:spacing w:after="0" w:line="180" w:lineRule="exact"/>
        <w:rPr>
          <w:rFonts w:ascii="Times New Roman" w:cs="Times New Roman" w:eastAsia="Times New Roman" w:hAnsi="Times New Roman"/>
          <w:sz w:val="22"/>
          <w:szCs w:val="22"/>
          <w:color w:val="auto"/>
        </w:rPr>
      </w:pPr>
    </w:p>
    <w:p>
      <w:pPr>
        <w:jc w:val="both"/>
        <w:ind w:firstLine="757"/>
        <w:spacing w:after="0" w:line="239" w:lineRule="auto"/>
        <w:tabs>
          <w:tab w:leader="none" w:pos="1181"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Electronic Delivery and Acceptance of Documents</w:t>
      </w:r>
      <w:r>
        <w:rPr>
          <w:rFonts w:ascii="Times New Roman" w:cs="Times New Roman" w:eastAsia="Times New Roman" w:hAnsi="Times New Roman"/>
          <w:sz w:val="22"/>
          <w:szCs w:val="22"/>
          <w:color w:val="auto"/>
        </w:rPr>
        <w:t>. The Company may, in its sole discretion, decide to deliver any documents related to current or future participation in the Plan by electronic means. The Optionee hereby consents to receive such documents by electronic delivery and agree to participate in the Plan through an on-line or electronic system established and maintained by the Company or a third party designated by the Company.</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28</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ACTIVE/72134752.4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5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32" w:name="page133"/>
    <w:bookmarkEnd w:id="132"/>
    <w:p>
      <w:pPr>
        <w:jc w:val="both"/>
        <w:ind w:firstLine="757"/>
        <w:spacing w:after="0" w:line="233" w:lineRule="auto"/>
        <w:tabs>
          <w:tab w:leader="none" w:pos="1208"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Compliance with Law</w:t>
      </w:r>
      <w:r>
        <w:rPr>
          <w:rFonts w:ascii="Times New Roman" w:cs="Times New Roman" w:eastAsia="Times New Roman" w:hAnsi="Times New Roman"/>
          <w:sz w:val="22"/>
          <w:szCs w:val="22"/>
          <w:color w:val="auto"/>
        </w:rPr>
        <w:t>. Notwithstanding any other provision of the Plan or this Agreement, unless there is an available exemption from any registration, qualification or other legal requirement applicable to the Stock, the Company shall not be required to permit the exercise of this Stock Option and/or deliver any shares of Stock prior to the completion of any registration or qualification of the shares of Stock under any U.S. or non-U.S. local, state or federal securities or other applicable law or under rulings or regulations of the U.S. Securities and Exchange Commission (“SEC”) or of any other governmental regulatory body, or prior to obtaining any approval or other clearance from any U.S. or non-U.S. local, state or federal governmental agency, which registration, qualification or approval the Company shall, in its absolute discretion, deem necessary or advisable. The Optionee understands that the Company is under no obligation to register or qualify the shares of Stock with the SEC or any state or non-U.S. securities commission or to seek approval or clearance from any governmental authority for the issuance or sale of the shares of Stock subject to this Stock Option. Further, the Optionee agrees that the Company shall have unilateral authority to amend this Agreement without the Optionee’s consent to the extent necessary to comply with securities or other laws applicable to issuance of the shares of Stock subject to this Stock Option.</w:t>
      </w:r>
    </w:p>
    <w:p>
      <w:pPr>
        <w:spacing w:after="0" w:line="184" w:lineRule="exact"/>
        <w:rPr>
          <w:rFonts w:ascii="Times New Roman" w:cs="Times New Roman" w:eastAsia="Times New Roman" w:hAnsi="Times New Roman"/>
          <w:sz w:val="22"/>
          <w:szCs w:val="22"/>
          <w:color w:val="auto"/>
        </w:rPr>
      </w:pPr>
    </w:p>
    <w:p>
      <w:pPr>
        <w:jc w:val="both"/>
        <w:ind w:firstLine="757"/>
        <w:spacing w:after="0" w:line="233" w:lineRule="auto"/>
        <w:tabs>
          <w:tab w:leader="none" w:pos="1194"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Insider Trading Restrictions / Market Abuse Laws</w:t>
      </w:r>
      <w:r>
        <w:rPr>
          <w:rFonts w:ascii="Times New Roman" w:cs="Times New Roman" w:eastAsia="Times New Roman" w:hAnsi="Times New Roman"/>
          <w:sz w:val="22"/>
          <w:szCs w:val="22"/>
          <w:color w:val="auto"/>
        </w:rPr>
        <w:t>. By accepting this Stock Option, the Optionee acknowledges that he or she is bound by all the terms and conditions of any Company’s insider trading policy as may be in effect from time to time. The Optionee further acknowledges that, depending on the Optionee’s country, the broker's country or the country in which the shares of Stock are listed, the Optionee may be or may become subject to insider trading restrictions and/or market abuse laws which may affect the Optionee’s ability to accept, acquire, sell or otherwise dispose of shares of Stock, rights to shares of Stock (e.g., Stock Options) or rights linked to the value of shares of Stock under the Plan during such times as the Optionee is considered to have “inside information” regarding the Company (as defined by the laws in the applicable jurisdictions). Local insider trading laws and regulations may prohibit the cancellation or amendment of orders the Optionee placed before the Optionee possessed inside information. Furthermore, the Optionee could be prohibited from (i) disclosing the inside information to any third party, which may include fellow employees and (ii) “tipping” third parties or causing them otherwise to buy or sell securities. Any restrictions under these laws or regulations are separate from and in addition to any restrictions that may be imposed under any Company’s insider trading policy as may be in effect from time to time. The Optionee acknowledges that it is the Optionee’s responsibility to comply with any applicable restrictions, and the Optionee should speak to his or her personal advisor on this matter.</w:t>
      </w:r>
    </w:p>
    <w:p>
      <w:pPr>
        <w:spacing w:after="0" w:line="179" w:lineRule="exact"/>
        <w:rPr>
          <w:rFonts w:ascii="Times New Roman" w:cs="Times New Roman" w:eastAsia="Times New Roman" w:hAnsi="Times New Roman"/>
          <w:sz w:val="22"/>
          <w:szCs w:val="22"/>
          <w:color w:val="auto"/>
        </w:rPr>
      </w:pPr>
    </w:p>
    <w:p>
      <w:pPr>
        <w:jc w:val="both"/>
        <w:ind w:firstLine="757"/>
        <w:spacing w:after="0" w:line="235" w:lineRule="auto"/>
        <w:tabs>
          <w:tab w:leader="none" w:pos="1181"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Foreign Asset/Account, Exchange Control and Tax Reporting</w:t>
      </w:r>
      <w:r>
        <w:rPr>
          <w:rFonts w:ascii="Times New Roman" w:cs="Times New Roman" w:eastAsia="Times New Roman" w:hAnsi="Times New Roman"/>
          <w:sz w:val="22"/>
          <w:szCs w:val="22"/>
          <w:color w:val="auto"/>
        </w:rPr>
        <w:t>. Depending on the Optionee’s country, the Optionee may be subject to foreign asset/account, exchange control, tax reporting or other requirements which may affect the Optionee’s ability acquire or hold Stock Options or shares of Stock under the Plan or cash received from participating in the Plan (including dividends and the proceeds arising from the sale of shares of Stock) in a brokerage/bank account outside the Optionee’s country. The applicable laws of the Optionee’s country may require that he or she report such Stock Options, shares of Stock, accounts, assets or transactions to the applicable authorities in such country and/or repatriate funds received in connection with the Plan to the Optionee’s country within a certain time period or according to certain procedures. The Optionee acknowledges that he or she is responsible for ensuring compliance with any applicable</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29</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ACTIVE/72134752.4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5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33" w:name="page134"/>
    <w:bookmarkEnd w:id="133"/>
    <w:p>
      <w:pPr>
        <w:spacing w:after="0"/>
        <w:rPr>
          <w:sz w:val="20"/>
          <w:szCs w:val="20"/>
          <w:color w:val="auto"/>
        </w:rPr>
      </w:pPr>
      <w:r>
        <w:rPr>
          <w:rFonts w:ascii="Times New Roman" w:cs="Times New Roman" w:eastAsia="Times New Roman" w:hAnsi="Times New Roman"/>
          <w:sz w:val="22"/>
          <w:szCs w:val="22"/>
          <w:color w:val="auto"/>
        </w:rPr>
        <w:t>requirements and should consult his or her personal legal advisor to ensure compliance with applicable laws.</w:t>
      </w:r>
    </w:p>
    <w:p>
      <w:pPr>
        <w:spacing w:after="0" w:line="206" w:lineRule="exact"/>
        <w:rPr>
          <w:sz w:val="20"/>
          <w:szCs w:val="20"/>
          <w:color w:val="auto"/>
        </w:rPr>
      </w:pPr>
    </w:p>
    <w:p>
      <w:pPr>
        <w:ind w:right="160" w:firstLine="757"/>
        <w:spacing w:after="0" w:line="261" w:lineRule="auto"/>
        <w:tabs>
          <w:tab w:leader="none" w:pos="1181" w:val="left"/>
        </w:tabs>
        <w:numPr>
          <w:ilvl w:val="0"/>
          <w:numId w:val="8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Incorporation of Policy for Recoupment of Incentive Compensation.</w:t>
      </w:r>
      <w:r>
        <w:rPr>
          <w:rFonts w:ascii="Times New Roman" w:cs="Times New Roman" w:eastAsia="Times New Roman" w:hAnsi="Times New Roman"/>
          <w:sz w:val="21"/>
          <w:szCs w:val="21"/>
          <w:color w:val="auto"/>
        </w:rPr>
        <w:t xml:space="preserve"> Notwithstanding anything herein to the contrary, this Stock Option shall be subject to and governed by all the terms and conditions of the Company’s Policy for Recoupment of Incentive Compensation, including the powers of the Company to recoup incentive compensation stated therein.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22"/>
          <w:szCs w:val="22"/>
          <w:b w:val="1"/>
          <w:bCs w:val="1"/>
          <w:color w:val="auto"/>
        </w:rPr>
        <w:t>HUBSPOT,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4017010</wp:posOffset>
            </wp:positionH>
            <wp:positionV relativeFrom="paragraph">
              <wp:posOffset>201930</wp:posOffset>
            </wp:positionV>
            <wp:extent cx="2005965" cy="86550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512">
                      <a:extLst>
                        <a:ext uri="{28A0092B-C50C-407E-A947-70E740481C1C}"/>
                      </a:extLst>
                    </a:blip>
                    <a:srcRect/>
                    <a:stretch>
                      <a:fillRect/>
                    </a:stretch>
                  </pic:blipFill>
                  <pic:spPr bwMode="auto">
                    <a:xfrm>
                      <a:off x="0" y="0"/>
                      <a:ext cx="2005965" cy="8655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4008120</wp:posOffset>
            </wp:positionH>
            <wp:positionV relativeFrom="paragraph">
              <wp:posOffset>10795</wp:posOffset>
            </wp:positionV>
            <wp:extent cx="3128645" cy="825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13">
                      <a:extLst>
                        <a:ext uri="{28A0092B-C50C-407E-A947-70E740481C1C}"/>
                      </a:extLst>
                    </a:blip>
                    <a:srcRect/>
                    <a:stretch>
                      <a:fillRect/>
                    </a:stretch>
                  </pic:blipFill>
                  <pic:spPr bwMode="auto">
                    <a:xfrm>
                      <a:off x="0" y="0"/>
                      <a:ext cx="3128645" cy="8255"/>
                    </a:xfrm>
                    <a:prstGeom prst="rect">
                      <a:avLst/>
                    </a:prstGeom>
                    <a:noFill/>
                  </pic:spPr>
                </pic:pic>
              </a:graphicData>
            </a:graphic>
          </wp:anchor>
        </w:drawing>
      </w:r>
    </w:p>
    <w:p>
      <w:pPr>
        <w:spacing w:after="0" w:line="267" w:lineRule="exact"/>
        <w:rPr>
          <w:sz w:val="20"/>
          <w:szCs w:val="20"/>
          <w:color w:val="auto"/>
        </w:rPr>
      </w:pPr>
    </w:p>
    <w:p>
      <w:pPr>
        <w:ind w:left="5640"/>
        <w:spacing w:after="0"/>
        <w:tabs>
          <w:tab w:leader="none" w:pos="6300" w:val="left"/>
        </w:tabs>
        <w:rPr>
          <w:sz w:val="20"/>
          <w:szCs w:val="20"/>
          <w:color w:val="auto"/>
        </w:rPr>
      </w:pPr>
      <w:r>
        <w:rPr>
          <w:rFonts w:ascii="Times New Roman" w:cs="Times New Roman" w:eastAsia="Times New Roman" w:hAnsi="Times New Roman"/>
          <w:sz w:val="22"/>
          <w:szCs w:val="22"/>
          <w:color w:val="auto"/>
        </w:rPr>
        <w:t>Title:</w:t>
        <w:tab/>
        <w:t>Chief Financial Officer</w:t>
      </w:r>
    </w:p>
    <w:p>
      <w:pPr>
        <w:spacing w:after="0" w:line="247"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foregoing Agreement is hereby accepted and the terms and conditions thereof hereby agreed to by the undersigned. Electronic acceptance of this Agreement pursuant to the Company’s instructions to the Optionee (including through an online acceptance process) is acceptable.</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tabs>
          <w:tab w:leader="none" w:pos="860" w:val="left"/>
          <w:tab w:leader="none" w:pos="3440" w:val="left"/>
        </w:tabs>
        <w:rPr>
          <w:sz w:val="20"/>
          <w:szCs w:val="20"/>
          <w:color w:val="auto"/>
        </w:rPr>
      </w:pPr>
      <w:r>
        <w:rPr>
          <w:rFonts w:ascii="Times New Roman" w:cs="Times New Roman" w:eastAsia="Times New Roman" w:hAnsi="Times New Roman"/>
          <w:sz w:val="22"/>
          <w:szCs w:val="22"/>
          <w:color w:val="auto"/>
        </w:rPr>
        <w:t>Dated:</w:t>
        <w:tab/>
        <w:t>&lt;Acceptance Date&gt;</w:t>
      </w:r>
      <w:r>
        <w:rPr>
          <w:sz w:val="20"/>
          <w:szCs w:val="20"/>
          <w:color w:val="auto"/>
        </w:rPr>
        <w:tab/>
      </w:r>
      <w:r>
        <w:rPr>
          <w:rFonts w:ascii="Times New Roman" w:cs="Times New Roman" w:eastAsia="Times New Roman" w:hAnsi="Times New Roman"/>
          <w:sz w:val="21"/>
          <w:szCs w:val="21"/>
          <w:color w:val="auto"/>
        </w:rPr>
        <w:t>&lt;Electronic Signature&gt;</w:t>
      </w:r>
    </w:p>
    <w:p>
      <w:pPr>
        <w:spacing w:after="0" w:line="233"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2"/>
          <w:szCs w:val="22"/>
          <w:color w:val="auto"/>
        </w:rPr>
        <w:t>&lt;Participant Name&gt;</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30</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ACTIVE/72134752.4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34" w:name="page135"/>
    <w:bookmarkEnd w:id="134"/>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APPENDIX</w:t>
      </w: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GLOBAL INCENTIVE STOCK OPTION AGREEMENT</w:t>
      </w:r>
    </w:p>
    <w:p>
      <w:pPr>
        <w:spacing w:after="0" w:line="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 EMPLOYEES</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UNDER THE HUBSPOT, INC.</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2014 STOCK OPTION AND INCENTIVE PLAN</w:t>
      </w:r>
    </w:p>
    <w:p>
      <w:pPr>
        <w:spacing w:after="0" w:line="200" w:lineRule="exact"/>
        <w:rPr>
          <w:sz w:val="20"/>
          <w:szCs w:val="20"/>
          <w:color w:val="auto"/>
        </w:rPr>
      </w:pPr>
    </w:p>
    <w:p>
      <w:pPr>
        <w:spacing w:after="0" w:line="20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Capitalized terms used but not defined in this Appendix shall have the same meanings assigned to them in the Plan and/or the Global Incentive Stock Option Agreement (the "Option Agreement").</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Terms and Conditions</w:t>
      </w:r>
    </w:p>
    <w:p>
      <w:pPr>
        <w:spacing w:after="0" w:line="212"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This Appendix includes additional terms and conditions that govern the Optionee’s Stock Option if the Optionee works and/or resides in one of the countries listed below. If the Optionee is a citizen or resident of a country other than the one in which the Optionee is currently working and/or residing (or is considered as such for local law purposes), or the Optionee transfers employment and/or residency to a different country after the grant of this Stock Option, the Company will, in its discretion, determine the extent to which the terms and conditions contained herein will apply to the Optionee.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Notifications</w:t>
      </w:r>
    </w:p>
    <w:p>
      <w:pPr>
        <w:spacing w:after="0" w:line="212"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This Appendix also includes information regarding certain other issues of which the Optionee should be aware with respect to the Optionee’s participation in the Plan. The information is based on the securities, exchange control and other laws in effect in the respective countries as of March 2023. Such laws are often complex and change frequently. As a result, the Company strongly recommends that the Optionee not rely on the information noted herein as the only source of information relating to the consequences of participation in the Plan because the information may be out-of-date at the time the Optionee exercises the Stock Option or sells any shares of Stock acquired under the Plan.</w:t>
      </w:r>
    </w:p>
    <w:p>
      <w:pPr>
        <w:spacing w:after="0" w:line="181"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In addition, the information contained herein is general in nature and may not apply to the Optionee’s particular situation. As a result, the Company is not in a position to assure the Optionee of any particular result. Accordingly, the Optionee is strongly advised to seek appropriate professional advice as to how the relevant laws in the Optionee’s country may apply to the Optionee’s individual situation.</w:t>
      </w:r>
    </w:p>
    <w:p>
      <w:pPr>
        <w:spacing w:after="0" w:line="18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If the Optionee is a citizen or resident of a country other than the one in which the Optionee is currently working and/or residing (or is considered as such for local law purposes), or if the Optionee transfers employment and/or residency to a different country after the Stock Option is granted, the notifications contained in this Appendix may not be applicable to the Optionee in the same manner.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31</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ACTIVE/72134752.4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135" w:name="page136"/>
    <w:bookmarkEnd w:id="135"/>
    <w:p>
      <w:pPr>
        <w:jc w:val="center"/>
        <w:ind w:right="60"/>
        <w:spacing w:after="0" w:line="262" w:lineRule="auto"/>
        <w:rPr>
          <w:sz w:val="20"/>
          <w:szCs w:val="20"/>
          <w:color w:val="auto"/>
        </w:rPr>
      </w:pPr>
      <w:r>
        <w:rPr>
          <w:rFonts w:ascii="Times New Roman" w:cs="Times New Roman" w:eastAsia="Times New Roman" w:hAnsi="Times New Roman"/>
          <w:sz w:val="22"/>
          <w:szCs w:val="22"/>
          <w:b w:val="1"/>
          <w:bCs w:val="1"/>
          <w:u w:val="single" w:color="auto"/>
          <w:color w:val="auto"/>
        </w:rPr>
        <w:t>ALL COUNTRIES OUTSIDE THE U.S., EUROPEAN UNION, EUROPEAN ECONOMIC AREA AND UNITED KINGDOM</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Data Privacy Notification and Consent</w:t>
      </w:r>
    </w:p>
    <w:p>
      <w:pPr>
        <w:spacing w:after="0" w:line="204" w:lineRule="exact"/>
        <w:rPr>
          <w:sz w:val="20"/>
          <w:szCs w:val="20"/>
          <w:color w:val="auto"/>
        </w:rPr>
      </w:pPr>
    </w:p>
    <w:p>
      <w:pPr>
        <w:jc w:val="both"/>
        <w:ind w:firstLine="8"/>
        <w:spacing w:after="0" w:line="241" w:lineRule="auto"/>
        <w:tabs>
          <w:tab w:leader="none" w:pos="509" w:val="left"/>
        </w:tabs>
        <w:numPr>
          <w:ilvl w:val="0"/>
          <w:numId w:val="87"/>
        </w:numPr>
        <w:rPr>
          <w:rFonts w:ascii="Times New Roman" w:cs="Times New Roman" w:eastAsia="Times New Roman" w:hAnsi="Times New Roman"/>
          <w:sz w:val="22"/>
          <w:szCs w:val="22"/>
          <w:b w:val="1"/>
          <w:bCs w:val="1"/>
          <w:i w:val="1"/>
          <w:iCs w:val="1"/>
          <w:color w:val="auto"/>
        </w:rPr>
      </w:pPr>
      <w:r>
        <w:rPr>
          <w:rFonts w:ascii="Times New Roman" w:cs="Times New Roman" w:eastAsia="Times New Roman" w:hAnsi="Times New Roman"/>
          <w:sz w:val="22"/>
          <w:szCs w:val="22"/>
          <w:b w:val="1"/>
          <w:bCs w:val="1"/>
          <w:i w:val="1"/>
          <w:iCs w:val="1"/>
          <w:color w:val="auto"/>
        </w:rPr>
        <w:t>By accepting the Stock Option, the Optionee explicitly and unambiguously consents to the collection, use and transfer, in electronic or other form, of the Optionee’s personal data as described in the Agreement by and among, as applicable, the Employer, the Company and its other Subsidiaries and Affiliates for the exclusive purpose of implementing, administering and managing the Optionee’s participation in the Plan.</w:t>
      </w:r>
    </w:p>
    <w:p>
      <w:pPr>
        <w:spacing w:after="0" w:line="171" w:lineRule="exact"/>
        <w:rPr>
          <w:rFonts w:ascii="Times New Roman" w:cs="Times New Roman" w:eastAsia="Times New Roman" w:hAnsi="Times New Roman"/>
          <w:sz w:val="22"/>
          <w:szCs w:val="22"/>
          <w:b w:val="1"/>
          <w:bCs w:val="1"/>
          <w:i w:val="1"/>
          <w:iCs w:val="1"/>
          <w:color w:val="auto"/>
        </w:rPr>
      </w:pPr>
    </w:p>
    <w:p>
      <w:pPr>
        <w:jc w:val="both"/>
        <w:ind w:firstLine="8"/>
        <w:spacing w:after="0" w:line="237" w:lineRule="auto"/>
        <w:tabs>
          <w:tab w:leader="none" w:pos="509" w:val="left"/>
        </w:tabs>
        <w:numPr>
          <w:ilvl w:val="0"/>
          <w:numId w:val="87"/>
        </w:numPr>
        <w:rPr>
          <w:rFonts w:ascii="Times New Roman" w:cs="Times New Roman" w:eastAsia="Times New Roman" w:hAnsi="Times New Roman"/>
          <w:sz w:val="22"/>
          <w:szCs w:val="22"/>
          <w:b w:val="1"/>
          <w:bCs w:val="1"/>
          <w:i w:val="1"/>
          <w:iCs w:val="1"/>
          <w:color w:val="auto"/>
        </w:rPr>
      </w:pPr>
      <w:r>
        <w:rPr>
          <w:rFonts w:ascii="Times New Roman" w:cs="Times New Roman" w:eastAsia="Times New Roman" w:hAnsi="Times New Roman"/>
          <w:sz w:val="22"/>
          <w:szCs w:val="22"/>
          <w:b w:val="1"/>
          <w:bCs w:val="1"/>
          <w:i w:val="1"/>
          <w:iCs w:val="1"/>
          <w:color w:val="auto"/>
        </w:rPr>
        <w:t>The Optionee understands that the Company, the Employer and other Subsidiaries and Affiliates hold certain personal information about the Optionee, including, but not limited to, the Optionee's name, home address and telephone number, email address, date of birth, social security number, passport or other identification number (e.g., resident registration number), salary, nationality, job title, any shares of Stock or directorships held in the Company, details of all Stock Options or any other entitlement to shares awarded, canceled, vested, unvested or outstanding in the Optionee's favor (“Data”), for the purpose of implementing, administering and managing the Plan</w:t>
      </w:r>
    </w:p>
    <w:p>
      <w:pPr>
        <w:spacing w:after="0" w:line="175" w:lineRule="exact"/>
        <w:rPr>
          <w:rFonts w:ascii="Times New Roman" w:cs="Times New Roman" w:eastAsia="Times New Roman" w:hAnsi="Times New Roman"/>
          <w:sz w:val="22"/>
          <w:szCs w:val="22"/>
          <w:b w:val="1"/>
          <w:bCs w:val="1"/>
          <w:i w:val="1"/>
          <w:iCs w:val="1"/>
          <w:color w:val="auto"/>
        </w:rPr>
      </w:pPr>
    </w:p>
    <w:p>
      <w:pPr>
        <w:jc w:val="both"/>
        <w:ind w:firstLine="8"/>
        <w:spacing w:after="0" w:line="232" w:lineRule="auto"/>
        <w:tabs>
          <w:tab w:leader="none" w:pos="509" w:val="left"/>
        </w:tabs>
        <w:numPr>
          <w:ilvl w:val="0"/>
          <w:numId w:val="87"/>
        </w:numPr>
        <w:rPr>
          <w:rFonts w:ascii="Times New Roman" w:cs="Times New Roman" w:eastAsia="Times New Roman" w:hAnsi="Times New Roman"/>
          <w:sz w:val="22"/>
          <w:szCs w:val="22"/>
          <w:b w:val="1"/>
          <w:bCs w:val="1"/>
          <w:i w:val="1"/>
          <w:iCs w:val="1"/>
          <w:color w:val="auto"/>
        </w:rPr>
      </w:pPr>
      <w:r>
        <w:rPr>
          <w:rFonts w:ascii="Times New Roman" w:cs="Times New Roman" w:eastAsia="Times New Roman" w:hAnsi="Times New Roman"/>
          <w:sz w:val="22"/>
          <w:szCs w:val="22"/>
          <w:b w:val="1"/>
          <w:bCs w:val="1"/>
          <w:i w:val="1"/>
          <w:iCs w:val="1"/>
          <w:color w:val="auto"/>
        </w:rPr>
        <w:t>The Optionee understands that Data will be transferred to Fidelity Stock Plan Services LLC, or such other stock plan service provider as may be selected by the Company in the future, which assist in the implementation, administration and management of the Plan. The Optionee understands that the recipients of the Data may be located in the United States or elsewhere, and that the recipient's country (e.g. the United States) may have different data privacy laws and protections than the Optionee's country. The Optionee understands that if he or she resides outside the United States, the Optionee may request a list with the names and addresses of any potential recipients of the Data by contacting the Optionee's local human resources representative. The Optionee authorizes the Company, Fidelity Stock Plan Services LLC and other possible recipients which may assist the Company (presently or in the future) with implementing, administering and managing the Plan to receive, possess, use, retain and transfer the Data, in electronic or other form, for the sole purpose of implementing, administering and managing the Optionee's participation in the Plan, including any requisite transfer of such Data as may be required to a broker, escrow agent or other third party with whom the shares of Stock received upon exercise of the Stock Option may be deposited. The Optionee understands that Data will be held only as long as is necessary to implement, administer and manage the Optionee's participation in the Plan. The Optionee understands that if the Optionee resides outside the United States, he or she may, at any time, view Data, request information about the storage and processing of Data, require any necessary amendments to Data or refuse or withdraw the consents herein, in any case without cost, by contacting the Optionee's local human resources representative. Further, the Optionee understands that he or she is providing the consents herein on a purely voluntary basis. If the Optionee does not consent, or if the Optionee later seeks to revoke his or her consent, the Optionee's employment status with the Employer will not be affected; the only consequence of refusing or withdrawing consent is that the Company would not be able to grant Stock Options or other equity awards to the Optionee or administer or maintain such awards. Therefore, the Optionee understands that refusing or withdrawing the Optionee’s consent may affect his or her ability to participate in the Plan. For</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32</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ACTIVE/72134752.4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136" w:name="page137"/>
    <w:bookmarkEnd w:id="136"/>
    <w:p>
      <w:pPr>
        <w:ind w:firstLine="509"/>
        <w:spacing w:after="0" w:line="264" w:lineRule="auto"/>
        <w:rPr>
          <w:sz w:val="20"/>
          <w:szCs w:val="20"/>
          <w:color w:val="auto"/>
        </w:rPr>
      </w:pPr>
      <w:r>
        <w:rPr>
          <w:rFonts w:ascii="Times New Roman" w:cs="Times New Roman" w:eastAsia="Times New Roman" w:hAnsi="Times New Roman"/>
          <w:sz w:val="22"/>
          <w:szCs w:val="22"/>
          <w:b w:val="1"/>
          <w:bCs w:val="1"/>
          <w:i w:val="1"/>
          <w:iCs w:val="1"/>
          <w:color w:val="auto"/>
        </w:rPr>
        <w:t>more information on the consequences of the Optionee’s refusal to consent or withdrawal of consent, the Optionee understands that he or she may contact his or her local human resources representative.</w:t>
      </w:r>
    </w:p>
    <w:p>
      <w:pPr>
        <w:spacing w:after="0" w:line="145" w:lineRule="exact"/>
        <w:rPr>
          <w:sz w:val="20"/>
          <w:szCs w:val="20"/>
          <w:color w:val="auto"/>
        </w:rPr>
      </w:pPr>
    </w:p>
    <w:p>
      <w:pPr>
        <w:jc w:val="both"/>
        <w:ind w:firstLine="8"/>
        <w:spacing w:after="0" w:line="237" w:lineRule="auto"/>
        <w:tabs>
          <w:tab w:leader="none" w:pos="509" w:val="left"/>
        </w:tabs>
        <w:numPr>
          <w:ilvl w:val="0"/>
          <w:numId w:val="88"/>
        </w:numPr>
        <w:rPr>
          <w:rFonts w:ascii="Times New Roman" w:cs="Times New Roman" w:eastAsia="Times New Roman" w:hAnsi="Times New Roman"/>
          <w:sz w:val="22"/>
          <w:szCs w:val="22"/>
          <w:b w:val="1"/>
          <w:bCs w:val="1"/>
          <w:i w:val="1"/>
          <w:iCs w:val="1"/>
          <w:color w:val="auto"/>
        </w:rPr>
      </w:pPr>
      <w:r>
        <w:rPr>
          <w:rFonts w:ascii="Times New Roman" w:cs="Times New Roman" w:eastAsia="Times New Roman" w:hAnsi="Times New Roman"/>
          <w:sz w:val="22"/>
          <w:szCs w:val="22"/>
          <w:b w:val="1"/>
          <w:bCs w:val="1"/>
          <w:i w:val="1"/>
          <w:iCs w:val="1"/>
          <w:color w:val="auto"/>
        </w:rPr>
        <w:t>Upon request of the Company or the Employer, the Optionee agrees to provide a separate executed data privacy consent form (or any other agreements or consents that may be required by the Company and/or the Employer) that the Company and/or the Employer may deem necessary to obtain from the Optionee for the purpose of administering the Optionee's participation in the Plan in compliance with the data privacy laws in the Optionee's country, either now or in the future. The Optionee understands and agrees that he or she will not be able to participate in the Plan if the Optionee fails to provide any such consent or agreement requested by the Company and/or the Employer.</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CANADA</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Terms and Conditions</w:t>
      </w:r>
    </w:p>
    <w:p>
      <w:pPr>
        <w:spacing w:after="0" w:line="212"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u w:val="single" w:color="auto"/>
          <w:color w:val="auto"/>
        </w:rPr>
        <w:t>Method of Exercise</w:t>
      </w:r>
      <w:r>
        <w:rPr>
          <w:rFonts w:ascii="Times New Roman" w:cs="Times New Roman" w:eastAsia="Times New Roman" w:hAnsi="Times New Roman"/>
          <w:sz w:val="22"/>
          <w:szCs w:val="22"/>
          <w:color w:val="auto"/>
        </w:rPr>
        <w:t>. Notwithstanding any provision of the Plan or the Option Agreement, the Optionee may not pay the Option Exercise Price by using the methods of exercise set forth in Section 2(a)(ii) of the Option Agreement or the corresponding provisions of the Plan.</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The following terms and conditions apply to employees resident in Quebec:</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u w:val="single" w:color="auto"/>
          <w:color w:val="auto"/>
        </w:rPr>
        <w:t>Data Privacy</w:t>
      </w:r>
      <w:r>
        <w:rPr>
          <w:rFonts w:ascii="Times New Roman" w:cs="Times New Roman" w:eastAsia="Times New Roman" w:hAnsi="Times New Roman"/>
          <w:sz w:val="21"/>
          <w:szCs w:val="21"/>
          <w:color w:val="auto"/>
        </w:rPr>
        <w:t>. The following provision supplements the Data Privacy Notification and Consent provision above in this Appendix:</w:t>
      </w:r>
    </w:p>
    <w:p>
      <w:pPr>
        <w:spacing w:after="0" w:line="245"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The Optionee hereby authorizes the Company and the Company’s representatives to discuss with and obtain all relevant information from all personnel, professional or non-professional, involved in the administration and operation of the Plan. The Optionee further authorizes the Company and any Subsidiary or Affiliate and the Administrator to disclose and discuss the Plan with their advisors and to record all relevant information and keep such information in the Optionee’s employee file.</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Notifications</w:t>
      </w:r>
    </w:p>
    <w:p>
      <w:pPr>
        <w:spacing w:after="0" w:line="239"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u w:val="single" w:color="auto"/>
          <w:color w:val="auto"/>
        </w:rPr>
        <w:t>Securities Law Information</w:t>
      </w:r>
      <w:r>
        <w:rPr>
          <w:rFonts w:ascii="Times New Roman" w:cs="Times New Roman" w:eastAsia="Times New Roman" w:hAnsi="Times New Roman"/>
          <w:sz w:val="22"/>
          <w:szCs w:val="22"/>
          <w:color w:val="auto"/>
        </w:rPr>
        <w:t>. The Optionee is permitted to sell shares of Stock acquired under the Plan through the designated broker appointed under the Plan, if any, provided the resale of shares of Stock acquired under the Plan takes place outside Canada through the facilities of a stock exchange on which the shares of Stock are listed. The shares of Stock are currently listed on the New York Stock Exchange under the symbol “HUBS.”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IRELAND</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Notifications</w:t>
      </w:r>
    </w:p>
    <w:p>
      <w:pPr>
        <w:spacing w:after="0" w:line="212"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u w:val="single" w:color="auto"/>
          <w:color w:val="auto"/>
        </w:rPr>
        <w:t>Director Notification Information</w:t>
      </w:r>
      <w:r>
        <w:rPr>
          <w:rFonts w:ascii="Times New Roman" w:cs="Times New Roman" w:eastAsia="Times New Roman" w:hAnsi="Times New Roman"/>
          <w:sz w:val="22"/>
          <w:szCs w:val="22"/>
          <w:color w:val="auto"/>
        </w:rPr>
        <w:t>. Directors, shadow directors and secretaries of an Irish Subsidiary or Affiliate must notify such Subsidiary or Affiliate in writing upon (i) receiving or disposing of an interest in the Company (</w:t>
      </w:r>
      <w:r>
        <w:rPr>
          <w:rFonts w:ascii="Times New Roman" w:cs="Times New Roman" w:eastAsia="Times New Roman" w:hAnsi="Times New Roman"/>
          <w:sz w:val="22"/>
          <w:szCs w:val="22"/>
          <w:i w:val="1"/>
          <w:iCs w:val="1"/>
          <w:color w:val="auto"/>
        </w:rPr>
        <w:t>e.g.</w:t>
      </w:r>
      <w:r>
        <w:rPr>
          <w:rFonts w:ascii="Times New Roman" w:cs="Times New Roman" w:eastAsia="Times New Roman" w:hAnsi="Times New Roman"/>
          <w:sz w:val="22"/>
          <w:szCs w:val="22"/>
          <w:color w:val="auto"/>
        </w:rPr>
        <w:t>, the Stock Option, shares of Stock, etc.), (ii)</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33</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ACTIVE/72134752.4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2" w:right="339" w:bottom="1440" w:gutter="0" w:footer="0" w:header="0"/>
        </w:sectPr>
      </w:pPr>
    </w:p>
    <w:bookmarkStart w:id="137" w:name="page138"/>
    <w:bookmarkEnd w:id="137"/>
    <w:p>
      <w:pPr>
        <w:jc w:val="both"/>
        <w:spacing w:after="0" w:line="238" w:lineRule="auto"/>
        <w:rPr>
          <w:sz w:val="20"/>
          <w:szCs w:val="20"/>
          <w:color w:val="auto"/>
        </w:rPr>
      </w:pPr>
      <w:r>
        <w:rPr>
          <w:rFonts w:ascii="Times New Roman" w:cs="Times New Roman" w:eastAsia="Times New Roman" w:hAnsi="Times New Roman"/>
          <w:sz w:val="22"/>
          <w:szCs w:val="22"/>
          <w:color w:val="auto"/>
        </w:rPr>
        <w:t>becoming aware of the event giving rise to the notification requirement, or (iii) becoming a director or secretary if such an interest exists at the time, in each case if the interest represents more than 1% of the Company. This notification requirement also applies with respect to the interests of any spouse or children under the age of 18 of the director, shadow director or secretary (whose interests will be attributed to the director, shadow director or secretary). The Optionee should consult with his or her personal legal advisor as to whether or not this notification requirement applies.</w:t>
      </w:r>
    </w:p>
    <w:p>
      <w:pPr>
        <w:spacing w:after="0" w:line="200" w:lineRule="exact"/>
        <w:rPr>
          <w:sz w:val="20"/>
          <w:szCs w:val="20"/>
          <w:color w:val="auto"/>
        </w:rPr>
      </w:pPr>
    </w:p>
    <w:p>
      <w:pPr>
        <w:spacing w:after="0" w:line="229" w:lineRule="exact"/>
        <w:rPr>
          <w:sz w:val="20"/>
          <w:szCs w:val="20"/>
          <w:color w:val="auto"/>
        </w:rPr>
      </w:pPr>
    </w:p>
    <w:p>
      <w:pPr>
        <w:jc w:val="both"/>
        <w:ind w:firstLine="8"/>
        <w:spacing w:after="0" w:line="244" w:lineRule="auto"/>
        <w:tabs>
          <w:tab w:leader="none" w:pos="223" w:val="left"/>
        </w:tabs>
        <w:numPr>
          <w:ilvl w:val="0"/>
          <w:numId w:val="89"/>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20"/>
          <w:szCs w:val="20"/>
          <w:i w:val="1"/>
          <w:iCs w:val="1"/>
          <w:color w:val="auto"/>
        </w:rPr>
        <w:t>The following language to be used for grants to Section 16 officers</w:t>
      </w:r>
      <w:r>
        <w:rPr>
          <w:rFonts w:ascii="Times New Roman" w:cs="Times New Roman" w:eastAsia="Times New Roman" w:hAnsi="Times New Roman"/>
          <w:sz w:val="20"/>
          <w:szCs w:val="20"/>
          <w:color w:val="auto"/>
        </w:rPr>
        <w:t>: Except as set forth below, and subject to the discretion of</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the Administrator (as defined in Section 2 of the Plan) to accelerate the vesting schedule hereunder, the Option Shares shall vest and become exercisable in sixteen (16) equal installments of 6.25% starting on the three-month anniversary of the Vesting Commencement Date and every three months thereafter, such that the Stock Options are fully vested and exercisable on the fourth (4th) anniversary of the Vesting Commencement Date, provided that the Optionee remains an employee of the Company or a Subsidiary on each such date.</w:t>
      </w:r>
    </w:p>
    <w:p>
      <w:pPr>
        <w:spacing w:after="0" w:line="200" w:lineRule="exact"/>
        <w:rPr>
          <w:sz w:val="20"/>
          <w:szCs w:val="20"/>
          <w:color w:val="auto"/>
        </w:rPr>
      </w:pPr>
    </w:p>
    <w:p>
      <w:pPr>
        <w:spacing w:after="0" w:line="250" w:lineRule="exact"/>
        <w:rPr>
          <w:sz w:val="20"/>
          <w:szCs w:val="20"/>
          <w:color w:val="auto"/>
        </w:rPr>
      </w:pPr>
    </w:p>
    <w:p>
      <w:pPr>
        <w:ind w:right="120"/>
        <w:spacing w:after="0" w:line="247" w:lineRule="auto"/>
        <w:rPr>
          <w:sz w:val="20"/>
          <w:szCs w:val="20"/>
          <w:color w:val="auto"/>
        </w:rPr>
      </w:pPr>
      <w:r>
        <w:rPr>
          <w:rFonts w:ascii="Times New Roman" w:cs="Times New Roman" w:eastAsia="Times New Roman" w:hAnsi="Times New Roman"/>
          <w:sz w:val="21"/>
          <w:szCs w:val="21"/>
          <w:i w:val="1"/>
          <w:iCs w:val="1"/>
          <w:color w:val="auto"/>
        </w:rPr>
        <w:t xml:space="preserve">The following language to be used for grants to new hires: </w:t>
      </w:r>
      <w:r>
        <w:rPr>
          <w:rFonts w:ascii="Times New Roman" w:cs="Times New Roman" w:eastAsia="Times New Roman" w:hAnsi="Times New Roman"/>
          <w:sz w:val="21"/>
          <w:szCs w:val="21"/>
          <w:color w:val="auto"/>
        </w:rPr>
        <w:t>Except as set forth below, and subject to the discretion of the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Administrator (as defined in Section 2 of the Plan) to accelerate the vesting schedule hereunder, 16.67% of the Option Shares shall vest and become exercisable on the six-month anniversary of the Vesting Commencement Date; provided that the Optionee remains an employee of the Company or a Subsidiary on such date. Thereafter, the restrictions and conditions of Paragraph 1 of this Agreement shall lapse as to the remaining 83.33% of the Option Shares and such Option Shares shall vest and become exercisable in ten (10) equal installments of 8.33% every three (3) months following the six-month anniversary of the Vesting Commencement Date, such that the Option Shares are fully vested and exercisable on the third (3rd) anniversary of the Vesting Commencement Date, provided that the Optionee remains an employee of the Company or a Subsidiary on such dates.</w:t>
      </w:r>
    </w:p>
    <w:p>
      <w:pPr>
        <w:spacing w:after="0" w:line="199" w:lineRule="exact"/>
        <w:rPr>
          <w:sz w:val="20"/>
          <w:szCs w:val="20"/>
          <w:color w:val="auto"/>
        </w:rPr>
      </w:pPr>
    </w:p>
    <w:p>
      <w:pPr>
        <w:ind w:right="100"/>
        <w:spacing w:after="0" w:line="237" w:lineRule="auto"/>
        <w:rPr>
          <w:sz w:val="20"/>
          <w:szCs w:val="20"/>
          <w:color w:val="auto"/>
        </w:rPr>
      </w:pPr>
      <w:r>
        <w:rPr>
          <w:rFonts w:ascii="Times New Roman" w:cs="Times New Roman" w:eastAsia="Times New Roman" w:hAnsi="Times New Roman"/>
          <w:sz w:val="22"/>
          <w:szCs w:val="22"/>
          <w:i w:val="1"/>
          <w:iCs w:val="1"/>
          <w:color w:val="auto"/>
        </w:rPr>
        <w:t>The following language to be used for all other grants</w:t>
      </w:r>
      <w:r>
        <w:rPr>
          <w:rFonts w:ascii="Times New Roman" w:cs="Times New Roman" w:eastAsia="Times New Roman" w:hAnsi="Times New Roman"/>
          <w:sz w:val="22"/>
          <w:szCs w:val="22"/>
          <w:color w:val="auto"/>
        </w:rPr>
        <w:t>: Except as set forth below, and subject to the discretion of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Administrator (as defined in Section 2 of the Plan) to accelerate the vesting schedule hereunder, the Option Shares shall vest and become exercisable in twelve (12) equal installments of 8.33% starting on the three-month anniversary of the Vesting Commencement Date and every three months thereafter, such that the Stock Options are fully vested and exercisable on the third (3rd) anniversary of the Vesting Commencement Date, provided that the Optionee remains an employee of the Company or a Subsidiary on each such date.</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34</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ACTIVE/72134752.4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38" w:name="page139"/>
    <w:bookmarkEnd w:id="138"/>
    <w:p>
      <w:pPr>
        <w:jc w:val="center"/>
        <w:spacing w:after="0"/>
        <w:rPr>
          <w:sz w:val="20"/>
          <w:szCs w:val="20"/>
          <w:color w:val="auto"/>
        </w:rPr>
      </w:pPr>
      <w:r>
        <w:rPr>
          <w:rFonts w:ascii="Times New Roman" w:cs="Times New Roman" w:eastAsia="Times New Roman" w:hAnsi="Times New Roman"/>
          <w:sz w:val="25"/>
          <w:szCs w:val="25"/>
          <w:b w:val="1"/>
          <w:bCs w:val="1"/>
          <w:color w:val="auto"/>
        </w:rPr>
        <w:t>GLOBAL NON-QUALIFIED STOCK OPTION AGREEMENT</w:t>
      </w:r>
    </w:p>
    <w:p>
      <w:pPr>
        <w:spacing w:after="0" w:line="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 EMPLOYEES</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UNDER THE HUBSPOT, INC.</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2014 STOCK OPTION AND INCENTIVE PLAN</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Optionee: &lt;Participant Name&gt;</w:t>
      </w:r>
    </w:p>
    <w:p>
      <w:pPr>
        <w:spacing w:after="0" w:line="206" w:lineRule="exact"/>
        <w:rPr>
          <w:sz w:val="20"/>
          <w:szCs w:val="20"/>
          <w:color w:val="auto"/>
        </w:rPr>
      </w:pPr>
    </w:p>
    <w:p>
      <w:pPr>
        <w:spacing w:after="0"/>
        <w:tabs>
          <w:tab w:leader="none" w:pos="2140" w:val="left"/>
        </w:tabs>
        <w:rPr>
          <w:sz w:val="20"/>
          <w:szCs w:val="20"/>
          <w:color w:val="auto"/>
        </w:rPr>
      </w:pPr>
      <w:r>
        <w:rPr>
          <w:rFonts w:ascii="Times New Roman" w:cs="Times New Roman" w:eastAsia="Times New Roman" w:hAnsi="Times New Roman"/>
          <w:sz w:val="22"/>
          <w:szCs w:val="22"/>
          <w:color w:val="auto"/>
        </w:rPr>
        <w:t>No. of Option Shares:</w:t>
      </w:r>
      <w:r>
        <w:rPr>
          <w:sz w:val="20"/>
          <w:szCs w:val="20"/>
          <w:color w:val="auto"/>
        </w:rPr>
        <w:tab/>
      </w:r>
      <w:r>
        <w:rPr>
          <w:rFonts w:ascii="Times New Roman" w:cs="Times New Roman" w:eastAsia="Times New Roman" w:hAnsi="Times New Roman"/>
          <w:sz w:val="21"/>
          <w:szCs w:val="21"/>
          <w:color w:val="auto"/>
        </w:rPr>
        <w:t>&lt;Number of Awards Granted&gt;</w:t>
      </w:r>
    </w:p>
    <w:p>
      <w:pPr>
        <w:spacing w:after="0" w:line="206" w:lineRule="exact"/>
        <w:rPr>
          <w:sz w:val="20"/>
          <w:szCs w:val="20"/>
          <w:color w:val="auto"/>
        </w:rPr>
      </w:pPr>
    </w:p>
    <w:p>
      <w:pPr>
        <w:spacing w:after="0"/>
        <w:tabs>
          <w:tab w:leader="none" w:pos="3020" w:val="left"/>
        </w:tabs>
        <w:rPr>
          <w:sz w:val="20"/>
          <w:szCs w:val="20"/>
          <w:color w:val="auto"/>
        </w:rPr>
      </w:pPr>
      <w:r>
        <w:rPr>
          <w:rFonts w:ascii="Times New Roman" w:cs="Times New Roman" w:eastAsia="Times New Roman" w:hAnsi="Times New Roman"/>
          <w:sz w:val="22"/>
          <w:szCs w:val="22"/>
          <w:color w:val="auto"/>
        </w:rPr>
        <w:t>Option Exercise Price per Share:</w:t>
      </w:r>
      <w:r>
        <w:rPr>
          <w:sz w:val="20"/>
          <w:szCs w:val="20"/>
          <w:color w:val="auto"/>
        </w:rPr>
        <w:tab/>
      </w:r>
      <w:r>
        <w:rPr>
          <w:rFonts w:ascii="Times New Roman" w:cs="Times New Roman" w:eastAsia="Times New Roman" w:hAnsi="Times New Roman"/>
          <w:sz w:val="21"/>
          <w:szCs w:val="21"/>
          <w:color w:val="auto"/>
        </w:rPr>
        <w:t>$ &lt;Grant Date FMV&gt;</w:t>
      </w:r>
    </w:p>
    <w:p>
      <w:pPr>
        <w:spacing w:after="0" w:line="1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b w:val="1"/>
          <w:bCs w:val="1"/>
          <w:color w:val="auto"/>
        </w:rPr>
        <w:t>[FMV on Grant Date]</w:t>
      </w:r>
    </w:p>
    <w:p>
      <w:pPr>
        <w:spacing w:after="0" w:line="182"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2"/>
          <w:szCs w:val="22"/>
          <w:color w:val="auto"/>
        </w:rPr>
        <w:t>Grant Date:</w:t>
      </w:r>
      <w:r>
        <w:rPr>
          <w:sz w:val="20"/>
          <w:szCs w:val="20"/>
          <w:color w:val="auto"/>
        </w:rPr>
        <w:tab/>
      </w:r>
      <w:r>
        <w:rPr>
          <w:rFonts w:ascii="Times New Roman" w:cs="Times New Roman" w:eastAsia="Times New Roman" w:hAnsi="Times New Roman"/>
          <w:sz w:val="21"/>
          <w:szCs w:val="21"/>
          <w:color w:val="auto"/>
        </w:rPr>
        <w:t>&lt;Grant Date&gt;</w:t>
      </w:r>
    </w:p>
    <w:p>
      <w:pPr>
        <w:spacing w:after="0" w:line="206" w:lineRule="exact"/>
        <w:rPr>
          <w:sz w:val="20"/>
          <w:szCs w:val="20"/>
          <w:color w:val="auto"/>
        </w:rPr>
      </w:pPr>
    </w:p>
    <w:p>
      <w:pPr>
        <w:spacing w:after="0"/>
        <w:tabs>
          <w:tab w:leader="none" w:pos="3020" w:val="left"/>
        </w:tabs>
        <w:rPr>
          <w:sz w:val="20"/>
          <w:szCs w:val="20"/>
          <w:color w:val="auto"/>
        </w:rPr>
      </w:pPr>
      <w:r>
        <w:rPr>
          <w:rFonts w:ascii="Times New Roman" w:cs="Times New Roman" w:eastAsia="Times New Roman" w:hAnsi="Times New Roman"/>
          <w:sz w:val="22"/>
          <w:szCs w:val="22"/>
          <w:color w:val="auto"/>
        </w:rPr>
        <w:t>Vesting Commencement Date:</w:t>
      </w:r>
      <w:r>
        <w:rPr>
          <w:sz w:val="20"/>
          <w:szCs w:val="20"/>
          <w:color w:val="auto"/>
        </w:rPr>
        <w:tab/>
      </w:r>
      <w:r>
        <w:rPr>
          <w:rFonts w:ascii="Times New Roman" w:cs="Times New Roman" w:eastAsia="Times New Roman" w:hAnsi="Times New Roman"/>
          <w:sz w:val="21"/>
          <w:szCs w:val="21"/>
          <w:color w:val="auto"/>
        </w:rPr>
        <w:t>&lt;Vest from Hire Date&gt;, &lt;Vesting Schedule (Dates &amp; Quantities)&gt;</w:t>
      </w:r>
    </w:p>
    <w:p>
      <w:pPr>
        <w:spacing w:after="0" w:line="206" w:lineRule="exact"/>
        <w:rPr>
          <w:sz w:val="20"/>
          <w:szCs w:val="20"/>
          <w:color w:val="auto"/>
        </w:rPr>
      </w:pPr>
    </w:p>
    <w:p>
      <w:pPr>
        <w:spacing w:after="0"/>
        <w:tabs>
          <w:tab w:leader="none" w:pos="1720" w:val="left"/>
        </w:tabs>
        <w:rPr>
          <w:sz w:val="20"/>
          <w:szCs w:val="20"/>
          <w:color w:val="auto"/>
        </w:rPr>
      </w:pPr>
      <w:r>
        <w:rPr>
          <w:rFonts w:ascii="Times New Roman" w:cs="Times New Roman" w:eastAsia="Times New Roman" w:hAnsi="Times New Roman"/>
          <w:sz w:val="22"/>
          <w:szCs w:val="22"/>
          <w:color w:val="auto"/>
        </w:rPr>
        <w:t>Expiration Date:</w:t>
      </w:r>
      <w:r>
        <w:rPr>
          <w:sz w:val="20"/>
          <w:szCs w:val="20"/>
          <w:color w:val="auto"/>
        </w:rPr>
        <w:tab/>
      </w:r>
      <w:r>
        <w:rPr>
          <w:rFonts w:ascii="Times New Roman" w:cs="Times New Roman" w:eastAsia="Times New Roman" w:hAnsi="Times New Roman"/>
          <w:sz w:val="21"/>
          <w:szCs w:val="21"/>
          <w:color w:val="auto"/>
        </w:rPr>
        <w:t>&lt;Expiration Date&gt;</w:t>
      </w:r>
    </w:p>
    <w:p>
      <w:pPr>
        <w:spacing w:after="0" w:line="200" w:lineRule="exact"/>
        <w:rPr>
          <w:sz w:val="20"/>
          <w:szCs w:val="20"/>
          <w:color w:val="auto"/>
        </w:rPr>
      </w:pPr>
    </w:p>
    <w:p>
      <w:pPr>
        <w:spacing w:after="0" w:line="222"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Pursuant to the HubSpot, Inc. 2014 Stock Option and Incentive Plan as amended through the date hereof (the “Plan”), and this Global Non-Qualified Stock Option Award Agreement, including any additional terms and conditions for the Optionee’s country set forth in the appendix attached hereto (the “Appendix” and together with the Global Non-Qualified Stock Option Agreement, the “Agreement”), HubSpot, Inc. (the “Company”) hereby grants to the Optionee named above an option (the “Stock Option”) to purchase on or prior to the Expiration Date specified above all or part of the number of shares of Common Stock, par value $0.001 per share (the “Stock”) of the Company specified above at the Option Exercise Price per Share specified above subject to the terms and conditions set forth herein and in the Plan. This Stock Option is not intended to be an “incentive stock option” under Section 422 of the U.S. Internal Revenue Code of 1986, as amended.</w:t>
      </w:r>
    </w:p>
    <w:p>
      <w:pPr>
        <w:spacing w:after="0" w:line="394" w:lineRule="exact"/>
        <w:rPr>
          <w:sz w:val="20"/>
          <w:szCs w:val="20"/>
          <w:color w:val="auto"/>
        </w:rPr>
      </w:pPr>
    </w:p>
    <w:p>
      <w:pPr>
        <w:jc w:val="both"/>
        <w:ind w:firstLine="757"/>
        <w:spacing w:after="0" w:line="239" w:lineRule="auto"/>
        <w:tabs>
          <w:tab w:leader="none" w:pos="1194" w:val="left"/>
        </w:tabs>
        <w:numPr>
          <w:ilvl w:val="0"/>
          <w:numId w:val="9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Vesting Schedule</w:t>
      </w:r>
      <w:r>
        <w:rPr>
          <w:rFonts w:ascii="Times New Roman" w:cs="Times New Roman" w:eastAsia="Times New Roman" w:hAnsi="Times New Roman"/>
          <w:sz w:val="21"/>
          <w:szCs w:val="21"/>
          <w:color w:val="auto"/>
        </w:rPr>
        <w:t>. No portion of this Stock Option may be exercised until such portion shall have become vested and exercisable. Except as set forth below, and subject to the discretion of the Administrator (as defined in Section 2 of the Plan) to accelerate the vesting schedule hereunder, the Option Shares shall vest and become exercisable [in [ ] installments]</w:t>
      </w:r>
      <w:r>
        <w:rPr>
          <w:rFonts w:ascii="Times New Roman" w:cs="Times New Roman" w:eastAsia="Times New Roman" w:hAnsi="Times New Roman"/>
          <w:sz w:val="27"/>
          <w:szCs w:val="27"/>
          <w:color w:val="auto"/>
          <w:vertAlign w:val="superscript"/>
        </w:rPr>
        <w:t>1</w:t>
      </w:r>
      <w:r>
        <w:rPr>
          <w:rFonts w:ascii="Times New Roman" w:cs="Times New Roman" w:eastAsia="Times New Roman" w:hAnsi="Times New Roman"/>
          <w:sz w:val="21"/>
          <w:szCs w:val="21"/>
          <w:color w:val="auto"/>
        </w:rPr>
        <w:t xml:space="preserve"> following the Vesting Commencement Date; provided that the Optionee remains an employee of the Company or a Subsidiary on such date. For the avoidance of doubt, employment during only a period prior to a vesting date (but where employment has terminated prior to the vesting date) does not entitle the Optionee to vest in a pro-rata portion of the Stock Option on such date or entitle the Optionee to compensation for lost vesting. Notwithstanding the foregoing, in the event that the Optionee’s employment with the Company and any Subsidiary terminates due to the Optionee’s death, then the Option Shares shall be deemed fully vested and exercisable upon the date of the Optionee’s death. Once vested and exercisable, this Stock Option shall continue to be exercisable at any time or times prior to the close of business on the Expiration Date, subject to the provisions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35</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ACTIVE/72134752.4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6" w:right="339" w:bottom="1440" w:gutter="0" w:footer="0" w:header="0"/>
        </w:sectPr>
      </w:pPr>
    </w:p>
    <w:bookmarkStart w:id="139" w:name="page140"/>
    <w:bookmarkEnd w:id="139"/>
    <w:p>
      <w:pPr>
        <w:spacing w:after="0" w:line="40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hereof and of the Plan. This Agreement is subject to the terms and conditions of any policies of the Company regarding vesting during leaves of absence.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1276350</wp:posOffset>
            </wp:positionH>
            <wp:positionV relativeFrom="paragraph">
              <wp:posOffset>-198755</wp:posOffset>
            </wp:positionV>
            <wp:extent cx="34290" cy="825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20">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138"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Notwithstanding the foregoing, in the event of a Sale Event (as defined in the Plan) in which this Stock Option is continued or assumed by a successor to the Company, this Stock Option shall be deemed vested and exercisable upon the date on which the Optionee’s employment relationship with the Company and any Subsidiary or successor entity, as the case may be, terminates if such termination occurs (i) within 12 months after such Sale Event or 90 days prior to such Sale Event, and (ii) such termination is by the Company or any Subsidiary or successor entity without Cause or by the Optionee for Good Reason.</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following definitions shall apply:</w:t>
      </w:r>
    </w:p>
    <w:p>
      <w:pPr>
        <w:spacing w:after="0" w:line="202"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Cause</w:t>
      </w:r>
      <w:r>
        <w:rPr>
          <w:rFonts w:ascii="Times New Roman" w:cs="Times New Roman" w:eastAsia="Times New Roman" w:hAnsi="Times New Roman"/>
          <w:sz w:val="21"/>
          <w:szCs w:val="21"/>
          <w:color w:val="auto"/>
        </w:rPr>
        <w:t>” shall mean (i) the Optionee’s dishonest statements or acts with respect to the Company or any affiliate of the Company, or any current or prospective customers, suppliers vendors or other third parties with which such entity does business;</w:t>
      </w:r>
    </w:p>
    <w:p>
      <w:pPr>
        <w:spacing w:after="0" w:line="1" w:lineRule="exact"/>
        <w:rPr>
          <w:sz w:val="20"/>
          <w:szCs w:val="20"/>
          <w:color w:val="auto"/>
        </w:rPr>
      </w:pPr>
    </w:p>
    <w:p>
      <w:pPr>
        <w:jc w:val="both"/>
        <w:ind w:firstLine="8"/>
        <w:spacing w:after="0" w:line="232" w:lineRule="auto"/>
        <w:tabs>
          <w:tab w:leader="none" w:pos="358"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Optionee’s commission of (A) a felony (or crime of similar magnitude under non-U.S. laws, as determined by the Administrator) or (B) any misdemeanor involving moral turpitude, deceit, dishonesty or fraud; (iii) the Optionee’s failure to perform his or her assigned duties and responsibilities to the reasonable satisfaction of the Company or a Subsidiary which failure continues, in the reasonable judgment of the Company or a Subsidiary, after written notice given to the Optionee by the Company or a Subsidiary; (iv) the Optionee’s gross negligence, willful misconduct or insubordination with respect to the Company or any Subsidiary (including, but not limited to, any violation of the Company’s or any Subsidiary's code of conduct, insider trading, willful accounting improprieties or failure to cooperate with investigations); or (v) the Optionee’s material violation of any provision of any agreement(s) between the Optionee and the Company or any Subsidiary relating to noncompetition, nonsolicitation, nondisclosure and/or assignment of inventions.</w:t>
      </w:r>
    </w:p>
    <w:p>
      <w:pPr>
        <w:spacing w:after="0" w:line="174"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i w:val="1"/>
          <w:iCs w:val="1"/>
          <w:color w:val="auto"/>
        </w:rPr>
        <w:t xml:space="preserve">“Good Reason” </w:t>
      </w:r>
      <w:r>
        <w:rPr>
          <w:rFonts w:ascii="Times New Roman" w:cs="Times New Roman" w:eastAsia="Times New Roman" w:hAnsi="Times New Roman"/>
          <w:sz w:val="22"/>
          <w:szCs w:val="22"/>
          <w:color w:val="auto"/>
        </w:rPr>
        <w:t>shall mean (i) a material diminution in the Optionee’s base salary except for across-the-board salary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reductions similarly affecting all or substantially all similarly situated employees of the Company or a Subsidiary or (ii) a change of more than 50 miles in the geographic location at which the Optionee provides services to the Company or a Subsidiary, so long as the Optionee provides notice to the Company or the Subsidiary within at least 90 days following the initial occurrence of any such event and the Company or the Subsidiary fails to cure such event within 30 days of such notice.</w:t>
      </w:r>
    </w:p>
    <w:p>
      <w:pPr>
        <w:spacing w:after="0" w:line="181" w:lineRule="exact"/>
        <w:rPr>
          <w:sz w:val="20"/>
          <w:szCs w:val="20"/>
          <w:color w:val="auto"/>
        </w:rPr>
      </w:pPr>
    </w:p>
    <w:p>
      <w:pPr>
        <w:ind w:left="1180" w:hanging="423"/>
        <w:spacing w:after="0"/>
        <w:tabs>
          <w:tab w:leader="none" w:pos="1180" w:val="left"/>
        </w:tabs>
        <w:numPr>
          <w:ilvl w:val="0"/>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Manner of Exercise</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jc w:val="both"/>
        <w:ind w:firstLine="1056"/>
        <w:spacing w:after="0" w:line="239" w:lineRule="auto"/>
        <w:tabs>
          <w:tab w:leader="none" w:pos="1527" w:val="left"/>
        </w:tabs>
        <w:numPr>
          <w:ilvl w:val="1"/>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Optionee may exercise this Stock Option only in the following manner: from time to time on or prior to the Expiration Date of this Stock Option, the Optionee may give written notice to the Administrator of his or her election to purchase some or all of the Option Shares purchasable at the time of such notice. This notice shall specify the number of Option Shares to be purchased.</w:t>
      </w:r>
    </w:p>
    <w:p>
      <w:pPr>
        <w:spacing w:after="0" w:line="207"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Payment of the purchase price for the Option Shares may be made by one or more of the following methods: (i) in cash, by certified or bank check or other instrument acceptable to the Administrator; (ii) if permitted by the Administrator, through the delivery (or attestation to the</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36</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ACTIVE/72134752.4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0" w:name="page141"/>
    <w:bookmarkEnd w:id="140"/>
    <w:p>
      <w:pPr>
        <w:jc w:val="both"/>
        <w:spacing w:after="0" w:line="246" w:lineRule="auto"/>
        <w:rPr>
          <w:sz w:val="20"/>
          <w:szCs w:val="20"/>
          <w:color w:val="auto"/>
        </w:rPr>
      </w:pPr>
      <w:r>
        <w:rPr>
          <w:rFonts w:ascii="Times New Roman" w:cs="Times New Roman" w:eastAsia="Times New Roman" w:hAnsi="Times New Roman"/>
          <w:sz w:val="21"/>
          <w:szCs w:val="21"/>
          <w:color w:val="auto"/>
        </w:rPr>
        <w:t>ownership) of shares of Stock that have been purchased by the Optionee on the open market or that are beneficially owned by the Optionee and are not then subject to any restrictions under any Company plan and that otherwise satisfy any holding periods as may be required by the Administrator; (iii) by the Optionee delivering to the Company a properly executed exercise notice together with irrevocable instructions to a broker to promptly deliver to the Company cash or a check payable and acceptable to the Company to pay the option purchase price, provided that in the event the Optionee chooses to pay the option purchase price as so provided, the Optionee and the broker shall comply with such procedures and enter into such agreements of indemnity and other agreements as the Administrator shall prescribe as a condition of such payment procedure; (iv) if permitted by the Administrator, by a “net exercise” arrangement pursuant to which the Company will reduce the number of shares of Stock issuable upon exercise by the largest whole number of shares with a Fair Market Value that does not exceed the aggregate exercise price; or (v) a combination of (i), (ii), (iii) and (iv) above. Payment instruments will be received subject to collection.</w:t>
      </w:r>
    </w:p>
    <w:p>
      <w:pPr>
        <w:spacing w:after="0" w:line="171" w:lineRule="exact"/>
        <w:rPr>
          <w:sz w:val="20"/>
          <w:szCs w:val="20"/>
          <w:color w:val="auto"/>
        </w:rPr>
      </w:pPr>
    </w:p>
    <w:p>
      <w:pPr>
        <w:jc w:val="both"/>
        <w:ind w:firstLine="749"/>
        <w:spacing w:after="0" w:line="253" w:lineRule="auto"/>
        <w:rPr>
          <w:sz w:val="20"/>
          <w:szCs w:val="20"/>
          <w:color w:val="auto"/>
        </w:rPr>
      </w:pPr>
      <w:r>
        <w:rPr>
          <w:rFonts w:ascii="Times New Roman" w:cs="Times New Roman" w:eastAsia="Times New Roman" w:hAnsi="Times New Roman"/>
          <w:sz w:val="21"/>
          <w:szCs w:val="21"/>
          <w:color w:val="auto"/>
        </w:rPr>
        <w:t>The transfer to the Optionee on the records of the Company or of the transfer agent of the Option Shares will be contingent upon (i) the Company’s receipt from the Optionee of the full purchase price for the Option Shares, as set forth above,</w:t>
      </w:r>
    </w:p>
    <w:p>
      <w:pPr>
        <w:spacing w:after="0" w:line="1" w:lineRule="exact"/>
        <w:rPr>
          <w:sz w:val="20"/>
          <w:szCs w:val="20"/>
          <w:color w:val="auto"/>
        </w:rPr>
      </w:pPr>
    </w:p>
    <w:p>
      <w:pPr>
        <w:ind w:left="340" w:hanging="332"/>
        <w:spacing w:after="0"/>
        <w:tabs>
          <w:tab w:leader="none" w:pos="340" w:val="left"/>
        </w:tabs>
        <w:numPr>
          <w:ilvl w:val="0"/>
          <w:numId w:val="9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fulfillment of any other requirements contained herein or in the Plan or in any other agreement or provision of laws, and</w:t>
      </w:r>
    </w:p>
    <w:p>
      <w:pPr>
        <w:spacing w:after="0" w:line="1" w:lineRule="exact"/>
        <w:rPr>
          <w:rFonts w:ascii="Times New Roman" w:cs="Times New Roman" w:eastAsia="Times New Roman" w:hAnsi="Times New Roman"/>
          <w:sz w:val="21"/>
          <w:szCs w:val="21"/>
          <w:color w:val="auto"/>
        </w:rPr>
      </w:pPr>
    </w:p>
    <w:p>
      <w:pPr>
        <w:jc w:val="both"/>
        <w:ind w:firstLine="8"/>
        <w:spacing w:after="0" w:line="245" w:lineRule="auto"/>
        <w:tabs>
          <w:tab w:leader="none" w:pos="379" w:val="left"/>
        </w:tabs>
        <w:numPr>
          <w:ilvl w:val="0"/>
          <w:numId w:val="9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receipt by the Company of any agreement, statement or other evidence that the Company may require to satisfy itself that the issuance of Stock to be purchased pursuant to the exercise of Stock Options under the Plan and any subsequent resale of the shares of Stock will be in compliance with applicable laws and regulations. In the event the Optionee chooses to (and the Administrator permits to) pay the purchase price by previously-owned shares of Stock through the attestation method, the number of shares of Stock transferred to the Optionee upon the exercise of the Stock Option shall be net of the Shares attested to.</w:t>
      </w:r>
    </w:p>
    <w:p>
      <w:pPr>
        <w:spacing w:after="0" w:line="174" w:lineRule="exact"/>
        <w:rPr>
          <w:rFonts w:ascii="Times New Roman" w:cs="Times New Roman" w:eastAsia="Times New Roman" w:hAnsi="Times New Roman"/>
          <w:sz w:val="21"/>
          <w:szCs w:val="21"/>
          <w:color w:val="auto"/>
        </w:rPr>
      </w:pPr>
    </w:p>
    <w:p>
      <w:pPr>
        <w:jc w:val="both"/>
        <w:ind w:firstLine="1056"/>
        <w:spacing w:after="0" w:line="234" w:lineRule="auto"/>
        <w:tabs>
          <w:tab w:leader="none" w:pos="1527" w:val="left"/>
        </w:tabs>
        <w:numPr>
          <w:ilvl w:val="1"/>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shares of Stock purchased upon exercise of this Stock Option shall be transferred to the Optionee on the records of the Company or of the transfer agent upon compliance to the satisfaction of the Administrator with all requirements under applicable laws or regulations in connection with such transfer and with the requirements hereof and of the Plan. The determination of the Administrator as to such compliance shall be final and binding on the Optionee. The Optionee shall not be deemed to be the holder of, or to have any of the rights of a holder with respect to, any shares of Stock subject to this Stock Option unless and until this Stock Option shall have been exercised pursuant to the terms hereof, the Company or the transfer agent shall have transferred the shares to the Optionee, and the Optionee’s name shall have been entered as the stockholder of record on the books of the Company. Thereupon, the Optionee shall have full voting, dividend and other ownership rights with respect to such shares of Stock.</w:t>
      </w:r>
    </w:p>
    <w:p>
      <w:pPr>
        <w:spacing w:after="0" w:line="75" w:lineRule="exact"/>
        <w:rPr>
          <w:rFonts w:ascii="Times New Roman" w:cs="Times New Roman" w:eastAsia="Times New Roman" w:hAnsi="Times New Roman"/>
          <w:sz w:val="22"/>
          <w:szCs w:val="22"/>
          <w:color w:val="auto"/>
        </w:rPr>
      </w:pPr>
    </w:p>
    <w:p>
      <w:pPr>
        <w:jc w:val="both"/>
        <w:ind w:firstLine="1056"/>
        <w:spacing w:after="0" w:line="244" w:lineRule="auto"/>
        <w:tabs>
          <w:tab w:leader="none" w:pos="1527" w:val="left"/>
        </w:tabs>
        <w:numPr>
          <w:ilvl w:val="1"/>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minimum number of shares with respect to which this Stock Option may be exercised at any one time shall be 100 shares, unless the number of shares with respect to which this Stock Option is being exercised is the total number of shares subject to exercise under this Stock Option at the time.</w:t>
      </w:r>
    </w:p>
    <w:p>
      <w:pPr>
        <w:spacing w:after="0" w:line="65" w:lineRule="exact"/>
        <w:rPr>
          <w:rFonts w:ascii="Times New Roman" w:cs="Times New Roman" w:eastAsia="Times New Roman" w:hAnsi="Times New Roman"/>
          <w:sz w:val="22"/>
          <w:szCs w:val="22"/>
          <w:color w:val="auto"/>
        </w:rPr>
      </w:pPr>
    </w:p>
    <w:p>
      <w:pPr>
        <w:ind w:firstLine="1056"/>
        <w:spacing w:after="0" w:line="258" w:lineRule="auto"/>
        <w:tabs>
          <w:tab w:leader="none" w:pos="1527" w:val="left"/>
        </w:tabs>
        <w:numPr>
          <w:ilvl w:val="1"/>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 other provision hereof or of the Plan, no portion of this Stock Option shall be exercisable after the Expiration Date hereof.</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37</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ACTIVE/72134752.4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41" w:name="page142"/>
    <w:bookmarkEnd w:id="141"/>
    <w:p>
      <w:pPr>
        <w:ind w:right="20" w:firstLine="757"/>
        <w:spacing w:after="0" w:line="258" w:lineRule="auto"/>
        <w:tabs>
          <w:tab w:leader="none" w:pos="1221" w:val="left"/>
        </w:tabs>
        <w:numPr>
          <w:ilvl w:val="0"/>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 of Employment</w:t>
      </w:r>
      <w:r>
        <w:rPr>
          <w:rFonts w:ascii="Times New Roman" w:cs="Times New Roman" w:eastAsia="Times New Roman" w:hAnsi="Times New Roman"/>
          <w:sz w:val="22"/>
          <w:szCs w:val="22"/>
          <w:color w:val="auto"/>
        </w:rPr>
        <w:t>. If the Optionee’s employment by the Company or a Subsidiary is terminated, the period within which to exercise the Stock Option may be subject to earlier termination as set forth below.</w:t>
      </w:r>
    </w:p>
    <w:p>
      <w:pPr>
        <w:spacing w:after="0" w:line="158" w:lineRule="exact"/>
        <w:rPr>
          <w:rFonts w:ascii="Times New Roman" w:cs="Times New Roman" w:eastAsia="Times New Roman" w:hAnsi="Times New Roman"/>
          <w:sz w:val="22"/>
          <w:szCs w:val="22"/>
          <w:color w:val="auto"/>
        </w:rPr>
      </w:pPr>
    </w:p>
    <w:p>
      <w:pPr>
        <w:jc w:val="both"/>
        <w:ind w:firstLine="1505"/>
        <w:spacing w:after="0" w:line="239" w:lineRule="auto"/>
        <w:tabs>
          <w:tab w:leader="none" w:pos="2036" w:val="left"/>
        </w:tabs>
        <w:numPr>
          <w:ilvl w:val="1"/>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 Due to Death</w:t>
      </w:r>
      <w:r>
        <w:rPr>
          <w:rFonts w:ascii="Times New Roman" w:cs="Times New Roman" w:eastAsia="Times New Roman" w:hAnsi="Times New Roman"/>
          <w:sz w:val="22"/>
          <w:szCs w:val="22"/>
          <w:color w:val="auto"/>
        </w:rPr>
        <w:t>. If the Optionee’s employment terminates by reason of the Optionee’s death, any portion of this Stock Option outstanding on such date, to the extent exercisable on the date of death, may thereafter be exercised by the Optionee’s legal representative or legatee for a period of 12 months from the date of death or until the Expiration Date, if earlier.</w:t>
      </w:r>
    </w:p>
    <w:p>
      <w:pPr>
        <w:spacing w:after="0" w:line="180" w:lineRule="exact"/>
        <w:rPr>
          <w:rFonts w:ascii="Times New Roman" w:cs="Times New Roman" w:eastAsia="Times New Roman" w:hAnsi="Times New Roman"/>
          <w:sz w:val="22"/>
          <w:szCs w:val="22"/>
          <w:color w:val="auto"/>
        </w:rPr>
      </w:pPr>
    </w:p>
    <w:p>
      <w:pPr>
        <w:jc w:val="both"/>
        <w:ind w:firstLine="1505"/>
        <w:spacing w:after="0" w:line="238" w:lineRule="auto"/>
        <w:tabs>
          <w:tab w:leader="none" w:pos="2036" w:val="left"/>
        </w:tabs>
        <w:numPr>
          <w:ilvl w:val="1"/>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 Due to Disability</w:t>
      </w:r>
      <w:r>
        <w:rPr>
          <w:rFonts w:ascii="Times New Roman" w:cs="Times New Roman" w:eastAsia="Times New Roman" w:hAnsi="Times New Roman"/>
          <w:sz w:val="22"/>
          <w:szCs w:val="22"/>
          <w:color w:val="auto"/>
        </w:rPr>
        <w:t>. If the Optionee’s employment terminates by reason of the Optionee’s disability (as determined by the Administrator), any portion of this Stock Option outstanding on such date, to the extent vested and exercisable on the date of such disability, may thereafter be exercised by the Optionee for a period of 12 months from the date of disability or until the Expiration Date, if earlier. Any portion of this Stock Option that is not vested and exercisable on the date of disability shall terminate immediately and be of no further force or effect.</w:t>
      </w:r>
    </w:p>
    <w:p>
      <w:pPr>
        <w:spacing w:after="0" w:line="176" w:lineRule="exact"/>
        <w:rPr>
          <w:rFonts w:ascii="Times New Roman" w:cs="Times New Roman" w:eastAsia="Times New Roman" w:hAnsi="Times New Roman"/>
          <w:sz w:val="22"/>
          <w:szCs w:val="22"/>
          <w:color w:val="auto"/>
        </w:rPr>
      </w:pPr>
    </w:p>
    <w:p>
      <w:pPr>
        <w:jc w:val="both"/>
        <w:ind w:firstLine="1505"/>
        <w:spacing w:after="0" w:line="248" w:lineRule="auto"/>
        <w:tabs>
          <w:tab w:leader="none" w:pos="2036" w:val="left"/>
        </w:tabs>
        <w:numPr>
          <w:ilvl w:val="1"/>
          <w:numId w:val="9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Termination for Cause</w:t>
      </w:r>
      <w:r>
        <w:rPr>
          <w:rFonts w:ascii="Times New Roman" w:cs="Times New Roman" w:eastAsia="Times New Roman" w:hAnsi="Times New Roman"/>
          <w:sz w:val="21"/>
          <w:szCs w:val="21"/>
          <w:color w:val="auto"/>
        </w:rPr>
        <w:t>. If the Optionee’s employment terminates for Cause, any portion of this Stock Option outstanding on such date shall terminate immediately and be of no further force and effect. For purposes hereof, “Cause” shall mean a determination by the Administrator that the Optionee shall be dismissed as a result of (i) any material breach by the Optionee of any agreement between the Optionee and the Company or a Subsidiary; (ii) the conviction of, indictment for or plea of nolo contendere by the Optionee to a felony (or crime of similar magnitude under non-U.S. laws, as determined by the Administrator) or a crime involving moral turpitude; or (iii) any material misconduct or willful and deliberate non-performance (other than by reason of disability) by the Optionee of the Optionee’s duties to the Company or a Subsidiary.</w:t>
      </w:r>
    </w:p>
    <w:p>
      <w:pPr>
        <w:spacing w:after="0" w:line="170" w:lineRule="exact"/>
        <w:rPr>
          <w:rFonts w:ascii="Times New Roman" w:cs="Times New Roman" w:eastAsia="Times New Roman" w:hAnsi="Times New Roman"/>
          <w:sz w:val="21"/>
          <w:szCs w:val="21"/>
          <w:color w:val="auto"/>
        </w:rPr>
      </w:pPr>
    </w:p>
    <w:p>
      <w:pPr>
        <w:jc w:val="both"/>
        <w:ind w:firstLine="1505"/>
        <w:spacing w:after="0" w:line="236" w:lineRule="auto"/>
        <w:tabs>
          <w:tab w:leader="none" w:pos="2036" w:val="left"/>
        </w:tabs>
        <w:numPr>
          <w:ilvl w:val="1"/>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Other Termination</w:t>
      </w:r>
      <w:r>
        <w:rPr>
          <w:rFonts w:ascii="Times New Roman" w:cs="Times New Roman" w:eastAsia="Times New Roman" w:hAnsi="Times New Roman"/>
          <w:sz w:val="22"/>
          <w:szCs w:val="22"/>
          <w:color w:val="auto"/>
        </w:rPr>
        <w:t>. If the Optionee’s employment terminates for any reason other than the Optionee’s death, the Optionee’s disability, or Cause, and unless otherwise determined by the Administrator, any portion of this Stock Option outstanding on such date may be exercised, to the extent vested and exercisable on the date of termination (after giving effect to any accelerated vesting in Section 1 above), for a period of three months from the date of termination or until the Expiration Date, if earlier. Any portion of this Stock Option that is not vested and exercisable on the date of termination shall terminate immediately and be of no further force or effect.</w:t>
      </w:r>
    </w:p>
    <w:p>
      <w:pPr>
        <w:spacing w:after="0" w:line="181"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22"/>
          <w:szCs w:val="22"/>
          <w:color w:val="auto"/>
        </w:rPr>
        <w:t>The Administrator’s determination of the reason for termination and the date of termination of the Optionee’s employment shall be conclusive and binding on the Optionee and his or her representatives or legatees.</w:t>
      </w:r>
    </w:p>
    <w:p>
      <w:pPr>
        <w:spacing w:after="0" w:line="158" w:lineRule="exact"/>
        <w:rPr>
          <w:sz w:val="20"/>
          <w:szCs w:val="20"/>
          <w:color w:val="auto"/>
        </w:rPr>
      </w:pPr>
    </w:p>
    <w:p>
      <w:pPr>
        <w:jc w:val="both"/>
        <w:ind w:firstLine="757"/>
        <w:spacing w:after="0" w:line="239" w:lineRule="auto"/>
        <w:tabs>
          <w:tab w:leader="none" w:pos="1194" w:val="left"/>
        </w:tabs>
        <w:numPr>
          <w:ilvl w:val="0"/>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Incorporation of Plan</w:t>
      </w:r>
      <w:r>
        <w:rPr>
          <w:rFonts w:ascii="Times New Roman" w:cs="Times New Roman" w:eastAsia="Times New Roman" w:hAnsi="Times New Roman"/>
          <w:sz w:val="22"/>
          <w:szCs w:val="22"/>
          <w:color w:val="auto"/>
        </w:rPr>
        <w:t>. Notwithstanding anything herein to the contrary, this Stock Option shall be subject to and governed by all the terms and conditions of the Plan, including the powers of the Administrator set forth in Section 2(b) of the Plan. Capitalized terms in this Agreement shall have the meaning specified in the Plan, unless a different meaning is specified herein.</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38</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ACTIVE/72134752.4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42" w:name="page143"/>
    <w:bookmarkEnd w:id="142"/>
    <w:p>
      <w:pPr>
        <w:jc w:val="both"/>
        <w:ind w:right="300" w:firstLine="757"/>
        <w:spacing w:after="0" w:line="239" w:lineRule="auto"/>
        <w:tabs>
          <w:tab w:leader="none" w:pos="1181" w:val="left"/>
        </w:tabs>
        <w:numPr>
          <w:ilvl w:val="0"/>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Transferability</w:t>
      </w:r>
      <w:r>
        <w:rPr>
          <w:rFonts w:ascii="Times New Roman" w:cs="Times New Roman" w:eastAsia="Times New Roman" w:hAnsi="Times New Roman"/>
          <w:sz w:val="22"/>
          <w:szCs w:val="22"/>
          <w:color w:val="auto"/>
        </w:rPr>
        <w:t>. This Agreement is personal to the Optionee, is non-assignable and is not transferable in any manner, by operation of law or otherwise, other than by will or the laws of descent and distribution. This Stock Option is exercisable, during the Optionee’s lifetime, only by the Optionee, and thereafter, only by the Optionee’s legal representative or legatee.</w:t>
      </w:r>
    </w:p>
    <w:p>
      <w:pPr>
        <w:spacing w:after="0" w:line="180" w:lineRule="exact"/>
        <w:rPr>
          <w:rFonts w:ascii="Times New Roman" w:cs="Times New Roman" w:eastAsia="Times New Roman" w:hAnsi="Times New Roman"/>
          <w:sz w:val="22"/>
          <w:szCs w:val="22"/>
          <w:color w:val="auto"/>
        </w:rPr>
      </w:pPr>
    </w:p>
    <w:p>
      <w:pPr>
        <w:ind w:left="1180" w:hanging="423"/>
        <w:spacing w:after="0"/>
        <w:tabs>
          <w:tab w:leader="none" w:pos="1180" w:val="left"/>
        </w:tabs>
        <w:numPr>
          <w:ilvl w:val="0"/>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Responsibility for Taxes</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jc w:val="both"/>
        <w:ind w:firstLine="1056"/>
        <w:spacing w:after="0" w:line="247" w:lineRule="exact"/>
        <w:tabs>
          <w:tab w:leader="none" w:pos="1527" w:val="left"/>
        </w:tabs>
        <w:numPr>
          <w:ilvl w:val="1"/>
          <w:numId w:val="9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Optionee acknowledges that, regardless of any action taken by the Company or, if different, the Subsidiary employing the Optionee (the “Employer”), the ultimate liability for all income tax, social insurance, payroll tax, fringe benefits tax, payment on account or other tax</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related items related to the Optionee’s participation in the Plan and legally applicable to the Optionee or deemed by the Company or the Employee in its discretion to be an appropriate charge to the Optionee even if legally applicable to the Company or the Employer (“Tax-Related Items”) is and remains the Optionee’s responsibility and may exceed the amount, if any, actually withheld by the Company or the Employer. The Optionee further acknowledges that the Company and/or the Employer (i) make no representations or undertakings regarding the treatment of any Tax-Related Items in connection with any aspect of this Stock Option, including, but not limited to, the grant, vesting or exercise of this Stock Option, the subsequent sale of shares of Stock acquired pursuant to such exercise and the receipt of any dividends; and (ii) do not commit to and are under no obligation to structure the terms of the grant or any aspect of this Stock Option to reduce or eliminate the Optionee’s liability for Tax-Related Items or achieve any particular tax result. Further, if the Optionee is subject to Tax-Related Items in more than one jurisdiction, the Optionee acknowledges that the Company and/or the Employer (or former employer, as applicable) may be required to withhold or account for Tax-Related Items in more than one jurisdiction.</w:t>
      </w:r>
    </w:p>
    <w:p>
      <w:pPr>
        <w:spacing w:after="0" w:line="75" w:lineRule="exact"/>
        <w:rPr>
          <w:rFonts w:ascii="Times New Roman" w:cs="Times New Roman" w:eastAsia="Times New Roman" w:hAnsi="Times New Roman"/>
          <w:sz w:val="21"/>
          <w:szCs w:val="21"/>
          <w:color w:val="auto"/>
        </w:rPr>
      </w:pPr>
    </w:p>
    <w:p>
      <w:pPr>
        <w:jc w:val="both"/>
        <w:ind w:firstLine="1056"/>
        <w:spacing w:after="0" w:line="233" w:lineRule="auto"/>
        <w:tabs>
          <w:tab w:leader="none" w:pos="1527" w:val="left"/>
        </w:tabs>
        <w:numPr>
          <w:ilvl w:val="1"/>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connection with any relevant taxable or tax withholding event, as applicable, the Optionee agrees to make adequate arrangements satisfactory to the Company and/or the Employer to satisfy all Tax-Related Items. In this regard, the Optionee authorizes the Company and/or the Employer, or their respective agents, at their discretion, to satisfy any applicable withholding obligations with regard to all Tax-Related Items by one or a combination of the following: (i) withholding from the Optionee’s wages or other cash compensation payable to the Optionee by the Company and/or the Employer; (ii) allowing or requiring the Optionee to make a cash payment to cover the Tax-Related Items; (iii) withholding from proceeds of the sale of shares of Stock acquired upon exercise of this Stock Option either through a voluntary sale or through a mandatory sale arranged by the Company (on the Optionee’s behalf pursuant to this authorization without further consent); (iv) withholding from the shares of Stock to be issued to the Optionee upon exercise of this Stock Option; or (v) any other method of withholding determined by the Company and permitted by applicable law; provided, however, that that if the Optionee is a Section 16 officer of the Company under the Exchange Act, in which case, the obligation for Tax-Related Items may be satisfied only by one or a combination of methods (i), (ii) and (iii) above.</w:t>
      </w:r>
    </w:p>
    <w:p>
      <w:pPr>
        <w:spacing w:after="0" w:line="76" w:lineRule="exact"/>
        <w:rPr>
          <w:rFonts w:ascii="Times New Roman" w:cs="Times New Roman" w:eastAsia="Times New Roman" w:hAnsi="Times New Roman"/>
          <w:sz w:val="22"/>
          <w:szCs w:val="22"/>
          <w:color w:val="auto"/>
        </w:rPr>
      </w:pPr>
    </w:p>
    <w:p>
      <w:pPr>
        <w:jc w:val="both"/>
        <w:ind w:firstLine="1056"/>
        <w:spacing w:after="0" w:line="238" w:lineRule="auto"/>
        <w:tabs>
          <w:tab w:leader="none" w:pos="1527" w:val="left"/>
        </w:tabs>
        <w:numPr>
          <w:ilvl w:val="1"/>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and/or the Employer may withhold or account for Tax-Related Items by considering statutory or other withholding rates, including maximum rates applicable in the Optionee’s jurisdiction. In the event of over-withholding the Optionee may receive a refund of any over-withheld amount in cash through the Employer's normal payroll processes (with no entitlement to the equivalent in Stock) or, if not refunded, the Optionee may seek a refund from the local tax authorities. In the event of under-withholding, the Optionee may be required to pay</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39</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ACTIVE/72134752.4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43" w:name="page144"/>
    <w:bookmarkEnd w:id="143"/>
    <w:p>
      <w:pPr>
        <w:spacing w:after="0" w:line="76"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additional Tax-Related Items directly to the applicable tax authority or to the Company and/or the Employer. If the obligation for Tax-Related Items is satisfied by withholding in shares of Stock, for tax purposes, the Optionee is deemed to have been issued the full number of shares of Stock subject to the exercised Stock Option, notwithstanding that a number of the shares of Stock is held back solely for the purpose of paying the Tax-Related Items.</w:t>
      </w:r>
    </w:p>
    <w:p>
      <w:pPr>
        <w:spacing w:after="0" w:line="72" w:lineRule="exact"/>
        <w:rPr>
          <w:sz w:val="20"/>
          <w:szCs w:val="20"/>
          <w:color w:val="auto"/>
        </w:rPr>
      </w:pPr>
    </w:p>
    <w:p>
      <w:pPr>
        <w:jc w:val="both"/>
        <w:ind w:firstLine="1056"/>
        <w:spacing w:after="0" w:line="238" w:lineRule="auto"/>
        <w:tabs>
          <w:tab w:leader="none" w:pos="1527" w:val="left"/>
        </w:tabs>
        <w:numPr>
          <w:ilvl w:val="1"/>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Optionee agrees to pay to the Company or the Employer any amount of Tax-Related Items that the Company or the Employer may be required to withhold or account for as a result of the Optionee’s participation in the Plan that cannot be satisfied by the means previously described. The Company may refuse to issue or deliver the shares of Stock, or the proceeds of the sale of shares of Stock, if the Optionee fails to comply with his or her obligations in connection with the Tax-Related Items.</w:t>
      </w:r>
    </w:p>
    <w:p>
      <w:pPr>
        <w:spacing w:after="0" w:line="203" w:lineRule="exact"/>
        <w:rPr>
          <w:rFonts w:ascii="Times New Roman" w:cs="Times New Roman" w:eastAsia="Times New Roman" w:hAnsi="Times New Roman"/>
          <w:sz w:val="22"/>
          <w:szCs w:val="22"/>
          <w:color w:val="auto"/>
        </w:rPr>
      </w:pPr>
    </w:p>
    <w:p>
      <w:pPr>
        <w:ind w:right="60" w:firstLine="757"/>
        <w:spacing w:after="0" w:line="239" w:lineRule="auto"/>
        <w:tabs>
          <w:tab w:leader="none" w:pos="1181" w:val="left"/>
        </w:tabs>
        <w:numPr>
          <w:ilvl w:val="0"/>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Obligation to Continue Employment</w:t>
      </w:r>
      <w:r>
        <w:rPr>
          <w:rFonts w:ascii="Times New Roman" w:cs="Times New Roman" w:eastAsia="Times New Roman" w:hAnsi="Times New Roman"/>
          <w:sz w:val="22"/>
          <w:szCs w:val="22"/>
          <w:color w:val="auto"/>
        </w:rPr>
        <w:t>. The grant of this Stock Option shall not be interpreted as forming or amending an employment contract with the Company or any Subsidiary (including the Employer), and shall not be construed as giving the Optionee the right to be retained in the employ of the Employer. Neither the Plan nor this Agreement shall interfere in any way with the right of the Employer to terminate the employment of the Optionee at any time.</w:t>
      </w:r>
    </w:p>
    <w:p>
      <w:pPr>
        <w:spacing w:after="0" w:line="180" w:lineRule="exact"/>
        <w:rPr>
          <w:rFonts w:ascii="Times New Roman" w:cs="Times New Roman" w:eastAsia="Times New Roman" w:hAnsi="Times New Roman"/>
          <w:sz w:val="22"/>
          <w:szCs w:val="22"/>
          <w:color w:val="auto"/>
        </w:rPr>
      </w:pPr>
    </w:p>
    <w:p>
      <w:pPr>
        <w:ind w:right="140" w:firstLine="757"/>
        <w:spacing w:after="0" w:line="258" w:lineRule="auto"/>
        <w:tabs>
          <w:tab w:leader="none" w:pos="1181" w:val="left"/>
        </w:tabs>
        <w:numPr>
          <w:ilvl w:val="0"/>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Integration</w:t>
      </w:r>
      <w:r>
        <w:rPr>
          <w:rFonts w:ascii="Times New Roman" w:cs="Times New Roman" w:eastAsia="Times New Roman" w:hAnsi="Times New Roman"/>
          <w:sz w:val="22"/>
          <w:szCs w:val="22"/>
          <w:color w:val="auto"/>
        </w:rPr>
        <w:t>. This Agreement constitutes the entire agreement between the parties with respect to this Stock Option and supersedes all prior agreements and discussions between the parties concerning such subject matter.</w:t>
      </w:r>
    </w:p>
    <w:p>
      <w:pPr>
        <w:spacing w:after="0" w:line="158" w:lineRule="exact"/>
        <w:rPr>
          <w:rFonts w:ascii="Times New Roman" w:cs="Times New Roman" w:eastAsia="Times New Roman" w:hAnsi="Times New Roman"/>
          <w:sz w:val="22"/>
          <w:szCs w:val="22"/>
          <w:color w:val="auto"/>
        </w:rPr>
      </w:pPr>
    </w:p>
    <w:p>
      <w:pPr>
        <w:ind w:left="1180" w:hanging="423"/>
        <w:spacing w:after="0"/>
        <w:tabs>
          <w:tab w:leader="none" w:pos="1180" w:val="left"/>
        </w:tabs>
        <w:numPr>
          <w:ilvl w:val="0"/>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Nature of Grant</w:t>
      </w:r>
      <w:r>
        <w:rPr>
          <w:rFonts w:ascii="Times New Roman" w:cs="Times New Roman" w:eastAsia="Times New Roman" w:hAnsi="Times New Roman"/>
          <w:sz w:val="22"/>
          <w:szCs w:val="22"/>
          <w:color w:val="auto"/>
        </w:rPr>
        <w:t>. By accepting this Stock Option, the Optionee acknowledges, understands and agrees that:</w:t>
      </w:r>
    </w:p>
    <w:p>
      <w:pPr>
        <w:spacing w:after="0" w:line="206" w:lineRule="exact"/>
        <w:rPr>
          <w:rFonts w:ascii="Times New Roman" w:cs="Times New Roman" w:eastAsia="Times New Roman" w:hAnsi="Times New Roman"/>
          <w:sz w:val="22"/>
          <w:szCs w:val="22"/>
          <w:color w:val="auto"/>
        </w:rPr>
      </w:pPr>
    </w:p>
    <w:p>
      <w:pPr>
        <w:ind w:firstLine="1505"/>
        <w:spacing w:after="0" w:line="258" w:lineRule="auto"/>
        <w:tabs>
          <w:tab w:leader="none" w:pos="2036" w:val="left"/>
        </w:tabs>
        <w:numPr>
          <w:ilvl w:val="2"/>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Plan is established voluntarily by the Company, it is discretionary in nature, and may be modified, amended, suspended or terminated by the Company at any time, to the extent permitted by the Plan;</w:t>
      </w:r>
    </w:p>
    <w:p>
      <w:pPr>
        <w:spacing w:after="0" w:line="158" w:lineRule="exact"/>
        <w:rPr>
          <w:rFonts w:ascii="Times New Roman" w:cs="Times New Roman" w:eastAsia="Times New Roman" w:hAnsi="Times New Roman"/>
          <w:sz w:val="22"/>
          <w:szCs w:val="22"/>
          <w:color w:val="auto"/>
        </w:rPr>
      </w:pPr>
    </w:p>
    <w:p>
      <w:pPr>
        <w:jc w:val="both"/>
        <w:ind w:firstLine="1505"/>
        <w:spacing w:after="0" w:line="244" w:lineRule="auto"/>
        <w:tabs>
          <w:tab w:leader="none" w:pos="2036" w:val="left"/>
        </w:tabs>
        <w:numPr>
          <w:ilvl w:val="2"/>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grant of this Stock Option is exceptional, voluntary and occasional and does not create any contractual or other right to receive future grants of stock options, or benefits in lieu of stock options, even if stock options have been granted in the past;</w:t>
      </w:r>
    </w:p>
    <w:p>
      <w:pPr>
        <w:spacing w:after="0" w:line="173" w:lineRule="exact"/>
        <w:rPr>
          <w:rFonts w:ascii="Times New Roman" w:cs="Times New Roman" w:eastAsia="Times New Roman" w:hAnsi="Times New Roman"/>
          <w:sz w:val="22"/>
          <w:szCs w:val="22"/>
          <w:color w:val="auto"/>
        </w:rPr>
      </w:pPr>
    </w:p>
    <w:p>
      <w:pPr>
        <w:ind w:left="2040" w:hanging="535"/>
        <w:spacing w:after="0"/>
        <w:tabs>
          <w:tab w:leader="none" w:pos="2040" w:val="left"/>
        </w:tabs>
        <w:numPr>
          <w:ilvl w:val="2"/>
          <w:numId w:val="9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all decisions with respect to future stock option or other grants, if any, will be at the sole discretion of the</w:t>
      </w:r>
    </w:p>
    <w:p>
      <w:pPr>
        <w:spacing w:after="0" w:line="25"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Company;</w:t>
      </w:r>
    </w:p>
    <w:p>
      <w:pPr>
        <w:spacing w:after="0" w:line="182" w:lineRule="exact"/>
        <w:rPr>
          <w:rFonts w:ascii="Times New Roman" w:cs="Times New Roman" w:eastAsia="Times New Roman" w:hAnsi="Times New Roman"/>
          <w:sz w:val="21"/>
          <w:szCs w:val="21"/>
          <w:color w:val="auto"/>
        </w:rPr>
      </w:pPr>
    </w:p>
    <w:p>
      <w:pPr>
        <w:ind w:left="2040" w:hanging="535"/>
        <w:spacing w:after="0"/>
        <w:tabs>
          <w:tab w:leader="none" w:pos="2040" w:val="left"/>
        </w:tabs>
        <w:numPr>
          <w:ilvl w:val="2"/>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Optionee is voluntarily participating in the Plan;</w:t>
      </w:r>
    </w:p>
    <w:p>
      <w:pPr>
        <w:spacing w:after="0" w:line="206" w:lineRule="exact"/>
        <w:rPr>
          <w:rFonts w:ascii="Times New Roman" w:cs="Times New Roman" w:eastAsia="Times New Roman" w:hAnsi="Times New Roman"/>
          <w:sz w:val="22"/>
          <w:szCs w:val="22"/>
          <w:color w:val="auto"/>
        </w:rPr>
      </w:pPr>
    </w:p>
    <w:p>
      <w:pPr>
        <w:ind w:firstLine="1505"/>
        <w:spacing w:after="0" w:line="258" w:lineRule="auto"/>
        <w:tabs>
          <w:tab w:leader="none" w:pos="2036" w:val="left"/>
        </w:tabs>
        <w:numPr>
          <w:ilvl w:val="2"/>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Stock Option and the Option Shares subject to this Stock Option, and the income from and value of same, are not intended to replace any pension rights or compensation;</w:t>
      </w:r>
    </w:p>
    <w:p>
      <w:pPr>
        <w:spacing w:after="0" w:line="158" w:lineRule="exact"/>
        <w:rPr>
          <w:rFonts w:ascii="Times New Roman" w:cs="Times New Roman" w:eastAsia="Times New Roman" w:hAnsi="Times New Roman"/>
          <w:sz w:val="22"/>
          <w:szCs w:val="22"/>
          <w:color w:val="auto"/>
        </w:rPr>
      </w:pPr>
    </w:p>
    <w:p>
      <w:pPr>
        <w:jc w:val="both"/>
        <w:ind w:firstLine="1505"/>
        <w:spacing w:after="0" w:line="244" w:lineRule="auto"/>
        <w:tabs>
          <w:tab w:leader="none" w:pos="2036" w:val="left"/>
        </w:tabs>
        <w:numPr>
          <w:ilvl w:val="2"/>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unless otherwise agreed with the Company, this Stock Option and the Option Shares subject to this Stock Option, and the income from and value of same, are not granted as consideration for, or in connection with, the service the Optionee may provide as a director of a Subsidiary or Affiliate;</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40</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ACTIVE/72134752.4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4" w:name="page145"/>
    <w:bookmarkEnd w:id="144"/>
    <w:p>
      <w:pPr>
        <w:jc w:val="both"/>
        <w:ind w:firstLine="1505"/>
        <w:spacing w:after="0" w:line="239" w:lineRule="auto"/>
        <w:tabs>
          <w:tab w:leader="none" w:pos="2036" w:val="left"/>
        </w:tabs>
        <w:numPr>
          <w:ilvl w:val="1"/>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Stock Option and the Option Shares subject to this Stock Option, and the income from and value of same, are not part of normal or expected compensation for purposes of, including, without limitation, calculating any severance, resignation, termination, redundancy, dismissal, end-of-service payments, bonuses, holiday-pay, long-service awards, pension or retirement or welfare benefits or similar payments;</w:t>
      </w:r>
    </w:p>
    <w:p>
      <w:pPr>
        <w:spacing w:after="0" w:line="180" w:lineRule="exact"/>
        <w:rPr>
          <w:rFonts w:ascii="Times New Roman" w:cs="Times New Roman" w:eastAsia="Times New Roman" w:hAnsi="Times New Roman"/>
          <w:sz w:val="22"/>
          <w:szCs w:val="22"/>
          <w:color w:val="auto"/>
        </w:rPr>
      </w:pPr>
    </w:p>
    <w:p>
      <w:pPr>
        <w:ind w:firstLine="1505"/>
        <w:spacing w:after="0" w:line="258" w:lineRule="auto"/>
        <w:tabs>
          <w:tab w:leader="none" w:pos="2036" w:val="left"/>
        </w:tabs>
        <w:numPr>
          <w:ilvl w:val="1"/>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future value of the Option Shares subject to this Stock Option is unknown, indeterminable, and cannot be predicted with certainty;</w:t>
      </w:r>
    </w:p>
    <w:p>
      <w:pPr>
        <w:spacing w:after="0" w:line="158" w:lineRule="exact"/>
        <w:rPr>
          <w:rFonts w:ascii="Times New Roman" w:cs="Times New Roman" w:eastAsia="Times New Roman" w:hAnsi="Times New Roman"/>
          <w:sz w:val="22"/>
          <w:szCs w:val="22"/>
          <w:color w:val="auto"/>
        </w:rPr>
      </w:pPr>
    </w:p>
    <w:p>
      <w:pPr>
        <w:ind w:left="2040" w:hanging="535"/>
        <w:spacing w:after="0"/>
        <w:tabs>
          <w:tab w:leader="none" w:pos="2040" w:val="left"/>
        </w:tabs>
        <w:numPr>
          <w:ilvl w:val="1"/>
          <w:numId w:val="9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the Option Shares subject to this Stock Option do not increase in value, this Stock Option will have no</w:t>
      </w:r>
    </w:p>
    <w:p>
      <w:pPr>
        <w:spacing w:after="0" w:line="25"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value;</w:t>
      </w:r>
    </w:p>
    <w:p>
      <w:pPr>
        <w:spacing w:after="0" w:line="182" w:lineRule="exact"/>
        <w:rPr>
          <w:rFonts w:ascii="Times New Roman" w:cs="Times New Roman" w:eastAsia="Times New Roman" w:hAnsi="Times New Roman"/>
          <w:sz w:val="21"/>
          <w:szCs w:val="21"/>
          <w:color w:val="auto"/>
        </w:rPr>
      </w:pPr>
    </w:p>
    <w:p>
      <w:pPr>
        <w:ind w:firstLine="1505"/>
        <w:spacing w:after="0" w:line="258" w:lineRule="auto"/>
        <w:tabs>
          <w:tab w:leader="none" w:pos="2036" w:val="left"/>
        </w:tabs>
        <w:numPr>
          <w:ilvl w:val="1"/>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Optionee exercises this Stock Option and acquires shares of Stock, the value of such shares may increase or decrease in value, even below the Option Exercise Price;</w:t>
      </w:r>
    </w:p>
    <w:p>
      <w:pPr>
        <w:spacing w:after="0" w:line="158" w:lineRule="exact"/>
        <w:rPr>
          <w:rFonts w:ascii="Times New Roman" w:cs="Times New Roman" w:eastAsia="Times New Roman" w:hAnsi="Times New Roman"/>
          <w:sz w:val="22"/>
          <w:szCs w:val="22"/>
          <w:color w:val="auto"/>
        </w:rPr>
      </w:pPr>
    </w:p>
    <w:p>
      <w:pPr>
        <w:jc w:val="both"/>
        <w:ind w:firstLine="1505"/>
        <w:spacing w:after="0" w:line="239" w:lineRule="auto"/>
        <w:tabs>
          <w:tab w:leader="none" w:pos="2036" w:val="left"/>
        </w:tabs>
        <w:numPr>
          <w:ilvl w:val="1"/>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claim or entitlement to compensation or damages shall arise from forfeiture of this Stock Option resulting from the termination of the Optionee’s employment (for any reason whatsoever, whether or not later found to be invalid or in breach of applicable employment or other laws in the jurisdiction where the Optionee is employed or the terms of the Optionee’s employment agreement, if any);</w:t>
      </w:r>
    </w:p>
    <w:p>
      <w:pPr>
        <w:spacing w:after="0" w:line="180" w:lineRule="exact"/>
        <w:rPr>
          <w:rFonts w:ascii="Times New Roman" w:cs="Times New Roman" w:eastAsia="Times New Roman" w:hAnsi="Times New Roman"/>
          <w:sz w:val="22"/>
          <w:szCs w:val="22"/>
          <w:color w:val="auto"/>
        </w:rPr>
      </w:pPr>
    </w:p>
    <w:p>
      <w:pPr>
        <w:jc w:val="both"/>
        <w:ind w:firstLine="1505"/>
        <w:spacing w:after="0" w:line="239" w:lineRule="auto"/>
        <w:tabs>
          <w:tab w:leader="none" w:pos="2036" w:val="left"/>
        </w:tabs>
        <w:numPr>
          <w:ilvl w:val="1"/>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unless otherwise provided in the Plan or by the Company in its discretion, this Stock Option and the benefits evidenced by this Agreement do not create any entitlement to have this Stock Option or any such benefits transferred to, or assumed by, another company nor to be exchanged, cashed out or substituted for, in connection with any corporate transaction affecting the shares of Stock; and</w:t>
      </w:r>
    </w:p>
    <w:p>
      <w:pPr>
        <w:spacing w:after="0" w:line="180" w:lineRule="exact"/>
        <w:rPr>
          <w:rFonts w:ascii="Times New Roman" w:cs="Times New Roman" w:eastAsia="Times New Roman" w:hAnsi="Times New Roman"/>
          <w:sz w:val="22"/>
          <w:szCs w:val="22"/>
          <w:color w:val="auto"/>
        </w:rPr>
      </w:pPr>
    </w:p>
    <w:p>
      <w:pPr>
        <w:ind w:left="2040" w:hanging="535"/>
        <w:spacing w:after="0"/>
        <w:tabs>
          <w:tab w:leader="none" w:pos="2040" w:val="left"/>
        </w:tabs>
        <w:numPr>
          <w:ilvl w:val="1"/>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Optionee resides and/or works in a country outside the United States, the following shall apply:</w:t>
      </w:r>
    </w:p>
    <w:p>
      <w:pPr>
        <w:spacing w:after="0" w:line="206" w:lineRule="exact"/>
        <w:rPr>
          <w:rFonts w:ascii="Times New Roman" w:cs="Times New Roman" w:eastAsia="Times New Roman" w:hAnsi="Times New Roman"/>
          <w:sz w:val="22"/>
          <w:szCs w:val="22"/>
          <w:color w:val="auto"/>
        </w:rPr>
      </w:pPr>
    </w:p>
    <w:p>
      <w:pPr>
        <w:ind w:left="760" w:firstLine="1494"/>
        <w:spacing w:after="0" w:line="258" w:lineRule="auto"/>
        <w:tabs>
          <w:tab w:leader="none" w:pos="2557" w:val="left"/>
        </w:tabs>
        <w:numPr>
          <w:ilvl w:val="2"/>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Stock Option and any Option Shares subject to this Stock Option, and the income from and value of same, are not part of normal or expected compensation for any purpose;</w:t>
      </w:r>
    </w:p>
    <w:p>
      <w:pPr>
        <w:spacing w:after="0" w:line="158" w:lineRule="exact"/>
        <w:rPr>
          <w:rFonts w:ascii="Times New Roman" w:cs="Times New Roman" w:eastAsia="Times New Roman" w:hAnsi="Times New Roman"/>
          <w:sz w:val="22"/>
          <w:szCs w:val="22"/>
          <w:color w:val="auto"/>
        </w:rPr>
      </w:pPr>
    </w:p>
    <w:p>
      <w:pPr>
        <w:jc w:val="both"/>
        <w:ind w:left="760" w:firstLine="1494"/>
        <w:spacing w:after="0" w:line="239" w:lineRule="auto"/>
        <w:tabs>
          <w:tab w:leader="none" w:pos="2557" w:val="left"/>
        </w:tabs>
        <w:numPr>
          <w:ilvl w:val="2"/>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neither the Company, the Employer nor any other Subsidiary shall be liable for any foreign exchange rate fluctuation between the Optionee’s local currency and the United States Dollar that may affect the value of this Stock Option or of any amounts due to the Optionee pursuant to the exercise of this Stock Option or the subsequent sale of any shares of Stock acquired upon exercise.</w:t>
      </w:r>
    </w:p>
    <w:p>
      <w:pPr>
        <w:spacing w:after="0" w:line="180" w:lineRule="exact"/>
        <w:rPr>
          <w:rFonts w:ascii="Times New Roman" w:cs="Times New Roman" w:eastAsia="Times New Roman" w:hAnsi="Times New Roman"/>
          <w:sz w:val="22"/>
          <w:szCs w:val="22"/>
          <w:color w:val="auto"/>
        </w:rPr>
      </w:pPr>
    </w:p>
    <w:p>
      <w:pPr>
        <w:ind w:right="180" w:firstLine="757"/>
        <w:spacing w:after="0" w:line="236" w:lineRule="auto"/>
        <w:tabs>
          <w:tab w:leader="none" w:pos="1181" w:val="left"/>
        </w:tabs>
        <w:numPr>
          <w:ilvl w:val="0"/>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Appendix</w:t>
      </w:r>
      <w:r>
        <w:rPr>
          <w:rFonts w:ascii="Times New Roman" w:cs="Times New Roman" w:eastAsia="Times New Roman" w:hAnsi="Times New Roman"/>
          <w:sz w:val="22"/>
          <w:szCs w:val="22"/>
          <w:color w:val="auto"/>
        </w:rPr>
        <w:t>. Notwithstanding any provision of this Global Non-Qualified Stock Option Agreement, if the Optionee resides in a country outside the United States or is otherwise subject to the laws of a country other than the United States, this Stock Option shall be subject to the additional terms and conditions set forth in the Appendix for the Optionee’s country, if any. Moreover, if the Optionee relocates to one of the countries included in the Appendix during the term of the Stock Option, the terms and conditions for such country shall apply to the Optionee, to the extent the Company determines that the application of such terms and conditions is</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41</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ACTIVE/72134752.4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45" w:name="page146"/>
    <w:bookmarkEnd w:id="145"/>
    <w:p>
      <w:pPr>
        <w:spacing w:after="0"/>
        <w:rPr>
          <w:sz w:val="20"/>
          <w:szCs w:val="20"/>
          <w:color w:val="auto"/>
        </w:rPr>
      </w:pPr>
      <w:r>
        <w:rPr>
          <w:rFonts w:ascii="Times New Roman" w:cs="Times New Roman" w:eastAsia="Times New Roman" w:hAnsi="Times New Roman"/>
          <w:sz w:val="22"/>
          <w:szCs w:val="22"/>
          <w:color w:val="auto"/>
        </w:rPr>
        <w:t>necessary or advisable for legal or administrative reasons. The Appendix forms part of this Agreement.</w:t>
      </w:r>
    </w:p>
    <w:p>
      <w:pPr>
        <w:spacing w:after="0" w:line="206" w:lineRule="exact"/>
        <w:rPr>
          <w:sz w:val="20"/>
          <w:szCs w:val="20"/>
          <w:color w:val="auto"/>
        </w:rPr>
      </w:pPr>
    </w:p>
    <w:p>
      <w:pPr>
        <w:ind w:firstLine="757"/>
        <w:spacing w:after="0" w:line="238" w:lineRule="auto"/>
        <w:tabs>
          <w:tab w:leader="none" w:pos="1181" w:val="left"/>
        </w:tabs>
        <w:numPr>
          <w:ilvl w:val="0"/>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Language</w:t>
      </w:r>
      <w:r>
        <w:rPr>
          <w:rFonts w:ascii="Times New Roman" w:cs="Times New Roman" w:eastAsia="Times New Roman" w:hAnsi="Times New Roman"/>
          <w:sz w:val="22"/>
          <w:szCs w:val="22"/>
          <w:color w:val="auto"/>
        </w:rPr>
        <w:t>. The Optionee acknowledges that he or she is proficient in the English language or has consulted with an advisor who is sufficiently proficient in English, so as to allow the Optionee to understand the terms and conditions of this Agreement. If the Optionee has received this Agreement, or any other documents related to this Stock Option and/or the Plan translated into a language other than English and if the meaning of the translated version is different than the English version, the English version will control.</w:t>
      </w:r>
    </w:p>
    <w:p>
      <w:pPr>
        <w:spacing w:after="0" w:line="176" w:lineRule="exact"/>
        <w:rPr>
          <w:rFonts w:ascii="Times New Roman" w:cs="Times New Roman" w:eastAsia="Times New Roman" w:hAnsi="Times New Roman"/>
          <w:sz w:val="22"/>
          <w:szCs w:val="22"/>
          <w:color w:val="auto"/>
        </w:rPr>
      </w:pPr>
    </w:p>
    <w:p>
      <w:pPr>
        <w:ind w:right="80" w:firstLine="757"/>
        <w:spacing w:after="0" w:line="244" w:lineRule="auto"/>
        <w:tabs>
          <w:tab w:leader="none" w:pos="1181" w:val="left"/>
        </w:tabs>
        <w:numPr>
          <w:ilvl w:val="0"/>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Notices</w:t>
      </w:r>
      <w:r>
        <w:rPr>
          <w:rFonts w:ascii="Times New Roman" w:cs="Times New Roman" w:eastAsia="Times New Roman" w:hAnsi="Times New Roman"/>
          <w:sz w:val="22"/>
          <w:szCs w:val="22"/>
          <w:color w:val="auto"/>
        </w:rPr>
        <w:t>. Notices hereunder shall be mailed or delivered to the Company at its principal place of business and shall be mailed or delivered to the Optionee at the address on file with the Company or, in either case, at such other address as one party may subsequently furnish to the other party in writing.</w:t>
      </w:r>
    </w:p>
    <w:p>
      <w:pPr>
        <w:spacing w:after="0" w:line="173" w:lineRule="exact"/>
        <w:rPr>
          <w:rFonts w:ascii="Times New Roman" w:cs="Times New Roman" w:eastAsia="Times New Roman" w:hAnsi="Times New Roman"/>
          <w:sz w:val="22"/>
          <w:szCs w:val="22"/>
          <w:color w:val="auto"/>
        </w:rPr>
      </w:pPr>
    </w:p>
    <w:p>
      <w:pPr>
        <w:ind w:right="80" w:firstLine="757"/>
        <w:spacing w:after="0" w:line="244" w:lineRule="auto"/>
        <w:tabs>
          <w:tab w:leader="none" w:pos="1181" w:val="left"/>
        </w:tabs>
        <w:numPr>
          <w:ilvl w:val="0"/>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Waivers</w:t>
      </w:r>
      <w:r>
        <w:rPr>
          <w:rFonts w:ascii="Times New Roman" w:cs="Times New Roman" w:eastAsia="Times New Roman" w:hAnsi="Times New Roman"/>
          <w:sz w:val="22"/>
          <w:szCs w:val="22"/>
          <w:color w:val="auto"/>
        </w:rPr>
        <w:t>. The Optionee acknowledges that a waiver by the Company of breach of any provision of this Agreement shall not operate or be construed as a waiver of any other provision of this Agreement, or of any subsequent breach by the Optionee or any other Optionee.</w:t>
      </w:r>
    </w:p>
    <w:p>
      <w:pPr>
        <w:spacing w:after="0" w:line="173" w:lineRule="exact"/>
        <w:rPr>
          <w:rFonts w:ascii="Times New Roman" w:cs="Times New Roman" w:eastAsia="Times New Roman" w:hAnsi="Times New Roman"/>
          <w:sz w:val="22"/>
          <w:szCs w:val="22"/>
          <w:color w:val="auto"/>
        </w:rPr>
      </w:pPr>
    </w:p>
    <w:p>
      <w:pPr>
        <w:ind w:right="240" w:firstLine="757"/>
        <w:spacing w:after="0" w:line="258" w:lineRule="auto"/>
        <w:tabs>
          <w:tab w:leader="none" w:pos="1181" w:val="left"/>
        </w:tabs>
        <w:numPr>
          <w:ilvl w:val="0"/>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Choice of Law</w:t>
      </w:r>
      <w:r>
        <w:rPr>
          <w:rFonts w:ascii="Times New Roman" w:cs="Times New Roman" w:eastAsia="Times New Roman" w:hAnsi="Times New Roman"/>
          <w:sz w:val="22"/>
          <w:szCs w:val="22"/>
          <w:color w:val="auto"/>
        </w:rPr>
        <w:t>. This Agreement shall be governed by, and construed in accordance with, the laws of the State of Delaware, applied without regard to conflict of law principles.</w:t>
      </w:r>
    </w:p>
    <w:p>
      <w:pPr>
        <w:spacing w:after="0" w:line="158" w:lineRule="exact"/>
        <w:rPr>
          <w:rFonts w:ascii="Times New Roman" w:cs="Times New Roman" w:eastAsia="Times New Roman" w:hAnsi="Times New Roman"/>
          <w:sz w:val="22"/>
          <w:szCs w:val="22"/>
          <w:color w:val="auto"/>
        </w:rPr>
      </w:pPr>
    </w:p>
    <w:p>
      <w:pPr>
        <w:ind w:right="40" w:firstLine="757"/>
        <w:spacing w:after="0" w:line="239" w:lineRule="auto"/>
        <w:tabs>
          <w:tab w:leader="none" w:pos="1181" w:val="left"/>
        </w:tabs>
        <w:numPr>
          <w:ilvl w:val="0"/>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Venue</w:t>
      </w:r>
      <w:r>
        <w:rPr>
          <w:rFonts w:ascii="Times New Roman" w:cs="Times New Roman" w:eastAsia="Times New Roman" w:hAnsi="Times New Roman"/>
          <w:sz w:val="22"/>
          <w:szCs w:val="22"/>
          <w:color w:val="auto"/>
        </w:rPr>
        <w:t>. For purposes of litigating any dispute that arises directly or indirectly from the relationship of the parties evidenced by this Agreement, the parties hereby submit to and consent to the exclusive jurisdiction of the State of Massachusetts and agree that such litigation shall be conducted only in the courts of Middlesex County, Massachusetts, or the federal courts for the Commonwealth of Massachusetts, where this grant is made and/or to be performed, and no other courts.</w:t>
      </w:r>
    </w:p>
    <w:p>
      <w:pPr>
        <w:spacing w:after="0" w:line="180" w:lineRule="exact"/>
        <w:rPr>
          <w:rFonts w:ascii="Times New Roman" w:cs="Times New Roman" w:eastAsia="Times New Roman" w:hAnsi="Times New Roman"/>
          <w:sz w:val="22"/>
          <w:szCs w:val="22"/>
          <w:color w:val="auto"/>
        </w:rPr>
      </w:pPr>
    </w:p>
    <w:p>
      <w:pPr>
        <w:ind w:firstLine="757"/>
        <w:spacing w:after="0" w:line="282" w:lineRule="auto"/>
        <w:tabs>
          <w:tab w:leader="none" w:pos="1181" w:val="left"/>
        </w:tabs>
        <w:numPr>
          <w:ilvl w:val="0"/>
          <w:numId w:val="10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Severability</w:t>
      </w:r>
      <w:r>
        <w:rPr>
          <w:rFonts w:ascii="Times New Roman" w:cs="Times New Roman" w:eastAsia="Times New Roman" w:hAnsi="Times New Roman"/>
          <w:sz w:val="21"/>
          <w:szCs w:val="21"/>
          <w:color w:val="auto"/>
        </w:rPr>
        <w:t>. The provisions of this Agreement are severable and if any one or more provisions are determined to be illegal or otherwise unenforceable, in whole or in part, the remaining provisions shall nevertheless be binding and enforceable.</w:t>
      </w:r>
    </w:p>
    <w:p>
      <w:pPr>
        <w:spacing w:after="0" w:line="134" w:lineRule="exact"/>
        <w:rPr>
          <w:rFonts w:ascii="Times New Roman" w:cs="Times New Roman" w:eastAsia="Times New Roman" w:hAnsi="Times New Roman"/>
          <w:sz w:val="21"/>
          <w:szCs w:val="21"/>
          <w:color w:val="auto"/>
        </w:rPr>
      </w:pPr>
    </w:p>
    <w:p>
      <w:pPr>
        <w:ind w:right="40" w:firstLine="757"/>
        <w:spacing w:after="0" w:line="239" w:lineRule="auto"/>
        <w:tabs>
          <w:tab w:leader="none" w:pos="1181" w:val="left"/>
        </w:tabs>
        <w:numPr>
          <w:ilvl w:val="0"/>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Imposition of Other Requirements</w:t>
      </w:r>
      <w:r>
        <w:rPr>
          <w:rFonts w:ascii="Times New Roman" w:cs="Times New Roman" w:eastAsia="Times New Roman" w:hAnsi="Times New Roman"/>
          <w:sz w:val="22"/>
          <w:szCs w:val="22"/>
          <w:color w:val="auto"/>
        </w:rPr>
        <w:t>. The Company reserves the right to impose other requirements on this Stock Option and the shares of Stock acquired upon exercise of this Stock Option, to the extent the Company determines it is necessary or advisable for legal or administrative reasons, and to require the Optionee to accept any additional agreements or undertakings that may be necessary to accomplish the foregoing.</w:t>
      </w:r>
    </w:p>
    <w:p>
      <w:pPr>
        <w:spacing w:after="0" w:line="180" w:lineRule="exact"/>
        <w:rPr>
          <w:rFonts w:ascii="Times New Roman" w:cs="Times New Roman" w:eastAsia="Times New Roman" w:hAnsi="Times New Roman"/>
          <w:sz w:val="22"/>
          <w:szCs w:val="22"/>
          <w:color w:val="auto"/>
        </w:rPr>
      </w:pPr>
    </w:p>
    <w:p>
      <w:pPr>
        <w:ind w:firstLine="757"/>
        <w:spacing w:after="0" w:line="239" w:lineRule="auto"/>
        <w:tabs>
          <w:tab w:leader="none" w:pos="1181" w:val="left"/>
        </w:tabs>
        <w:numPr>
          <w:ilvl w:val="0"/>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Electronic Delivery and Acceptance of Documents</w:t>
      </w:r>
      <w:r>
        <w:rPr>
          <w:rFonts w:ascii="Times New Roman" w:cs="Times New Roman" w:eastAsia="Times New Roman" w:hAnsi="Times New Roman"/>
          <w:sz w:val="22"/>
          <w:szCs w:val="22"/>
          <w:color w:val="auto"/>
        </w:rPr>
        <w:t>. The Company may, in its sole discretion, decide to deliver any documents related to current or future participation in the Plan by electronic means. The Optionee hereby consents to receive such documents by electronic delivery and agree to participate in the Plan through an on-line or electronic system established and maintained by the Company or a third party designated by the Company.</w:t>
      </w:r>
    </w:p>
    <w:p>
      <w:pPr>
        <w:spacing w:after="0" w:line="180" w:lineRule="exact"/>
        <w:rPr>
          <w:rFonts w:ascii="Times New Roman" w:cs="Times New Roman" w:eastAsia="Times New Roman" w:hAnsi="Times New Roman"/>
          <w:sz w:val="22"/>
          <w:szCs w:val="22"/>
          <w:color w:val="auto"/>
        </w:rPr>
      </w:pPr>
    </w:p>
    <w:p>
      <w:pPr>
        <w:ind w:right="560" w:firstLine="757"/>
        <w:spacing w:after="0" w:line="258" w:lineRule="auto"/>
        <w:tabs>
          <w:tab w:leader="none" w:pos="1181" w:val="left"/>
        </w:tabs>
        <w:numPr>
          <w:ilvl w:val="0"/>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Compliance with Law</w:t>
      </w:r>
      <w:r>
        <w:rPr>
          <w:rFonts w:ascii="Times New Roman" w:cs="Times New Roman" w:eastAsia="Times New Roman" w:hAnsi="Times New Roman"/>
          <w:sz w:val="22"/>
          <w:szCs w:val="22"/>
          <w:color w:val="auto"/>
        </w:rPr>
        <w:t>. Notwithstanding any other provision of the Plan or this Agreement, unless there is an available exemption from any registration, qualification or other</w:t>
      </w:r>
    </w:p>
    <w:p>
      <w:pPr>
        <w:spacing w:after="0" w:line="200" w:lineRule="exact"/>
        <w:rPr>
          <w:sz w:val="20"/>
          <w:szCs w:val="20"/>
          <w:color w:val="auto"/>
        </w:rPr>
      </w:pPr>
    </w:p>
    <w:p>
      <w:pPr>
        <w:spacing w:after="0" w:line="21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42</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ACTIVE/72134752.4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08" w:right="379" w:bottom="1440" w:gutter="0" w:footer="0" w:header="0"/>
        </w:sectPr>
      </w:pPr>
    </w:p>
    <w:bookmarkStart w:id="146" w:name="page147"/>
    <w:bookmarkEnd w:id="146"/>
    <w:p>
      <w:pPr>
        <w:ind w:right="80"/>
        <w:spacing w:after="0" w:line="233" w:lineRule="auto"/>
        <w:rPr>
          <w:sz w:val="20"/>
          <w:szCs w:val="20"/>
          <w:color w:val="auto"/>
        </w:rPr>
      </w:pPr>
      <w:r>
        <w:rPr>
          <w:rFonts w:ascii="Times New Roman" w:cs="Times New Roman" w:eastAsia="Times New Roman" w:hAnsi="Times New Roman"/>
          <w:sz w:val="22"/>
          <w:szCs w:val="22"/>
          <w:color w:val="auto"/>
        </w:rPr>
        <w:t>legal requirement applicable to the Stock, the Company shall not be required to permit the exercise of this Stock Option and/or deliver any shares of Stock prior to the completion of any registration or qualification of the shares of Stock under any U.S. or non-U.S. local, state or federal securities or other applicable law or under rulings or regulations of the U.S. Securities and Exchange Commission (“SEC”) or of any other governmental regulatory body, or prior to obtaining any approval or other clearance from any U.S. or non-U.S. local, state or federal governmental agency, which registration, qualification or approval the Company shall, in its absolute discretion, deem necessary or advisable. The Optionee understands that the Company is under no obligation to register or qualify the shares of Stock with the SEC or any state or non-U.S. securities commission or to seek approval or clearance from any governmental authority for the issuance or sale of the shares of Stock subject to this Stock Option. Further, the Optionee agrees that the Company shall have unilateral authority to amend this Agreement without the Optionee’s consent to the extent necessary to comply with securities or other laws applicable to issuance of the shares of Stock subject to this Stock Option.</w:t>
      </w:r>
    </w:p>
    <w:p>
      <w:pPr>
        <w:spacing w:after="0" w:line="187" w:lineRule="exact"/>
        <w:rPr>
          <w:sz w:val="20"/>
          <w:szCs w:val="20"/>
          <w:color w:val="auto"/>
        </w:rPr>
      </w:pPr>
    </w:p>
    <w:p>
      <w:pPr>
        <w:ind w:firstLine="757"/>
        <w:spacing w:after="0" w:line="233" w:lineRule="auto"/>
        <w:tabs>
          <w:tab w:leader="none" w:pos="1181" w:val="left"/>
        </w:tabs>
        <w:numPr>
          <w:ilvl w:val="0"/>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Insider Trading Restrictions / Market Abuse Laws</w:t>
      </w:r>
      <w:r>
        <w:rPr>
          <w:rFonts w:ascii="Times New Roman" w:cs="Times New Roman" w:eastAsia="Times New Roman" w:hAnsi="Times New Roman"/>
          <w:sz w:val="22"/>
          <w:szCs w:val="22"/>
          <w:color w:val="auto"/>
        </w:rPr>
        <w:t>. By accepting this Stock Option, the Optionee acknowledges that he or she is bound by all the terms and conditions of any Company’s insider trading policy as may be in effect from time to time. The Optionee further acknowledges that, depending on the Optionee’s country, the broker's country or the country in which the shares of Stock are listed, the Optionee may be or may become subject to insider trading restrictions and/or market abuse laws which may affect the Optionee’s ability to accept, acquire, sell or otherwise dispose of shares of Stock, rights to shares of Stock (e.g., Stock Options) or rights linked to the value of shares of Stock under the Plan during such times as the Optionee is considered to have “inside information” regarding the Company (as defined by the laws in the applicable jurisdictions). Local insider trading laws and regulations may prohibit the cancellation or amendment of orders the Optionee placed before the Optionee possessed inside information. Furthermore, the Optionee could be prohibited from (i) disclosing the inside information to any third party, which may include fellow employees and (ii) “tipping” third parties or causing them otherwise to buy or sell securities. Any restrictions under these laws or regulations are separate from and in addition to any restrictions that may be imposed under any Company’s insider trading policy as may be in effect from time to time. The Optionee acknowledges that it is the Optionee’s responsibility to comply with any applicable restrictions, and the Optionee should speak to his or her personal advisor on this matter.</w:t>
      </w:r>
    </w:p>
    <w:p>
      <w:pPr>
        <w:spacing w:after="0" w:line="179" w:lineRule="exact"/>
        <w:rPr>
          <w:rFonts w:ascii="Times New Roman" w:cs="Times New Roman" w:eastAsia="Times New Roman" w:hAnsi="Times New Roman"/>
          <w:sz w:val="22"/>
          <w:szCs w:val="22"/>
          <w:color w:val="auto"/>
        </w:rPr>
      </w:pPr>
    </w:p>
    <w:p>
      <w:pPr>
        <w:ind w:right="120" w:firstLine="757"/>
        <w:spacing w:after="0" w:line="234" w:lineRule="auto"/>
        <w:tabs>
          <w:tab w:leader="none" w:pos="1181" w:val="left"/>
        </w:tabs>
        <w:numPr>
          <w:ilvl w:val="0"/>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Foreign Asset/Account, Exchange Control and Tax Reporting</w:t>
      </w:r>
      <w:r>
        <w:rPr>
          <w:rFonts w:ascii="Times New Roman" w:cs="Times New Roman" w:eastAsia="Times New Roman" w:hAnsi="Times New Roman"/>
          <w:sz w:val="22"/>
          <w:szCs w:val="22"/>
          <w:color w:val="auto"/>
        </w:rPr>
        <w:t>. Depending on the Optionee’s country, the Optionee may be subject to foreign asset/account, exchange control, tax reporting or other requirements which may affect the Optionee’s ability acquire or hold Stock Options or shares of Stock under the Plan or cash received from participating in the Plan (including dividends and the proceeds arising from the sale of shares of Stock) in a brokerage/bank account outside the Optionee’s country. The applicable laws of the Optionee’s country may require that he or she report such Stock Options, shares of Stock, accounts, assets or transactions to the applicable authorities in such country and/or repatriate funds received in connection with the Plan to the Optionee’s country within a certain time period or according to certain procedures. The Optionee acknowledges that he or she is responsible for ensuring compliance with any applicable requirements and should consult his or her personal legal advisor to ensure compliance with applicable laws.</w:t>
      </w: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43</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ACTIVE/72134752.4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47" w:name="page148"/>
    <w:bookmarkEnd w:id="147"/>
    <w:p>
      <w:pPr>
        <w:ind w:right="160" w:firstLine="757"/>
        <w:spacing w:after="0" w:line="261" w:lineRule="auto"/>
        <w:tabs>
          <w:tab w:leader="none" w:pos="1181" w:val="left"/>
        </w:tabs>
        <w:numPr>
          <w:ilvl w:val="0"/>
          <w:numId w:val="10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Incorporation of Policy for Recoupment of Incentive Compensation.</w:t>
      </w:r>
      <w:r>
        <w:rPr>
          <w:rFonts w:ascii="Times New Roman" w:cs="Times New Roman" w:eastAsia="Times New Roman" w:hAnsi="Times New Roman"/>
          <w:sz w:val="21"/>
          <w:szCs w:val="21"/>
          <w:color w:val="auto"/>
        </w:rPr>
        <w:t xml:space="preserve"> Notwithstanding anything herein to the contrary, this Stock Option shall be subject to and governed by all the terms and conditions of the Company’s Policy for Recoupment of Incentive Compensation, including the powers of the Company to recoup incentive compensation stated therein.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22"/>
          <w:szCs w:val="22"/>
          <w:b w:val="1"/>
          <w:bCs w:val="1"/>
          <w:color w:val="auto"/>
        </w:rPr>
        <w:t>HUBSPOT,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4093845</wp:posOffset>
            </wp:positionH>
            <wp:positionV relativeFrom="paragraph">
              <wp:posOffset>201930</wp:posOffset>
            </wp:positionV>
            <wp:extent cx="2005965" cy="86550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29">
                      <a:extLst>
                        <a:ext uri="{28A0092B-C50C-407E-A947-70E740481C1C}"/>
                      </a:extLst>
                    </a:blip>
                    <a:srcRect/>
                    <a:stretch>
                      <a:fillRect/>
                    </a:stretch>
                  </pic:blipFill>
                  <pic:spPr bwMode="auto">
                    <a:xfrm>
                      <a:off x="0" y="0"/>
                      <a:ext cx="2005965" cy="8655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4085590</wp:posOffset>
            </wp:positionH>
            <wp:positionV relativeFrom="paragraph">
              <wp:posOffset>10795</wp:posOffset>
            </wp:positionV>
            <wp:extent cx="3051810" cy="889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30">
                      <a:extLst>
                        <a:ext uri="{28A0092B-C50C-407E-A947-70E740481C1C}"/>
                      </a:extLst>
                    </a:blip>
                    <a:srcRect/>
                    <a:stretch>
                      <a:fillRect/>
                    </a:stretch>
                  </pic:blipFill>
                  <pic:spPr bwMode="auto">
                    <a:xfrm>
                      <a:off x="0" y="0"/>
                      <a:ext cx="3051810" cy="8890"/>
                    </a:xfrm>
                    <a:prstGeom prst="rect">
                      <a:avLst/>
                    </a:prstGeom>
                    <a:noFill/>
                  </pic:spPr>
                </pic:pic>
              </a:graphicData>
            </a:graphic>
          </wp:anchor>
        </w:drawing>
      </w:r>
    </w:p>
    <w:p>
      <w:pPr>
        <w:spacing w:after="0" w:line="267" w:lineRule="exact"/>
        <w:rPr>
          <w:sz w:val="20"/>
          <w:szCs w:val="20"/>
          <w:color w:val="auto"/>
        </w:rPr>
      </w:pPr>
    </w:p>
    <w:p>
      <w:pPr>
        <w:ind w:left="5640"/>
        <w:spacing w:after="0"/>
        <w:tabs>
          <w:tab w:leader="none" w:pos="642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2"/>
          <w:szCs w:val="22"/>
          <w:color w:val="auto"/>
        </w:rPr>
        <w:t>Chief Financial Officer</w:t>
      </w:r>
    </w:p>
    <w:p>
      <w:pPr>
        <w:spacing w:after="0" w:line="247"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foregoing Agreement is hereby accepted and the terms and conditions thereof hereby agreed to by the undersigned. Electronic acceptance of this Agreement pursuant to the Company’s instructions to the Optionee (including through an online acceptance process) is acceptable.</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tabs>
          <w:tab w:leader="none" w:pos="860" w:val="left"/>
          <w:tab w:leader="none" w:pos="3440" w:val="left"/>
        </w:tabs>
        <w:rPr>
          <w:sz w:val="20"/>
          <w:szCs w:val="20"/>
          <w:color w:val="auto"/>
        </w:rPr>
      </w:pPr>
      <w:r>
        <w:rPr>
          <w:rFonts w:ascii="Times New Roman" w:cs="Times New Roman" w:eastAsia="Times New Roman" w:hAnsi="Times New Roman"/>
          <w:sz w:val="22"/>
          <w:szCs w:val="22"/>
          <w:color w:val="auto"/>
        </w:rPr>
        <w:t>Dated:</w:t>
        <w:tab/>
        <w:t>&lt;Acceptance Date&gt;</w:t>
      </w:r>
      <w:r>
        <w:rPr>
          <w:sz w:val="20"/>
          <w:szCs w:val="20"/>
          <w:color w:val="auto"/>
        </w:rPr>
        <w:tab/>
      </w:r>
      <w:r>
        <w:rPr>
          <w:rFonts w:ascii="Times New Roman" w:cs="Times New Roman" w:eastAsia="Times New Roman" w:hAnsi="Times New Roman"/>
          <w:sz w:val="21"/>
          <w:szCs w:val="21"/>
          <w:color w:val="auto"/>
        </w:rPr>
        <w:t>&lt;Electronic Signature&gt;</w:t>
      </w:r>
    </w:p>
    <w:p>
      <w:pPr>
        <w:spacing w:after="0" w:line="23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&lt;Participant Name&gt;</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44</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ACTIVE/72134752.4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48" w:name="page149"/>
    <w:bookmarkEnd w:id="148"/>
    <w:p>
      <w:pPr>
        <w:jc w:val="center"/>
        <w:spacing w:after="0"/>
        <w:rPr>
          <w:sz w:val="20"/>
          <w:szCs w:val="20"/>
          <w:color w:val="auto"/>
        </w:rPr>
      </w:pPr>
      <w:r>
        <w:rPr>
          <w:rFonts w:ascii="Times New Roman" w:cs="Times New Roman" w:eastAsia="Times New Roman" w:hAnsi="Times New Roman"/>
          <w:sz w:val="25"/>
          <w:szCs w:val="25"/>
          <w:b w:val="1"/>
          <w:bCs w:val="1"/>
          <w:u w:val="single" w:color="auto"/>
          <w:color w:val="auto"/>
        </w:rPr>
        <w:t>APPENDIX</w:t>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GLOBAL NON-QUALIFIED STOCK OPTION AGREEMENT</w:t>
      </w:r>
    </w:p>
    <w:p>
      <w:pPr>
        <w:spacing w:after="0" w:line="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 EMPLOYEES</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UNDER THE HUBSPOT, INC.</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2014 STOCK OPTION AND INCENTIVE PLAN</w:t>
      </w:r>
    </w:p>
    <w:p>
      <w:pPr>
        <w:spacing w:after="0" w:line="200" w:lineRule="exact"/>
        <w:rPr>
          <w:sz w:val="20"/>
          <w:szCs w:val="20"/>
          <w:color w:val="auto"/>
        </w:rPr>
      </w:pPr>
    </w:p>
    <w:p>
      <w:pPr>
        <w:spacing w:after="0" w:line="20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Capitalized terms used but not defined in this Appendix shall have the same meanings assigned to them in the Plan and/or the Global Non-Qualified Stock Option Agreement (the "Option Agreement").</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Terms and Conditions</w:t>
      </w:r>
    </w:p>
    <w:p>
      <w:pPr>
        <w:spacing w:after="0" w:line="212"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This Appendix includes additional terms and conditions that govern the Optionee’s Stock Option if the Optionee works and/or resides in one of the countries listed below. If the Optionee is a citizen or resident of a country other than the one in which the Optionee is currently working and/or residing (or is considered as such for local law purposes), or the Optionee transfers employment and/or residency to a different country after the grant of this Stock Option, the Company will, in its discretion, determine the extent to which the terms and conditions contained herein will apply to the Optionee.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Notifications</w:t>
      </w:r>
    </w:p>
    <w:p>
      <w:pPr>
        <w:spacing w:after="0" w:line="212"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This Appendix also includes information regarding certain other issues of which the Optionee should be aware with respect to the Optionee’s participation in the Plan. The information is based on the securities, exchange control and other laws in effect in the respective countries as of March 2023. Such laws are often complex and change frequently. As a result, the Company strongly recommends that the Optionee not rely on the information noted herein as the only source of information relating to the consequences of participation in the Plan because the information may be out-of-date at the time the Optionee exercises the Stock Option or sells any shares of Stock acquired under the Plan.</w:t>
      </w:r>
    </w:p>
    <w:p>
      <w:pPr>
        <w:spacing w:after="0" w:line="181"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In addition, the information contained herein is general in nature and may not apply to the Optionee’s particular situation. As a result, the Company is not in a position to assure the Optionee of any particular result. Accordingly, the Optionee is strongly advised to seek appropriate professional advice as to how the relevant laws in the Optionee’s country may apply to the Optionee’s individual situation.</w:t>
      </w:r>
    </w:p>
    <w:p>
      <w:pPr>
        <w:spacing w:after="0" w:line="18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If the Optionee is a citizen or resident of a country other than the one in which the Optionee is currently working and/or residing (or is considered as such for local law purposes), or if the Optionee transfers employment and/or residency to a different country after the Stock Option is granted, the notifications contained in this Appendix may not be applicable to the Optionee in the same manner.</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45</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ACTIVE/72134752.4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6" w:right="339" w:bottom="1440" w:gutter="0" w:footer="0" w:header="0"/>
        </w:sectPr>
      </w:pPr>
    </w:p>
    <w:bookmarkStart w:id="149" w:name="page150"/>
    <w:bookmarkEnd w:id="149"/>
    <w:p>
      <w:pPr>
        <w:jc w:val="center"/>
        <w:ind w:right="60"/>
        <w:spacing w:after="0" w:line="262" w:lineRule="auto"/>
        <w:rPr>
          <w:sz w:val="20"/>
          <w:szCs w:val="20"/>
          <w:color w:val="auto"/>
        </w:rPr>
      </w:pPr>
      <w:r>
        <w:rPr>
          <w:rFonts w:ascii="Times New Roman" w:cs="Times New Roman" w:eastAsia="Times New Roman" w:hAnsi="Times New Roman"/>
          <w:sz w:val="22"/>
          <w:szCs w:val="22"/>
          <w:b w:val="1"/>
          <w:bCs w:val="1"/>
          <w:u w:val="single" w:color="auto"/>
          <w:color w:val="auto"/>
        </w:rPr>
        <w:t>ALL COUNTRIES OUTSIDE THE U.S., EUROPEAN UNION, EUROPEAN ECONOMIC AREA AND UNITED KINGDOM</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Data Privacy Notification and Consent</w:t>
      </w:r>
    </w:p>
    <w:p>
      <w:pPr>
        <w:spacing w:after="0" w:line="204" w:lineRule="exact"/>
        <w:rPr>
          <w:sz w:val="20"/>
          <w:szCs w:val="20"/>
          <w:color w:val="auto"/>
        </w:rPr>
      </w:pPr>
    </w:p>
    <w:p>
      <w:pPr>
        <w:jc w:val="both"/>
        <w:ind w:firstLine="8"/>
        <w:spacing w:after="0" w:line="241" w:lineRule="auto"/>
        <w:tabs>
          <w:tab w:leader="none" w:pos="432" w:val="left"/>
        </w:tabs>
        <w:numPr>
          <w:ilvl w:val="0"/>
          <w:numId w:val="104"/>
        </w:numPr>
        <w:rPr>
          <w:rFonts w:ascii="Times New Roman" w:cs="Times New Roman" w:eastAsia="Times New Roman" w:hAnsi="Times New Roman"/>
          <w:sz w:val="22"/>
          <w:szCs w:val="22"/>
          <w:b w:val="1"/>
          <w:bCs w:val="1"/>
          <w:i w:val="1"/>
          <w:iCs w:val="1"/>
          <w:color w:val="auto"/>
        </w:rPr>
      </w:pPr>
      <w:r>
        <w:rPr>
          <w:rFonts w:ascii="Times New Roman" w:cs="Times New Roman" w:eastAsia="Times New Roman" w:hAnsi="Times New Roman"/>
          <w:sz w:val="22"/>
          <w:szCs w:val="22"/>
          <w:b w:val="1"/>
          <w:bCs w:val="1"/>
          <w:i w:val="1"/>
          <w:iCs w:val="1"/>
          <w:color w:val="auto"/>
        </w:rPr>
        <w:t>By accepting the Stock Option, the Optionee explicitly and unambiguously consents to the collection, use and transfer, in electronic or other form, of the Optionee’s personal data as described in the Agreement by and among, as applicable, the Employer, the Company and its other Subsidiaries and Affiliates for the exclusive purpose of implementing, administering and managing the Optionee’s participation in the Plan.</w:t>
      </w:r>
    </w:p>
    <w:p>
      <w:pPr>
        <w:spacing w:after="0" w:line="171" w:lineRule="exact"/>
        <w:rPr>
          <w:rFonts w:ascii="Times New Roman" w:cs="Times New Roman" w:eastAsia="Times New Roman" w:hAnsi="Times New Roman"/>
          <w:sz w:val="22"/>
          <w:szCs w:val="22"/>
          <w:b w:val="1"/>
          <w:bCs w:val="1"/>
          <w:i w:val="1"/>
          <w:iCs w:val="1"/>
          <w:color w:val="auto"/>
        </w:rPr>
      </w:pPr>
    </w:p>
    <w:p>
      <w:pPr>
        <w:jc w:val="both"/>
        <w:ind w:firstLine="8"/>
        <w:spacing w:after="0" w:line="237" w:lineRule="auto"/>
        <w:tabs>
          <w:tab w:leader="none" w:pos="432" w:val="left"/>
        </w:tabs>
        <w:numPr>
          <w:ilvl w:val="0"/>
          <w:numId w:val="104"/>
        </w:numPr>
        <w:rPr>
          <w:rFonts w:ascii="Times New Roman" w:cs="Times New Roman" w:eastAsia="Times New Roman" w:hAnsi="Times New Roman"/>
          <w:sz w:val="22"/>
          <w:szCs w:val="22"/>
          <w:b w:val="1"/>
          <w:bCs w:val="1"/>
          <w:i w:val="1"/>
          <w:iCs w:val="1"/>
          <w:color w:val="auto"/>
        </w:rPr>
      </w:pPr>
      <w:r>
        <w:rPr>
          <w:rFonts w:ascii="Times New Roman" w:cs="Times New Roman" w:eastAsia="Times New Roman" w:hAnsi="Times New Roman"/>
          <w:sz w:val="22"/>
          <w:szCs w:val="22"/>
          <w:b w:val="1"/>
          <w:bCs w:val="1"/>
          <w:i w:val="1"/>
          <w:iCs w:val="1"/>
          <w:color w:val="auto"/>
        </w:rPr>
        <w:t>The Optionee understands that the Company, the Employer and other Subsidiaries and Affiliates hold certain personal information about the Optionee, including, but not limited to, the Optionee's name, home address and telephone number, email address, date of birth, social security number, passport or other identification number (e.g., resident registration number), salary, nationality, job title, any shares of Stock or directorships held in the Company, details of all Stock Options or any other entitlement to shares awarded, canceled, vested, unvested or outstanding in the Optionee's favor (“Data”), for the purpose of implementing, administering and managing the Plan</w:t>
      </w:r>
    </w:p>
    <w:p>
      <w:pPr>
        <w:spacing w:after="0" w:line="175" w:lineRule="exact"/>
        <w:rPr>
          <w:rFonts w:ascii="Times New Roman" w:cs="Times New Roman" w:eastAsia="Times New Roman" w:hAnsi="Times New Roman"/>
          <w:sz w:val="22"/>
          <w:szCs w:val="22"/>
          <w:b w:val="1"/>
          <w:bCs w:val="1"/>
          <w:i w:val="1"/>
          <w:iCs w:val="1"/>
          <w:color w:val="auto"/>
        </w:rPr>
      </w:pPr>
    </w:p>
    <w:p>
      <w:pPr>
        <w:jc w:val="both"/>
        <w:ind w:firstLine="8"/>
        <w:spacing w:after="0" w:line="232" w:lineRule="auto"/>
        <w:tabs>
          <w:tab w:leader="none" w:pos="432" w:val="left"/>
        </w:tabs>
        <w:numPr>
          <w:ilvl w:val="0"/>
          <w:numId w:val="104"/>
        </w:numPr>
        <w:rPr>
          <w:rFonts w:ascii="Times New Roman" w:cs="Times New Roman" w:eastAsia="Times New Roman" w:hAnsi="Times New Roman"/>
          <w:sz w:val="22"/>
          <w:szCs w:val="22"/>
          <w:b w:val="1"/>
          <w:bCs w:val="1"/>
          <w:i w:val="1"/>
          <w:iCs w:val="1"/>
          <w:color w:val="auto"/>
        </w:rPr>
      </w:pPr>
      <w:r>
        <w:rPr>
          <w:rFonts w:ascii="Times New Roman" w:cs="Times New Roman" w:eastAsia="Times New Roman" w:hAnsi="Times New Roman"/>
          <w:sz w:val="22"/>
          <w:szCs w:val="22"/>
          <w:b w:val="1"/>
          <w:bCs w:val="1"/>
          <w:i w:val="1"/>
          <w:iCs w:val="1"/>
          <w:color w:val="auto"/>
        </w:rPr>
        <w:t>The Optionee understands that Data will be transferred to Fidelity Stock Plan Services LLC, or such other stock plan service provider as may be selected by the Company in the future, which assist in the implementation, administration and management of the Plan. The Optionee understands that the recipients of the Data may be located in the United States or elsewhere, and that the recipient's country (e.g. the United States) may have different data privacy laws and protections than the Optionee's country. The Optionee understands that if he or she resides outside the United States, the Optionee may request a list with the names and addresses of any potential recipients of the Data by contacting the Optionee's local human resources representative. The Optionee authorizes the Company, Fidelity Stock Plan Services LLC and other possible recipients which may assist the Company (presently or in the future) with implementing, administering and managing the Plan to receive, possess, use, retain and transfer the Data, in electronic or other form, for the sole purpose of implementing, administering and managing the Optionee's participation in the Plan, including any requisite transfer of such Data as may be required to a broker, escrow agent or other third party with whom the shares of Stock received upon exercise of the Stock Option may be deposited. The Optionee understands that Data will be held only as long as is necessary to implement, administer and manage the Optionee's participation in the Plan. The Optionee understands that if the Optionee resides outside the United States, he or she may, at any time, view Data, request information about the storage and processing of Data, require any necessary amendments to Data or refuse or withdraw the consents herein, in any case without cost, by contacting the Optionee's local human resources representative. Further, the Optionee understands that he or she is providing the consents herein on a purely voluntary basis. If the Optionee does not consent, or if the Optionee later seeks to revoke his or her consent, the Optionee's employment status with the Employer will not be affected; the only consequence of refusing or withdrawing consent is that the Company would not be able to grant Stock Options or other equity awards to the Optionee or administer or maintain such awards. Therefore, the Optionee understands that refusing or withdrawing the Optionee’s consent may affect his or her ability to participate in the Plan. For</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46</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ACTIVE/72134752.4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150" w:name="page151"/>
    <w:bookmarkEnd w:id="150"/>
    <w:p>
      <w:pPr>
        <w:spacing w:after="0" w:line="264" w:lineRule="auto"/>
        <w:rPr>
          <w:sz w:val="20"/>
          <w:szCs w:val="20"/>
          <w:color w:val="auto"/>
        </w:rPr>
      </w:pPr>
      <w:r>
        <w:rPr>
          <w:rFonts w:ascii="Times New Roman" w:cs="Times New Roman" w:eastAsia="Times New Roman" w:hAnsi="Times New Roman"/>
          <w:sz w:val="22"/>
          <w:szCs w:val="22"/>
          <w:b w:val="1"/>
          <w:bCs w:val="1"/>
          <w:i w:val="1"/>
          <w:iCs w:val="1"/>
          <w:color w:val="auto"/>
        </w:rPr>
        <w:t>more information on the consequences of the Optionee’s refusal to consent or withdrawal of consent, the Optionee understands that he or she may contact his or her local human resources representative.</w:t>
      </w:r>
    </w:p>
    <w:p>
      <w:pPr>
        <w:spacing w:after="0" w:line="145" w:lineRule="exact"/>
        <w:rPr>
          <w:sz w:val="20"/>
          <w:szCs w:val="20"/>
          <w:color w:val="auto"/>
        </w:rPr>
      </w:pPr>
    </w:p>
    <w:p>
      <w:pPr>
        <w:jc w:val="both"/>
        <w:ind w:firstLine="8"/>
        <w:spacing w:after="0" w:line="237" w:lineRule="auto"/>
        <w:tabs>
          <w:tab w:leader="none" w:pos="432" w:val="left"/>
        </w:tabs>
        <w:numPr>
          <w:ilvl w:val="0"/>
          <w:numId w:val="105"/>
        </w:numPr>
        <w:rPr>
          <w:rFonts w:ascii="Times New Roman" w:cs="Times New Roman" w:eastAsia="Times New Roman" w:hAnsi="Times New Roman"/>
          <w:sz w:val="22"/>
          <w:szCs w:val="22"/>
          <w:b w:val="1"/>
          <w:bCs w:val="1"/>
          <w:i w:val="1"/>
          <w:iCs w:val="1"/>
          <w:color w:val="auto"/>
        </w:rPr>
      </w:pPr>
      <w:r>
        <w:rPr>
          <w:rFonts w:ascii="Times New Roman" w:cs="Times New Roman" w:eastAsia="Times New Roman" w:hAnsi="Times New Roman"/>
          <w:sz w:val="22"/>
          <w:szCs w:val="22"/>
          <w:b w:val="1"/>
          <w:bCs w:val="1"/>
          <w:i w:val="1"/>
          <w:iCs w:val="1"/>
          <w:color w:val="auto"/>
        </w:rPr>
        <w:t>Upon request of the Company or the Employer, the Optionee agrees to provide a separate executed data privacy consent form (or any other agreements or consents that may be required by the Company and/or the Employer) that the Company and/or the Employer may deem necessary to obtain from the Optionee for the purpose of administering the Optionee's participation in the Plan in compliance with the data privacy laws in the Optionee's country, either now or in the future. The Optionee understands and agrees that he or she will not be able to participate in the Plan if the Optionee fails to provide any such consent or agreement requested by the Company and/or the Employer.</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CANADA</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Terms and Conditions</w:t>
      </w:r>
    </w:p>
    <w:p>
      <w:pPr>
        <w:spacing w:after="0" w:line="212"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u w:val="single" w:color="auto"/>
          <w:color w:val="auto"/>
        </w:rPr>
        <w:t>Method of Exercise</w:t>
      </w:r>
      <w:r>
        <w:rPr>
          <w:rFonts w:ascii="Times New Roman" w:cs="Times New Roman" w:eastAsia="Times New Roman" w:hAnsi="Times New Roman"/>
          <w:sz w:val="22"/>
          <w:szCs w:val="22"/>
          <w:color w:val="auto"/>
        </w:rPr>
        <w:t>. Notwithstanding any provision of the Plan or the Option Agreement, the Optionee may not pay the Option Exercise Price by using the methods of exercise set forth in Section 2(a)(ii) and (iv) of the Option Agreement or the corresponding provisions of the Plan.</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The following terms and conditions apply to employees resident in Quebec:</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u w:val="single" w:color="auto"/>
          <w:color w:val="auto"/>
        </w:rPr>
        <w:t>Data Privacy</w:t>
      </w:r>
      <w:r>
        <w:rPr>
          <w:rFonts w:ascii="Times New Roman" w:cs="Times New Roman" w:eastAsia="Times New Roman" w:hAnsi="Times New Roman"/>
          <w:sz w:val="21"/>
          <w:szCs w:val="21"/>
          <w:color w:val="auto"/>
        </w:rPr>
        <w:t>. The following provision supplements the Data Privacy Notification and Consent provision above in this Appendix:</w:t>
      </w:r>
    </w:p>
    <w:p>
      <w:pPr>
        <w:spacing w:after="0" w:line="245"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The Optionee hereby authorizes the Company and the Company’s representatives to discuss with and obtain all relevant information from all personnel, professional or non-professional, involved in the administration and operation of the Plan. The Optionee further authorizes the Company and any Subsidiary or Affiliate and the Administrator to disclose and discuss the Plan with their advisors and to record all relevant information and keep such information in the Optionee’s employee file.</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Notifications</w:t>
      </w:r>
    </w:p>
    <w:p>
      <w:pPr>
        <w:spacing w:after="0" w:line="239"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u w:val="single" w:color="auto"/>
          <w:color w:val="auto"/>
        </w:rPr>
        <w:t>Securities Law Information</w:t>
      </w:r>
      <w:r>
        <w:rPr>
          <w:rFonts w:ascii="Times New Roman" w:cs="Times New Roman" w:eastAsia="Times New Roman" w:hAnsi="Times New Roman"/>
          <w:sz w:val="22"/>
          <w:szCs w:val="22"/>
          <w:color w:val="auto"/>
        </w:rPr>
        <w:t>. The Optionee is permitted to sell shares of Stock acquired under the Plan through the designated broker appointed under the Plan, if any, provided the resale of shares of Stock acquired under the Plan takes place outside Canada through the facilities of a stock exchange on which the shares of Stock are listed. The shares of Stock are currently listed on the New York Stock Exchange under the symbol “HUBS.”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IRELAND</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Notifications</w:t>
      </w:r>
    </w:p>
    <w:p>
      <w:pPr>
        <w:spacing w:after="0" w:line="212"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u w:val="single" w:color="auto"/>
          <w:color w:val="auto"/>
        </w:rPr>
        <w:t>Director Notification Information</w:t>
      </w:r>
      <w:r>
        <w:rPr>
          <w:rFonts w:ascii="Times New Roman" w:cs="Times New Roman" w:eastAsia="Times New Roman" w:hAnsi="Times New Roman"/>
          <w:sz w:val="22"/>
          <w:szCs w:val="22"/>
          <w:color w:val="auto"/>
        </w:rPr>
        <w:t>. Directors, shadow directors and secretaries of an Irish Subsidiary or Affiliate must notify such Subsidiary or Affiliate in writing upon (i) receiving or disposing of an interest in the Company (</w:t>
      </w:r>
      <w:r>
        <w:rPr>
          <w:rFonts w:ascii="Times New Roman" w:cs="Times New Roman" w:eastAsia="Times New Roman" w:hAnsi="Times New Roman"/>
          <w:sz w:val="22"/>
          <w:szCs w:val="22"/>
          <w:i w:val="1"/>
          <w:iCs w:val="1"/>
          <w:color w:val="auto"/>
        </w:rPr>
        <w:t>e.g.</w:t>
      </w:r>
      <w:r>
        <w:rPr>
          <w:rFonts w:ascii="Times New Roman" w:cs="Times New Roman" w:eastAsia="Times New Roman" w:hAnsi="Times New Roman"/>
          <w:sz w:val="22"/>
          <w:szCs w:val="22"/>
          <w:color w:val="auto"/>
        </w:rPr>
        <w:t>, the Stock Option, shares of Stock, etc.), (ii)</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47</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ACTIVE/72134752.4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2" w:right="339" w:bottom="1440" w:gutter="0" w:footer="0" w:header="0"/>
        </w:sectPr>
      </w:pPr>
    </w:p>
    <w:bookmarkStart w:id="151" w:name="page152"/>
    <w:bookmarkEnd w:id="151"/>
    <w:p>
      <w:pPr>
        <w:jc w:val="both"/>
        <w:spacing w:after="0" w:line="238" w:lineRule="auto"/>
        <w:rPr>
          <w:sz w:val="20"/>
          <w:szCs w:val="20"/>
          <w:color w:val="auto"/>
        </w:rPr>
      </w:pPr>
      <w:r>
        <w:rPr>
          <w:rFonts w:ascii="Times New Roman" w:cs="Times New Roman" w:eastAsia="Times New Roman" w:hAnsi="Times New Roman"/>
          <w:sz w:val="22"/>
          <w:szCs w:val="22"/>
          <w:color w:val="auto"/>
        </w:rPr>
        <w:t>becoming aware of the event giving rise to the notification requirement, or (iii) becoming a director or secretary if such an interest exists at the time, in each case if the interest represents more than 1% of the Company. This notification requirement also applies with respect to the interests of any spouse or children under the age of 18 of the director, shadow director or secretary (whose interests will be attributed to the director, shadow director or secretary). The Optionee should consult with his or her personal legal advisor as to whether or not this notification requirement applies.</w:t>
      </w:r>
    </w:p>
    <w:p>
      <w:pPr>
        <w:spacing w:after="0" w:line="200" w:lineRule="exact"/>
        <w:rPr>
          <w:sz w:val="20"/>
          <w:szCs w:val="20"/>
          <w:color w:val="auto"/>
        </w:rPr>
      </w:pPr>
    </w:p>
    <w:p>
      <w:pPr>
        <w:spacing w:after="0" w:line="229" w:lineRule="exact"/>
        <w:rPr>
          <w:sz w:val="20"/>
          <w:szCs w:val="20"/>
          <w:color w:val="auto"/>
        </w:rPr>
      </w:pPr>
    </w:p>
    <w:p>
      <w:pPr>
        <w:jc w:val="both"/>
        <w:ind w:firstLine="8"/>
        <w:spacing w:after="0" w:line="244" w:lineRule="auto"/>
        <w:tabs>
          <w:tab w:leader="none" w:pos="223" w:val="left"/>
        </w:tabs>
        <w:numPr>
          <w:ilvl w:val="0"/>
          <w:numId w:val="106"/>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20"/>
          <w:szCs w:val="20"/>
          <w:i w:val="1"/>
          <w:iCs w:val="1"/>
          <w:color w:val="auto"/>
        </w:rPr>
        <w:t>The following language to be used for grants to Section 16 officers</w:t>
      </w:r>
      <w:r>
        <w:rPr>
          <w:rFonts w:ascii="Times New Roman" w:cs="Times New Roman" w:eastAsia="Times New Roman" w:hAnsi="Times New Roman"/>
          <w:sz w:val="20"/>
          <w:szCs w:val="20"/>
          <w:color w:val="auto"/>
        </w:rPr>
        <w:t>: Except as set forth below, and subject to the discretion of</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the Administrator (as defined in Section 2 of the Plan) to accelerate the vesting schedule hereunder, the Option Shares shall vest and become exercisable in sixteen (16) equal installments of 6.25% starting on the three-month anniversary of the Vesting Commencement Date and every three months thereafter, such that the Stock Options are fully vested and exercisable on the fourth (4th) anniversary of the Vesting Commencement Date, provided that the Optionee remains an employee of the Company or a Subsidiary on each such date.</w:t>
      </w:r>
    </w:p>
    <w:p>
      <w:pPr>
        <w:spacing w:after="0" w:line="200" w:lineRule="exact"/>
        <w:rPr>
          <w:sz w:val="20"/>
          <w:szCs w:val="20"/>
          <w:color w:val="auto"/>
        </w:rPr>
      </w:pPr>
    </w:p>
    <w:p>
      <w:pPr>
        <w:spacing w:after="0" w:line="250" w:lineRule="exact"/>
        <w:rPr>
          <w:sz w:val="20"/>
          <w:szCs w:val="20"/>
          <w:color w:val="auto"/>
        </w:rPr>
      </w:pPr>
    </w:p>
    <w:p>
      <w:pPr>
        <w:ind w:right="120"/>
        <w:spacing w:after="0" w:line="247" w:lineRule="auto"/>
        <w:rPr>
          <w:sz w:val="20"/>
          <w:szCs w:val="20"/>
          <w:color w:val="auto"/>
        </w:rPr>
      </w:pPr>
      <w:r>
        <w:rPr>
          <w:rFonts w:ascii="Times New Roman" w:cs="Times New Roman" w:eastAsia="Times New Roman" w:hAnsi="Times New Roman"/>
          <w:sz w:val="21"/>
          <w:szCs w:val="21"/>
          <w:i w:val="1"/>
          <w:iCs w:val="1"/>
          <w:color w:val="auto"/>
        </w:rPr>
        <w:t xml:space="preserve">The following language to be used for grants to new hires: </w:t>
      </w:r>
      <w:r>
        <w:rPr>
          <w:rFonts w:ascii="Times New Roman" w:cs="Times New Roman" w:eastAsia="Times New Roman" w:hAnsi="Times New Roman"/>
          <w:sz w:val="21"/>
          <w:szCs w:val="21"/>
          <w:color w:val="auto"/>
        </w:rPr>
        <w:t>Except as set forth below, and subject to the discretion of the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Administrator (as defined in Section 2 of the Plan) to accelerate the vesting schedule hereunder, 16.67% of the Option Shares shall vest and become exercisable on the six-month anniversary of the Vesting Commencement Date; provided that the Optionee remains an employee of the Company or a Subsidiary on such date. Thereafter, the restrictions and conditions of Paragraph 1 of this Agreement shall lapse as to the remaining 83.33% of the Option Shares and such Option Shares shall vest and become exercisable in ten (10) equal installments of 8.33% every three (3) months following the six-month anniversary of the Vesting Commencement Date, such that the Option Shares are fully vested and exercisable on the third (3rd) anniversary of the Vesting Commencement Date, provided that the Optionee remains an employee of the Company or a Subsidiary on such dates.</w:t>
      </w:r>
    </w:p>
    <w:p>
      <w:pPr>
        <w:spacing w:after="0" w:line="199" w:lineRule="exact"/>
        <w:rPr>
          <w:sz w:val="20"/>
          <w:szCs w:val="20"/>
          <w:color w:val="auto"/>
        </w:rPr>
      </w:pPr>
    </w:p>
    <w:p>
      <w:pPr>
        <w:ind w:right="100"/>
        <w:spacing w:after="0" w:line="237" w:lineRule="auto"/>
        <w:rPr>
          <w:sz w:val="20"/>
          <w:szCs w:val="20"/>
          <w:color w:val="auto"/>
        </w:rPr>
      </w:pPr>
      <w:r>
        <w:rPr>
          <w:rFonts w:ascii="Times New Roman" w:cs="Times New Roman" w:eastAsia="Times New Roman" w:hAnsi="Times New Roman"/>
          <w:sz w:val="22"/>
          <w:szCs w:val="22"/>
          <w:i w:val="1"/>
          <w:iCs w:val="1"/>
          <w:color w:val="auto"/>
        </w:rPr>
        <w:t>The following language to be used for all other grants</w:t>
      </w:r>
      <w:r>
        <w:rPr>
          <w:rFonts w:ascii="Times New Roman" w:cs="Times New Roman" w:eastAsia="Times New Roman" w:hAnsi="Times New Roman"/>
          <w:sz w:val="22"/>
          <w:szCs w:val="22"/>
          <w:color w:val="auto"/>
        </w:rPr>
        <w:t>: Except as set forth below, and subject to the discretion of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Administrator (as defined in Section 2 of the Plan) to accelerate the vesting schedule hereunder, the Option Shares shall vest and become exercisable in twelve (12) equal installments of 8.33% starting on the three-month anniversary of the Vesting Commencement Date and every three months thereafter, such that the Stock Options are fully vested and exercisable on the third (3rd) anniversary of the Vesting Commencement Date, provided that the Optionee remains an employee of the Company or a Subsidiary on each such date.</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48</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ACTIVE/72134752.4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52" w:name="page153"/>
    <w:bookmarkEnd w:id="152"/>
    <w:p>
      <w:pPr>
        <w:jc w:val="center"/>
        <w:spacing w:after="0"/>
        <w:rPr>
          <w:sz w:val="20"/>
          <w:szCs w:val="20"/>
          <w:color w:val="auto"/>
        </w:rPr>
      </w:pPr>
      <w:r>
        <w:rPr>
          <w:rFonts w:ascii="Times New Roman" w:cs="Times New Roman" w:eastAsia="Times New Roman" w:hAnsi="Times New Roman"/>
          <w:sz w:val="25"/>
          <w:szCs w:val="25"/>
          <w:b w:val="1"/>
          <w:bCs w:val="1"/>
          <w:color w:val="auto"/>
        </w:rPr>
        <w:t>GLOBAL RESTRICTED STOCK UNIT AWARD AGREEMENT</w:t>
      </w:r>
    </w:p>
    <w:p>
      <w:pPr>
        <w:spacing w:after="0" w:line="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 EMPLOYEES</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UNDER THE HUBSPOT, Inc.</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2014 STOCK OPTION AND INCENTIVE PLAN</w:t>
      </w:r>
    </w:p>
    <w:p>
      <w:pPr>
        <w:spacing w:after="0" w:line="200" w:lineRule="exact"/>
        <w:rPr>
          <w:sz w:val="20"/>
          <w:szCs w:val="20"/>
          <w:color w:val="auto"/>
        </w:rPr>
      </w:pPr>
    </w:p>
    <w:p>
      <w:pPr>
        <w:spacing w:after="0" w:line="209" w:lineRule="exact"/>
        <w:rPr>
          <w:sz w:val="20"/>
          <w:szCs w:val="20"/>
          <w:color w:val="auto"/>
        </w:rPr>
      </w:pPr>
    </w:p>
    <w:p>
      <w:pPr>
        <w:spacing w:after="0"/>
        <w:tabs>
          <w:tab w:leader="none" w:pos="1720" w:val="left"/>
        </w:tabs>
        <w:rPr>
          <w:sz w:val="20"/>
          <w:szCs w:val="20"/>
          <w:color w:val="auto"/>
        </w:rPr>
      </w:pPr>
      <w:r>
        <w:rPr>
          <w:rFonts w:ascii="Times New Roman" w:cs="Times New Roman" w:eastAsia="Times New Roman" w:hAnsi="Times New Roman"/>
          <w:sz w:val="22"/>
          <w:szCs w:val="22"/>
          <w:color w:val="auto"/>
        </w:rPr>
        <w:t>Name of Grantee:</w:t>
      </w:r>
      <w:r>
        <w:rPr>
          <w:sz w:val="20"/>
          <w:szCs w:val="20"/>
          <w:color w:val="auto"/>
        </w:rPr>
        <w:tab/>
      </w:r>
      <w:r>
        <w:rPr>
          <w:rFonts w:ascii="Times New Roman" w:cs="Times New Roman" w:eastAsia="Times New Roman" w:hAnsi="Times New Roman"/>
          <w:sz w:val="21"/>
          <w:szCs w:val="21"/>
          <w:color w:val="auto"/>
        </w:rPr>
        <w:t>&lt;Participant Name&gt;</w:t>
      </w:r>
    </w:p>
    <w:p>
      <w:pPr>
        <w:sectPr>
          <w:pgSz w:w="11900" w:h="16838" w:orient="portrait"/>
          <w:cols w:equalWidth="0" w:num="1">
            <w:col w:w="11240"/>
          </w:cols>
          <w:pgMar w:left="320" w:top="1407" w:right="339" w:bottom="1440" w:gutter="0" w:footer="0" w:header="0"/>
        </w:sect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No. of Restricted Stock Units:</w:t>
      </w:r>
    </w:p>
    <w:p>
      <w:pPr>
        <w:spacing w:after="0" w:line="20" w:lineRule="exact"/>
        <w:rPr>
          <w:sz w:val="20"/>
          <w:szCs w:val="20"/>
          <w:color w:val="auto"/>
        </w:rPr>
      </w:pPr>
      <w:r>
        <w:rPr>
          <w:sz w:val="20"/>
          <w:szCs w:val="20"/>
          <w:color w:val="auto"/>
        </w:rPr>
        <w:br w:type="column"/>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&lt;Number of Awards Granted&gt;</w:t>
      </w:r>
    </w:p>
    <w:p>
      <w:pPr>
        <w:spacing w:after="0" w:line="200" w:lineRule="exact"/>
        <w:rPr>
          <w:sz w:val="20"/>
          <w:szCs w:val="20"/>
          <w:color w:val="auto"/>
        </w:rPr>
      </w:pPr>
    </w:p>
    <w:p>
      <w:pPr>
        <w:sectPr>
          <w:pgSz w:w="11900" w:h="16838" w:orient="portrait"/>
          <w:cols w:equalWidth="0" w:num="2">
            <w:col w:w="2620" w:space="420"/>
            <w:col w:w="8200"/>
          </w:cols>
          <w:pgMar w:left="320" w:top="1407" w:right="339" w:bottom="1440" w:gutter="0" w:footer="0" w:header="0"/>
          <w:type w:val="continuous"/>
        </w:sectPr>
      </w:pP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Grant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&lt;Grant Date&gt;</w:t>
      </w:r>
    </w:p>
    <w:p>
      <w:pPr>
        <w:spacing w:after="0" w:line="200" w:lineRule="exact"/>
        <w:rPr>
          <w:sz w:val="20"/>
          <w:szCs w:val="20"/>
          <w:color w:val="auto"/>
        </w:rPr>
      </w:pPr>
    </w:p>
    <w:p>
      <w:pPr>
        <w:sectPr>
          <w:pgSz w:w="11900" w:h="16838" w:orient="portrait"/>
          <w:cols w:equalWidth="0" w:num="2">
            <w:col w:w="1020" w:space="280"/>
            <w:col w:w="9940"/>
          </w:cols>
          <w:pgMar w:left="320" w:top="1407" w:right="339" w:bottom="1440" w:gutter="0" w:footer="0" w:header="0"/>
          <w:type w:val="continuous"/>
        </w:sectPr>
      </w:pP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Vesting Commencement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&lt;Vest from Hire Date&gt;, &lt;Vesting Schedule (Dates &amp; Quantities)&gt;</w:t>
      </w:r>
    </w:p>
    <w:p>
      <w:pPr>
        <w:spacing w:after="0" w:line="200" w:lineRule="exact"/>
        <w:rPr>
          <w:sz w:val="20"/>
          <w:szCs w:val="20"/>
          <w:color w:val="auto"/>
        </w:rPr>
      </w:pPr>
    </w:p>
    <w:p>
      <w:pPr>
        <w:sectPr>
          <w:pgSz w:w="11900" w:h="16838" w:orient="portrait"/>
          <w:cols w:equalWidth="0" w:num="2">
            <w:col w:w="2640" w:space="400"/>
            <w:col w:w="8200"/>
          </w:cols>
          <w:pgMar w:left="320" w:top="1407" w:right="339" w:bottom="1440" w:gutter="0" w:footer="0" w:header="0"/>
          <w:type w:val="continuous"/>
        </w:sectPr>
      </w:pPr>
    </w:p>
    <w:p>
      <w:pPr>
        <w:spacing w:after="0" w:line="234"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color w:val="auto"/>
        </w:rPr>
        <w:t>Pursuant to the HubSpot, Inc. 2014 Stock Option and Incentive Plan, as amended through the date hereof (the “Plan”), and this Global Restricted Stock Unit Award Agreement, including any additional terms and conditions for the Grantee's country set forth in the appendix attached hereto (the "Appendix" and together with the Global Restricted Stock Unit Award Agreement, the “Agreement”), HubSpot, Inc. (the “Company”) hereby grants an award of the number of Restricted Stock Units listed above (an “Award”) to the Grantee named above. Each Restricted Stock Unit shall relate to one share of Common Stock, par value $0.001 per share (the “Stock”) of the Company.</w:t>
      </w:r>
    </w:p>
    <w:p>
      <w:pPr>
        <w:spacing w:after="0" w:line="181" w:lineRule="exact"/>
        <w:rPr>
          <w:sz w:val="20"/>
          <w:szCs w:val="20"/>
          <w:color w:val="auto"/>
        </w:rPr>
      </w:pPr>
    </w:p>
    <w:p>
      <w:pPr>
        <w:ind w:right="140" w:firstLine="757"/>
        <w:spacing w:after="0" w:line="238" w:lineRule="auto"/>
        <w:tabs>
          <w:tab w:leader="none" w:pos="1181" w:val="left"/>
        </w:tabs>
        <w:numPr>
          <w:ilvl w:val="0"/>
          <w:numId w:val="1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Restrictions on Transfer of Award</w:t>
      </w:r>
      <w:r>
        <w:rPr>
          <w:rFonts w:ascii="Times New Roman" w:cs="Times New Roman" w:eastAsia="Times New Roman" w:hAnsi="Times New Roman"/>
          <w:sz w:val="22"/>
          <w:szCs w:val="22"/>
          <w:color w:val="auto"/>
        </w:rPr>
        <w:t>. This Award may not be sold, transferred, pledged, assigned or otherwise encumbered or disposed of by the Grantee, and any shares of Stock issuable with respect to the Award may not be sold, transferred, pledged, assigned or otherwise encumbered or disposed of until (i) the Restricted Stock Units have vested as provided in Paragraph 2 of this Agreement and (ii) shares of Stock have been issued to the Grantee in accordance with the terms of the Plan and this Agreement.</w:t>
      </w:r>
    </w:p>
    <w:p>
      <w:pPr>
        <w:spacing w:after="0" w:line="176" w:lineRule="exact"/>
        <w:rPr>
          <w:rFonts w:ascii="Times New Roman" w:cs="Times New Roman" w:eastAsia="Times New Roman" w:hAnsi="Times New Roman"/>
          <w:sz w:val="22"/>
          <w:szCs w:val="22"/>
          <w:color w:val="auto"/>
        </w:rPr>
      </w:pPr>
    </w:p>
    <w:p>
      <w:pPr>
        <w:ind w:right="20" w:firstLine="757"/>
        <w:spacing w:after="0" w:line="228" w:lineRule="auto"/>
        <w:tabs>
          <w:tab w:leader="none" w:pos="1181" w:val="left"/>
        </w:tabs>
        <w:numPr>
          <w:ilvl w:val="0"/>
          <w:numId w:val="1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Vesting of Restricted Stock Units</w:t>
      </w:r>
      <w:r>
        <w:rPr>
          <w:rFonts w:ascii="Times New Roman" w:cs="Times New Roman" w:eastAsia="Times New Roman" w:hAnsi="Times New Roman"/>
          <w:sz w:val="22"/>
          <w:szCs w:val="22"/>
          <w:color w:val="auto"/>
        </w:rPr>
        <w:t>. The restrictions and conditions of Paragraph 1 of this Agreement shall lapse and such Restricted Stock Units shall vest [in [ ] installments]</w:t>
      </w:r>
      <w:r>
        <w:rPr>
          <w:rFonts w:ascii="Times New Roman" w:cs="Times New Roman" w:eastAsia="Times New Roman" w:hAnsi="Times New Roman"/>
          <w:sz w:val="28"/>
          <w:szCs w:val="28"/>
          <w:color w:val="auto"/>
          <w:vertAlign w:val="superscript"/>
        </w:rPr>
        <w:t>1</w:t>
      </w:r>
      <w:r>
        <w:rPr>
          <w:rFonts w:ascii="Times New Roman" w:cs="Times New Roman" w:eastAsia="Times New Roman" w:hAnsi="Times New Roman"/>
          <w:sz w:val="22"/>
          <w:szCs w:val="22"/>
          <w:color w:val="auto"/>
        </w:rPr>
        <w:t xml:space="preserve"> following the Vesting Commencement Date; provided that the Grantee remains an employee of the Company or a Subsidiary on such date. For the avoidance of doubt, employment during only a period prior to a vesting date (but where employment has terminated prior to the vesting date) does not entitle the Grantee to vest in a pro-rata portion of the Restricted Stock Units on such date or entitle the Grantee to compensation for lost vesting. The Administrator may at any time accelerate the vesting schedule specified in this Paragraph 2. This Agreement is subject to the terms and conditions of any policies of the Company regarding vesting during leaves of absence.</w:t>
      </w:r>
    </w:p>
    <w:p>
      <w:pPr>
        <w:spacing w:after="0" w:line="183" w:lineRule="exact"/>
        <w:rPr>
          <w:sz w:val="20"/>
          <w:szCs w:val="20"/>
          <w:color w:val="auto"/>
        </w:rPr>
      </w:pPr>
    </w:p>
    <w:p>
      <w:pPr>
        <w:ind w:right="80" w:firstLine="749"/>
        <w:spacing w:after="0" w:line="258" w:lineRule="auto"/>
        <w:rPr>
          <w:sz w:val="20"/>
          <w:szCs w:val="20"/>
          <w:color w:val="auto"/>
        </w:rPr>
      </w:pPr>
      <w:r>
        <w:rPr>
          <w:rFonts w:ascii="Times New Roman" w:cs="Times New Roman" w:eastAsia="Times New Roman" w:hAnsi="Times New Roman"/>
          <w:sz w:val="22"/>
          <w:szCs w:val="22"/>
          <w:color w:val="auto"/>
        </w:rPr>
        <w:t>In the event that the Grantee’s employment with the Company and any Subsidiary terminates due to the Grantee’s death, then the Restricted Stock Units shall be deemed vested upon the date of the Grantee’s death.</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49</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ACTIVE/72134752.4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type w:val="continuous"/>
        </w:sectPr>
      </w:pPr>
    </w:p>
    <w:bookmarkStart w:id="153" w:name="page154"/>
    <w:bookmarkEnd w:id="153"/>
    <w:p>
      <w:pPr>
        <w:jc w:val="both"/>
        <w:ind w:right="80" w:firstLine="749"/>
        <w:spacing w:after="0" w:line="249" w:lineRule="auto"/>
        <w:rPr>
          <w:sz w:val="20"/>
          <w:szCs w:val="20"/>
          <w:color w:val="auto"/>
        </w:rPr>
      </w:pPr>
      <w:r>
        <w:rPr>
          <w:rFonts w:ascii="Times New Roman" w:cs="Times New Roman" w:eastAsia="Times New Roman" w:hAnsi="Times New Roman"/>
          <w:sz w:val="21"/>
          <w:szCs w:val="21"/>
          <w:color w:val="auto"/>
        </w:rPr>
        <w:t>Notwithstanding the foregoing, in the event of a Sale Event (as defined in the Plan) in which this Award is continued or assumed by a successor to the Company, the Restricted Stock Units shall be deemed vested upon the date on which the Grantee’s employment with the Company and any Subsidiary or successor entity, as the case may be, terminates if such termination occurs</w:t>
      </w:r>
    </w:p>
    <w:p>
      <w:pPr>
        <w:spacing w:after="0" w:line="1" w:lineRule="exact"/>
        <w:rPr>
          <w:sz w:val="20"/>
          <w:szCs w:val="20"/>
          <w:color w:val="auto"/>
        </w:rPr>
      </w:pPr>
    </w:p>
    <w:p>
      <w:pPr>
        <w:ind w:right="340" w:firstLine="8"/>
        <w:spacing w:after="0" w:line="237" w:lineRule="auto"/>
        <w:tabs>
          <w:tab w:leader="none" w:pos="258" w:val="left"/>
        </w:tabs>
        <w:numPr>
          <w:ilvl w:val="0"/>
          <w:numId w:val="1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within 12 months after such Sale Event or 90 days prior to such Sale Event, and (ii) such termination is by the Company or any Subsidiary or successor entity without Cause or by the Grantee for Good Reason.</w:t>
      </w:r>
    </w:p>
    <w:p>
      <w:pPr>
        <w:spacing w:after="0" w:line="17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The following definitions shall apply:</w:t>
      </w:r>
    </w:p>
    <w:p>
      <w:pPr>
        <w:spacing w:after="0" w:line="202" w:lineRule="exact"/>
        <w:rPr>
          <w:sz w:val="20"/>
          <w:szCs w:val="20"/>
          <w:color w:val="auto"/>
        </w:rPr>
      </w:pPr>
    </w:p>
    <w:p>
      <w:pPr>
        <w:ind w:right="60" w:firstLine="749"/>
        <w:spacing w:after="0" w:line="24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Cause</w:t>
      </w:r>
      <w:r>
        <w:rPr>
          <w:rFonts w:ascii="Times New Roman" w:cs="Times New Roman" w:eastAsia="Times New Roman" w:hAnsi="Times New Roman"/>
          <w:sz w:val="21"/>
          <w:szCs w:val="21"/>
          <w:color w:val="auto"/>
        </w:rPr>
        <w:t>” shall mean (i) the Grantee’s dishonest statements or acts with respect to the Company or any Subsidiary, or any current or prospective customers, suppliers vendors or other third parties with which such entity does business; (ii) the Grantee’s commission of (A) a felony (or crime of similar magnitude under non-U.S. laws, as determined by the Administrator) or (B) any misdemeanor involving moral turpitude, deceit, dishonesty or fraud; (iii) the Grantee’s failure to perform his or her assigned duties and responsibilities to the reasonable satisfaction of the Company which failure continues, in the reasonable judgment of the Company, after written notice given to the Grantee by the Company or a Subsidiary; (iv) the Grantee’s gross negligence, willful misconduct or insubordination with respect to the Company or any Subsidiary (including, but not limited to, any violation of the Company’s or any Subsidiary's code of conduct, insider trading, willful accounting improprieties or failure to cooperate with investigations); or (v) the Grantee’s material violation of any provision of any agreement(s) between the Grantee and the Company or any Subsidiary relating to noncompetition, nonsolicitation, nondisclosure and/or assignment of inventions.</w:t>
      </w:r>
    </w:p>
    <w:p>
      <w:pPr>
        <w:spacing w:after="0" w:line="171" w:lineRule="exact"/>
        <w:rPr>
          <w:sz w:val="20"/>
          <w:szCs w:val="20"/>
          <w:color w:val="auto"/>
        </w:rPr>
      </w:pPr>
    </w:p>
    <w:p>
      <w:pPr>
        <w:ind w:right="140" w:firstLine="749"/>
        <w:spacing w:after="0" w:line="238" w:lineRule="auto"/>
        <w:rPr>
          <w:sz w:val="20"/>
          <w:szCs w:val="20"/>
          <w:color w:val="auto"/>
        </w:rPr>
      </w:pPr>
      <w:r>
        <w:rPr>
          <w:rFonts w:ascii="Times New Roman" w:cs="Times New Roman" w:eastAsia="Times New Roman" w:hAnsi="Times New Roman"/>
          <w:sz w:val="22"/>
          <w:szCs w:val="22"/>
          <w:i w:val="1"/>
          <w:iCs w:val="1"/>
          <w:color w:val="auto"/>
        </w:rPr>
        <w:t xml:space="preserve">“Good Reason” </w:t>
      </w:r>
      <w:r>
        <w:rPr>
          <w:rFonts w:ascii="Times New Roman" w:cs="Times New Roman" w:eastAsia="Times New Roman" w:hAnsi="Times New Roman"/>
          <w:sz w:val="22"/>
          <w:szCs w:val="22"/>
          <w:color w:val="auto"/>
        </w:rPr>
        <w:t>shall mean (i) a material diminution in the Grantee’s base salary except for across-the-board salary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reductions similarly affecting all or substantially all similarly situated employees of the Company or any Subsidiary or (ii) a change of more than 50 miles in the geographic location at which the Grantee provides services to the Company or a Subsidiary, so long as the Grantee provides notice to the Company or a Subsidiary within at least 90 days following the initial occurrence of any such event and the Company or a Subsidiary fails to cure such event within 30 days of such notice.</w:t>
      </w:r>
    </w:p>
    <w:p>
      <w:pPr>
        <w:spacing w:after="0" w:line="181" w:lineRule="exact"/>
        <w:rPr>
          <w:sz w:val="20"/>
          <w:szCs w:val="20"/>
          <w:color w:val="auto"/>
        </w:rPr>
      </w:pPr>
    </w:p>
    <w:p>
      <w:pPr>
        <w:ind w:firstLine="757"/>
        <w:spacing w:after="0" w:line="238" w:lineRule="auto"/>
        <w:tabs>
          <w:tab w:leader="none" w:pos="1181" w:val="left"/>
        </w:tabs>
        <w:numPr>
          <w:ilvl w:val="0"/>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 of Employment</w:t>
      </w:r>
      <w:r>
        <w:rPr>
          <w:rFonts w:ascii="Times New Roman" w:cs="Times New Roman" w:eastAsia="Times New Roman" w:hAnsi="Times New Roman"/>
          <w:sz w:val="22"/>
          <w:szCs w:val="22"/>
          <w:color w:val="auto"/>
        </w:rPr>
        <w:t>. If the Grantee’s employment with the Company and its Subsidiaries terminates for any reason (including disability) prior to the satisfaction of the vesting and acceleration conditions set forth in Paragraph 2 above, any Restricted Stock Units that have not vested as of such date shall automatically and without notice terminate and be forfeited, and neither the Grantee nor any of his or her successors, heirs, assigns, or personal representatives will thereafter have any further rights or interests in such unvested Restricted Stock Units.</w:t>
      </w:r>
    </w:p>
    <w:p>
      <w:pPr>
        <w:spacing w:after="0" w:line="176" w:lineRule="exact"/>
        <w:rPr>
          <w:rFonts w:ascii="Times New Roman" w:cs="Times New Roman" w:eastAsia="Times New Roman" w:hAnsi="Times New Roman"/>
          <w:sz w:val="22"/>
          <w:szCs w:val="22"/>
          <w:color w:val="auto"/>
        </w:rPr>
      </w:pPr>
    </w:p>
    <w:p>
      <w:pPr>
        <w:ind w:firstLine="757"/>
        <w:spacing w:after="0" w:line="238" w:lineRule="auto"/>
        <w:tabs>
          <w:tab w:leader="none" w:pos="1181" w:val="left"/>
        </w:tabs>
        <w:numPr>
          <w:ilvl w:val="0"/>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Issuance of Shares of Stock</w:t>
      </w:r>
      <w:r>
        <w:rPr>
          <w:rFonts w:ascii="Times New Roman" w:cs="Times New Roman" w:eastAsia="Times New Roman" w:hAnsi="Times New Roman"/>
          <w:sz w:val="22"/>
          <w:szCs w:val="22"/>
          <w:color w:val="auto"/>
        </w:rPr>
        <w:t>. As soon as practicable following each vesting date specified in Paragraph 2 (each such date, a “Vesting Date”) (but in no event later than two and one-half months after the end of the year in which the Vesting Date occurs), the Company shall issue to the Grantee (or in the event of the Grantee’s death, his or her designated beneficiary or his or her estate or legal heirs if the Grantee has not designated a beneficiary) the number of shares of Stock equal to the aggregate number of Restricted Stock Units that have vested</w:t>
      </w: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50</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ACTIVE/72134752.4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54" w:name="page155"/>
    <w:bookmarkEnd w:id="154"/>
    <w:p>
      <w:pPr>
        <w:ind w:right="60"/>
        <w:spacing w:after="0" w:line="244" w:lineRule="auto"/>
        <w:rPr>
          <w:sz w:val="20"/>
          <w:szCs w:val="20"/>
          <w:color w:val="auto"/>
        </w:rPr>
      </w:pPr>
      <w:r>
        <w:rPr>
          <w:rFonts w:ascii="Times New Roman" w:cs="Times New Roman" w:eastAsia="Times New Roman" w:hAnsi="Times New Roman"/>
          <w:sz w:val="22"/>
          <w:szCs w:val="22"/>
          <w:color w:val="auto"/>
        </w:rPr>
        <w:t>pursuant to Paragraph 2 of this Agreement on such date, rounded down to the nearest whole share, and the Grantee (or the Grantee’s designated beneficiary or estate, as applicable) shall thereafter have all the rights of a stockholder of the Company with respect to such shares. No fractional shares of Stock shall be issued.</w:t>
      </w:r>
    </w:p>
    <w:p>
      <w:pPr>
        <w:spacing w:after="0" w:line="173" w:lineRule="exact"/>
        <w:rPr>
          <w:sz w:val="20"/>
          <w:szCs w:val="20"/>
          <w:color w:val="auto"/>
        </w:rPr>
      </w:pPr>
    </w:p>
    <w:p>
      <w:pPr>
        <w:ind w:right="300" w:firstLine="757"/>
        <w:spacing w:after="0" w:line="239" w:lineRule="auto"/>
        <w:tabs>
          <w:tab w:leader="none" w:pos="1181" w:val="left"/>
        </w:tabs>
        <w:numPr>
          <w:ilvl w:val="0"/>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Incorporation of Plan</w:t>
      </w:r>
      <w:r>
        <w:rPr>
          <w:rFonts w:ascii="Times New Roman" w:cs="Times New Roman" w:eastAsia="Times New Roman" w:hAnsi="Times New Roman"/>
          <w:sz w:val="22"/>
          <w:szCs w:val="22"/>
          <w:color w:val="auto"/>
        </w:rPr>
        <w:t>. Notwithstanding anything herein to the contrary, this Agreement shall be subject to and governed by all the terms and conditions of the Plan, including the powers of the Administrator set forth in Section 2(b) of the Plan. Capitalized terms in this Agreement shall have the meaning specified in the Plan, unless a different meaning is specified herein.</w:t>
      </w:r>
    </w:p>
    <w:p>
      <w:pPr>
        <w:spacing w:after="0" w:line="180" w:lineRule="exact"/>
        <w:rPr>
          <w:rFonts w:ascii="Times New Roman" w:cs="Times New Roman" w:eastAsia="Times New Roman" w:hAnsi="Times New Roman"/>
          <w:sz w:val="22"/>
          <w:szCs w:val="22"/>
          <w:color w:val="auto"/>
        </w:rPr>
      </w:pPr>
    </w:p>
    <w:p>
      <w:pPr>
        <w:ind w:left="1180" w:hanging="423"/>
        <w:spacing w:after="0"/>
        <w:tabs>
          <w:tab w:leader="none" w:pos="1180" w:val="left"/>
        </w:tabs>
        <w:numPr>
          <w:ilvl w:val="0"/>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Responsibility for Taxes.</w:t>
      </w:r>
    </w:p>
    <w:p>
      <w:pPr>
        <w:spacing w:after="0" w:line="206" w:lineRule="exact"/>
        <w:rPr>
          <w:rFonts w:ascii="Times New Roman" w:cs="Times New Roman" w:eastAsia="Times New Roman" w:hAnsi="Times New Roman"/>
          <w:sz w:val="22"/>
          <w:szCs w:val="22"/>
          <w:color w:val="auto"/>
        </w:rPr>
      </w:pPr>
    </w:p>
    <w:p>
      <w:pPr>
        <w:jc w:val="both"/>
        <w:ind w:firstLine="1056"/>
        <w:spacing w:after="0" w:line="247" w:lineRule="exact"/>
        <w:tabs>
          <w:tab w:leader="none" w:pos="1527" w:val="left"/>
        </w:tabs>
        <w:numPr>
          <w:ilvl w:val="1"/>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Grantee acknowledges that, regardless of any action taken by the Company or, if different, the Subsidiary employing or otherwise retaining the Grantee (the “Employer”), the ultimate liability for all income tax, social insurance, payroll tax, fringe benefits tax, payment on account or other tax</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related items related to the Grantee’s participation in the Plan and legally applicable to the Grantee or deemed by the Company or the Employee in its discretion to be an appropriate charge to the Grantee even if legally applicable to the Company or the Employer (“Tax-Related Items”) is and remains the Grantee’s responsibility and may exceed the amount, if any, actually withheld by the Company or the Employer. The Grantee further acknowledges that the Company and/or the Employer (i) make no representations or undertakings regarding the treatment of any Tax-Related Items in connection with any aspect of the Restricted Stock Units, including, but not limited to, the grant, vesting or settlement of the Restricted Stock Units, the subsequent sale of shares of Stock acquired pursuant to such settlement and the receipt of any dividends; and (ii) do not commit to and are under no obligation to structure the terms of the grant or any aspect of the Restricted Stock Units to reduce or eliminate the Grantee’s liability for Tax-Related Items or achieve any particular tax result. Further, if the Grantee is subject to Tax-Related Items in more than one jurisdiction, the Grantee acknowledges that the Company and/or the Employer (or former employer, as applicable) may be required to withhold or account for Tax-Related Items in more than one jurisdiction.</w:t>
      </w:r>
    </w:p>
    <w:p>
      <w:pPr>
        <w:spacing w:after="0" w:line="70" w:lineRule="exact"/>
        <w:rPr>
          <w:rFonts w:ascii="Times New Roman" w:cs="Times New Roman" w:eastAsia="Times New Roman" w:hAnsi="Times New Roman"/>
          <w:sz w:val="22"/>
          <w:szCs w:val="22"/>
          <w:color w:val="auto"/>
        </w:rPr>
      </w:pPr>
    </w:p>
    <w:p>
      <w:pPr>
        <w:jc w:val="both"/>
        <w:ind w:firstLine="1056"/>
        <w:spacing w:after="0" w:line="233" w:lineRule="auto"/>
        <w:tabs>
          <w:tab w:leader="none" w:pos="1527" w:val="left"/>
        </w:tabs>
        <w:numPr>
          <w:ilvl w:val="1"/>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connection with any relevant taxable or tax withholding event, as applicable, the Grantee agrees to make adequate arrangements satisfactory to the Company and/or the Employer to satisfy all Tax-Related Items. In this regard, the Grantee authorizes the Company and/or the Employer, or their respective agents, at their discretion, to satisfy any applicable withholding obligations with regard to all Tax-Related Items by one or a combination of the following: (i) withholding from the Grantee’s wages or other cash compensation paid to the Grantee by the Company and/or the Employer; (ii) withholding from proceeds of the sale of shares of Stock acquired upon settlement of the Restricted Stock Units either through a voluntary sale or through a mandatory sale arranged by the Company (on the Grantee’s behalf pursuant to this authorization without further consent); (iii) withholding from shares of Stock to be issued to the Grantee upon settlement of the Restricted Stock Units; or (iv) any other method of withholding determined by the Company and permitted by applicable law; provided, however, that that if the Grantee is a Section 16 officer of the Company under the Exchange Act, then any Tax-Related Items shall be withheld only by using alternative (iii).</w:t>
      </w: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51</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ACTIVE/72134752.4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55" w:name="page156"/>
    <w:bookmarkEnd w:id="155"/>
    <w:p>
      <w:pPr>
        <w:spacing w:after="0" w:line="77" w:lineRule="exact"/>
        <w:rPr>
          <w:sz w:val="20"/>
          <w:szCs w:val="20"/>
          <w:color w:val="auto"/>
        </w:rPr>
      </w:pPr>
    </w:p>
    <w:p>
      <w:pPr>
        <w:jc w:val="both"/>
        <w:ind w:firstLine="1056"/>
        <w:spacing w:after="0" w:line="234" w:lineRule="auto"/>
        <w:tabs>
          <w:tab w:leader="none" w:pos="1527" w:val="left"/>
        </w:tabs>
        <w:numPr>
          <w:ilvl w:val="1"/>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and/or the Employer may withhold or account for Tax-Related Items by considering statutory or other withholding rates, including maximum rates applicable in the Grantee’s jurisdiction. In the event of over-withholding, the Grantee may receive a refund of any over-withheld amount in cash through the Employer’s normal payroll processes (with no entitlement to the equivalent in Stock) or, if not refunded, the Grantee may seek a refund from the local tax authorities. In the event of under-withholding, the Grantee may be required to pay additional Tax-Related Items directly to the applicable tax authority or to the Company and/or the Employer. If the obligation for Tax-Related Items is satisfied by withholding in shares of Stock, for tax purposes, the Grantee is deemed to have been issued the full number of shares of Stock subject to the vested Restricted Stock Units, notwithstanding that a number of the shares of Stock is held back solely for the purpose of paying the Tax-Related Items.</w:t>
      </w:r>
    </w:p>
    <w:p>
      <w:pPr>
        <w:spacing w:after="0" w:line="75" w:lineRule="exact"/>
        <w:rPr>
          <w:rFonts w:ascii="Times New Roman" w:cs="Times New Roman" w:eastAsia="Times New Roman" w:hAnsi="Times New Roman"/>
          <w:sz w:val="22"/>
          <w:szCs w:val="22"/>
          <w:color w:val="auto"/>
        </w:rPr>
      </w:pPr>
    </w:p>
    <w:p>
      <w:pPr>
        <w:jc w:val="both"/>
        <w:ind w:firstLine="1056"/>
        <w:spacing w:after="0" w:line="255" w:lineRule="auto"/>
        <w:tabs>
          <w:tab w:leader="none" w:pos="1527" w:val="left"/>
        </w:tabs>
        <w:numPr>
          <w:ilvl w:val="1"/>
          <w:numId w:val="11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Grantee agrees to pay to the Company or the Employer any amount of Tax-Related Items that the Company or the Employer may be required to withhold or account for as a result of the Grantee’s participation in the Plan that cannot be satisfied by the means previously described. The Company may refuse to issue or deliver the shares of Stock, or the proceeds of the sale of shares of Stock, if the Grantee fails to comply with his or her obligations in connection with the Tax-Related Items.</w:t>
      </w:r>
    </w:p>
    <w:p>
      <w:pPr>
        <w:spacing w:after="0" w:line="188" w:lineRule="exact"/>
        <w:rPr>
          <w:rFonts w:ascii="Times New Roman" w:cs="Times New Roman" w:eastAsia="Times New Roman" w:hAnsi="Times New Roman"/>
          <w:sz w:val="21"/>
          <w:szCs w:val="21"/>
          <w:color w:val="auto"/>
        </w:rPr>
      </w:pPr>
    </w:p>
    <w:p>
      <w:pPr>
        <w:jc w:val="both"/>
        <w:ind w:right="140" w:firstLine="757"/>
        <w:spacing w:after="0" w:line="244" w:lineRule="auto"/>
        <w:tabs>
          <w:tab w:leader="none" w:pos="1181" w:val="left"/>
        </w:tabs>
        <w:numPr>
          <w:ilvl w:val="0"/>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Section 409A of the Code.</w:t>
      </w:r>
      <w:r>
        <w:rPr>
          <w:rFonts w:ascii="Times New Roman" w:cs="Times New Roman" w:eastAsia="Times New Roman" w:hAnsi="Times New Roman"/>
          <w:sz w:val="22"/>
          <w:szCs w:val="22"/>
          <w:color w:val="auto"/>
        </w:rPr>
        <w:t xml:space="preserve"> This Agreement shall be interpreted in such a manner that all provisions relating to the settlement of the Award are exempt from the requirements of Section 409A of the Code as “short-term deferrals” as described in Section 409A of the Code.</w:t>
      </w:r>
    </w:p>
    <w:p>
      <w:pPr>
        <w:spacing w:after="0" w:line="173" w:lineRule="exact"/>
        <w:rPr>
          <w:rFonts w:ascii="Times New Roman" w:cs="Times New Roman" w:eastAsia="Times New Roman" w:hAnsi="Times New Roman"/>
          <w:sz w:val="22"/>
          <w:szCs w:val="22"/>
          <w:color w:val="auto"/>
        </w:rPr>
      </w:pPr>
    </w:p>
    <w:p>
      <w:pPr>
        <w:ind w:firstLine="757"/>
        <w:spacing w:after="0" w:line="239" w:lineRule="auto"/>
        <w:tabs>
          <w:tab w:leader="none" w:pos="1181" w:val="left"/>
        </w:tabs>
        <w:numPr>
          <w:ilvl w:val="0"/>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Obligation to Continue Employment</w:t>
      </w:r>
      <w:r>
        <w:rPr>
          <w:rFonts w:ascii="Times New Roman" w:cs="Times New Roman" w:eastAsia="Times New Roman" w:hAnsi="Times New Roman"/>
          <w:sz w:val="22"/>
          <w:szCs w:val="22"/>
          <w:color w:val="auto"/>
        </w:rPr>
        <w:t>. The grant of the Restricted Stock Units shall not be interpreted as forming or amending an employment contract with the Company or any Subsidiary (including the Employer), and shall not be construed as giving the Grantee the right to be retained in the employ of, the Employer. Neither the Plan nor this Agreement shall interfere in any way with the right of the Employer to terminate the employment of the Grantee at any time.</w:t>
      </w:r>
    </w:p>
    <w:p>
      <w:pPr>
        <w:spacing w:after="0" w:line="180" w:lineRule="exact"/>
        <w:rPr>
          <w:rFonts w:ascii="Times New Roman" w:cs="Times New Roman" w:eastAsia="Times New Roman" w:hAnsi="Times New Roman"/>
          <w:sz w:val="22"/>
          <w:szCs w:val="22"/>
          <w:color w:val="auto"/>
        </w:rPr>
      </w:pPr>
    </w:p>
    <w:p>
      <w:pPr>
        <w:ind w:right="340" w:firstLine="757"/>
        <w:spacing w:after="0" w:line="258" w:lineRule="auto"/>
        <w:tabs>
          <w:tab w:leader="none" w:pos="1181" w:val="left"/>
        </w:tabs>
        <w:numPr>
          <w:ilvl w:val="0"/>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Integration</w:t>
      </w:r>
      <w:r>
        <w:rPr>
          <w:rFonts w:ascii="Times New Roman" w:cs="Times New Roman" w:eastAsia="Times New Roman" w:hAnsi="Times New Roman"/>
          <w:sz w:val="22"/>
          <w:szCs w:val="22"/>
          <w:color w:val="auto"/>
        </w:rPr>
        <w:t>. This Agreement constitutes the entire agreement between the parties with respect to this Award and supersedes all prior agreements and discussions between the parties concerning such subject matter.</w:t>
      </w:r>
    </w:p>
    <w:p>
      <w:pPr>
        <w:spacing w:after="0" w:line="158" w:lineRule="exact"/>
        <w:rPr>
          <w:rFonts w:ascii="Times New Roman" w:cs="Times New Roman" w:eastAsia="Times New Roman" w:hAnsi="Times New Roman"/>
          <w:sz w:val="22"/>
          <w:szCs w:val="22"/>
          <w:color w:val="auto"/>
        </w:rPr>
      </w:pPr>
    </w:p>
    <w:p>
      <w:pPr>
        <w:ind w:left="1180" w:hanging="423"/>
        <w:spacing w:after="0"/>
        <w:tabs>
          <w:tab w:leader="none" w:pos="1180" w:val="left"/>
        </w:tabs>
        <w:numPr>
          <w:ilvl w:val="0"/>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Nature of Grant</w:t>
      </w:r>
      <w:r>
        <w:rPr>
          <w:rFonts w:ascii="Times New Roman" w:cs="Times New Roman" w:eastAsia="Times New Roman" w:hAnsi="Times New Roman"/>
          <w:sz w:val="22"/>
          <w:szCs w:val="22"/>
          <w:color w:val="auto"/>
        </w:rPr>
        <w:t>. By accepting the Award, the Grantee acknowledges, understands and agrees that:</w:t>
      </w:r>
    </w:p>
    <w:p>
      <w:pPr>
        <w:spacing w:after="0" w:line="206" w:lineRule="exact"/>
        <w:rPr>
          <w:rFonts w:ascii="Times New Roman" w:cs="Times New Roman" w:eastAsia="Times New Roman" w:hAnsi="Times New Roman"/>
          <w:sz w:val="22"/>
          <w:szCs w:val="22"/>
          <w:color w:val="auto"/>
        </w:rPr>
      </w:pPr>
    </w:p>
    <w:p>
      <w:pPr>
        <w:ind w:firstLine="1056"/>
        <w:spacing w:after="0" w:line="258" w:lineRule="auto"/>
        <w:tabs>
          <w:tab w:leader="none" w:pos="1527" w:val="left"/>
        </w:tabs>
        <w:numPr>
          <w:ilvl w:val="1"/>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Plan is established voluntarily by the Company, it is discretionary in nature, and may be amended, suspended or terminated by the Company at any time, to the extent permitted by the Plan;</w:t>
      </w:r>
    </w:p>
    <w:p>
      <w:pPr>
        <w:spacing w:after="0" w:line="50" w:lineRule="exact"/>
        <w:rPr>
          <w:rFonts w:ascii="Times New Roman" w:cs="Times New Roman" w:eastAsia="Times New Roman" w:hAnsi="Times New Roman"/>
          <w:sz w:val="22"/>
          <w:szCs w:val="22"/>
          <w:color w:val="auto"/>
        </w:rPr>
      </w:pPr>
    </w:p>
    <w:p>
      <w:pPr>
        <w:jc w:val="both"/>
        <w:ind w:firstLine="1056"/>
        <w:spacing w:after="0" w:line="244" w:lineRule="auto"/>
        <w:tabs>
          <w:tab w:leader="none" w:pos="1527" w:val="left"/>
        </w:tabs>
        <w:numPr>
          <w:ilvl w:val="1"/>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grant of the Restricted Stock Units is exceptional, voluntary and occasional and does not create any contractual or other right to receive future grants of Restricted Stock Units, or benefits in lieu of Restricted Stock Units, even if Restricted Stock Units have been granted in the past;</w:t>
      </w:r>
    </w:p>
    <w:p>
      <w:pPr>
        <w:spacing w:after="0" w:line="65" w:lineRule="exact"/>
        <w:rPr>
          <w:rFonts w:ascii="Times New Roman" w:cs="Times New Roman" w:eastAsia="Times New Roman" w:hAnsi="Times New Roman"/>
          <w:sz w:val="22"/>
          <w:szCs w:val="22"/>
          <w:color w:val="auto"/>
        </w:rPr>
      </w:pPr>
    </w:p>
    <w:p>
      <w:pPr>
        <w:ind w:left="1540" w:hanging="484"/>
        <w:spacing w:after="0"/>
        <w:tabs>
          <w:tab w:leader="none" w:pos="1540" w:val="left"/>
        </w:tabs>
        <w:numPr>
          <w:ilvl w:val="1"/>
          <w:numId w:val="11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all decisions with respect to future Restricted Stock Units or other grants, if any, will be at the sole discretion of</w:t>
      </w:r>
    </w:p>
    <w:p>
      <w:pPr>
        <w:spacing w:after="0" w:line="25"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the Company;</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52</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ACTIVE/72134752.4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6" w:name="page157"/>
    <w:bookmarkEnd w:id="156"/>
    <w:p>
      <w:pPr>
        <w:spacing w:after="0" w:line="77" w:lineRule="exact"/>
        <w:rPr>
          <w:sz w:val="20"/>
          <w:szCs w:val="20"/>
          <w:color w:val="auto"/>
        </w:rPr>
      </w:pPr>
    </w:p>
    <w:p>
      <w:pPr>
        <w:ind w:left="1540" w:hanging="484"/>
        <w:spacing w:after="0"/>
        <w:tabs>
          <w:tab w:leader="none" w:pos="1540" w:val="left"/>
        </w:tabs>
        <w:numPr>
          <w:ilvl w:val="1"/>
          <w:numId w:val="1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Grantee is voluntarily participating in the Plan;</w:t>
      </w:r>
    </w:p>
    <w:p>
      <w:pPr>
        <w:spacing w:after="0" w:line="98" w:lineRule="exact"/>
        <w:rPr>
          <w:rFonts w:ascii="Times New Roman" w:cs="Times New Roman" w:eastAsia="Times New Roman" w:hAnsi="Times New Roman"/>
          <w:sz w:val="22"/>
          <w:szCs w:val="22"/>
          <w:color w:val="auto"/>
        </w:rPr>
      </w:pPr>
    </w:p>
    <w:p>
      <w:pPr>
        <w:ind w:firstLine="1056"/>
        <w:spacing w:after="0" w:line="258" w:lineRule="auto"/>
        <w:tabs>
          <w:tab w:leader="none" w:pos="1527" w:val="left"/>
        </w:tabs>
        <w:numPr>
          <w:ilvl w:val="1"/>
          <w:numId w:val="1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Restricted Stock Units and any shares of Stock subject to the Restricted Stock Units, and the income from and value of same, are not intended to replace any pension rights or compensation;</w:t>
      </w:r>
    </w:p>
    <w:p>
      <w:pPr>
        <w:spacing w:after="0" w:line="50" w:lineRule="exact"/>
        <w:rPr>
          <w:rFonts w:ascii="Times New Roman" w:cs="Times New Roman" w:eastAsia="Times New Roman" w:hAnsi="Times New Roman"/>
          <w:sz w:val="22"/>
          <w:szCs w:val="22"/>
          <w:color w:val="auto"/>
        </w:rPr>
      </w:pPr>
    </w:p>
    <w:p>
      <w:pPr>
        <w:jc w:val="both"/>
        <w:ind w:firstLine="1056"/>
        <w:spacing w:after="0" w:line="244" w:lineRule="auto"/>
        <w:tabs>
          <w:tab w:leader="none" w:pos="1527" w:val="left"/>
        </w:tabs>
        <w:numPr>
          <w:ilvl w:val="1"/>
          <w:numId w:val="1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unless otherwise agreed with the Company, the Restricted Stock Units and the shares of Stock subject to the Restricted Stock Units, and the income from and value of same, are not granted as consideration for, or in connection with, the service the Grantee may provide as a director of a Subsidiary or Affiliate;</w:t>
      </w:r>
    </w:p>
    <w:p>
      <w:pPr>
        <w:spacing w:after="0" w:line="65" w:lineRule="exact"/>
        <w:rPr>
          <w:rFonts w:ascii="Times New Roman" w:cs="Times New Roman" w:eastAsia="Times New Roman" w:hAnsi="Times New Roman"/>
          <w:sz w:val="22"/>
          <w:szCs w:val="22"/>
          <w:color w:val="auto"/>
        </w:rPr>
      </w:pPr>
    </w:p>
    <w:p>
      <w:pPr>
        <w:jc w:val="both"/>
        <w:ind w:firstLine="1056"/>
        <w:spacing w:after="0" w:line="239" w:lineRule="auto"/>
        <w:tabs>
          <w:tab w:leader="none" w:pos="1527" w:val="left"/>
        </w:tabs>
        <w:numPr>
          <w:ilvl w:val="1"/>
          <w:numId w:val="1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Restricted Stock Units and any shares of Stock subject to the Restricted Stock Units, and the income from and value of same, are not part of normal or expected compensation for purposes of, including, without limitation, calculating any severance, resignation, termination, redundancy, dismissal, end-of-service payments, bonuses, long-service awards, holiday pay, pension or retirement or welfare benefits or similar mandatory payments;</w:t>
      </w:r>
    </w:p>
    <w:p>
      <w:pPr>
        <w:spacing w:after="0" w:line="72" w:lineRule="exact"/>
        <w:rPr>
          <w:rFonts w:ascii="Times New Roman" w:cs="Times New Roman" w:eastAsia="Times New Roman" w:hAnsi="Times New Roman"/>
          <w:sz w:val="22"/>
          <w:szCs w:val="22"/>
          <w:color w:val="auto"/>
        </w:rPr>
      </w:pPr>
    </w:p>
    <w:p>
      <w:pPr>
        <w:ind w:firstLine="1056"/>
        <w:spacing w:after="0" w:line="258" w:lineRule="auto"/>
        <w:tabs>
          <w:tab w:leader="none" w:pos="1527" w:val="left"/>
        </w:tabs>
        <w:numPr>
          <w:ilvl w:val="1"/>
          <w:numId w:val="1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future value of the shares of Stock underlying the Restricted Stock Units is unknown, indeterminable, and cannot be predicted with certainty;</w:t>
      </w:r>
    </w:p>
    <w:p>
      <w:pPr>
        <w:spacing w:after="0" w:line="50" w:lineRule="exact"/>
        <w:rPr>
          <w:rFonts w:ascii="Times New Roman" w:cs="Times New Roman" w:eastAsia="Times New Roman" w:hAnsi="Times New Roman"/>
          <w:sz w:val="22"/>
          <w:szCs w:val="22"/>
          <w:color w:val="auto"/>
        </w:rPr>
      </w:pPr>
    </w:p>
    <w:p>
      <w:pPr>
        <w:jc w:val="both"/>
        <w:ind w:firstLine="1056"/>
        <w:spacing w:after="0" w:line="239" w:lineRule="auto"/>
        <w:tabs>
          <w:tab w:leader="none" w:pos="1527" w:val="left"/>
        </w:tabs>
        <w:numPr>
          <w:ilvl w:val="1"/>
          <w:numId w:val="1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claim or entitlement to compensation or damages shall arise from forfeiture of the Restricted Stock Units resulting from the termination of the Grantee’s employment (for any reason whatsoever, whether or not later found to be invalid or in breach of applicable labor laws in the jurisdiction where the Grantee is employed or the terms of the Grantee’s employment agreement, if any);</w:t>
      </w:r>
    </w:p>
    <w:p>
      <w:pPr>
        <w:spacing w:after="0" w:line="72" w:lineRule="exact"/>
        <w:rPr>
          <w:rFonts w:ascii="Times New Roman" w:cs="Times New Roman" w:eastAsia="Times New Roman" w:hAnsi="Times New Roman"/>
          <w:sz w:val="22"/>
          <w:szCs w:val="22"/>
          <w:color w:val="auto"/>
        </w:rPr>
      </w:pPr>
    </w:p>
    <w:p>
      <w:pPr>
        <w:jc w:val="both"/>
        <w:ind w:firstLine="1056"/>
        <w:spacing w:after="0" w:line="239" w:lineRule="auto"/>
        <w:tabs>
          <w:tab w:leader="none" w:pos="1527" w:val="left"/>
        </w:tabs>
        <w:numPr>
          <w:ilvl w:val="1"/>
          <w:numId w:val="1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unless otherwise provided in the Plan or by the Company in its discretion, the Restricted Stock Units and the benefits evidenced by this Agreement do not create any entitlement to have the Restricted Stock Units or any such benefits transferred to, or assumed by, another company nor to be exchanged, cashed out or substituted for, in connection with any corporate transaction affecting the shares of Stock; and</w:t>
      </w:r>
    </w:p>
    <w:p>
      <w:pPr>
        <w:spacing w:after="0" w:line="72" w:lineRule="exact"/>
        <w:rPr>
          <w:rFonts w:ascii="Times New Roman" w:cs="Times New Roman" w:eastAsia="Times New Roman" w:hAnsi="Times New Roman"/>
          <w:sz w:val="22"/>
          <w:szCs w:val="22"/>
          <w:color w:val="auto"/>
        </w:rPr>
      </w:pPr>
    </w:p>
    <w:p>
      <w:pPr>
        <w:ind w:left="1540" w:hanging="484"/>
        <w:spacing w:after="0"/>
        <w:tabs>
          <w:tab w:leader="none" w:pos="1540" w:val="left"/>
        </w:tabs>
        <w:numPr>
          <w:ilvl w:val="1"/>
          <w:numId w:val="1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Grantee resides and/or works in a country outside the United States, the following shall apply:</w:t>
      </w:r>
    </w:p>
    <w:p>
      <w:pPr>
        <w:spacing w:after="0" w:line="14" w:lineRule="exact"/>
        <w:rPr>
          <w:rFonts w:ascii="Times New Roman" w:cs="Times New Roman" w:eastAsia="Times New Roman" w:hAnsi="Times New Roman"/>
          <w:sz w:val="22"/>
          <w:szCs w:val="22"/>
          <w:color w:val="auto"/>
        </w:rPr>
      </w:pPr>
    </w:p>
    <w:p>
      <w:pPr>
        <w:ind w:left="1500" w:right="20" w:firstLine="754"/>
        <w:spacing w:after="0" w:line="237" w:lineRule="auto"/>
        <w:tabs>
          <w:tab w:leader="none" w:pos="2681" w:val="left"/>
        </w:tabs>
        <w:numPr>
          <w:ilvl w:val="2"/>
          <w:numId w:val="1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Restricted Stock Units and any shares of Stock subject to the Restricted Stock Units, and the income from and value of same, are not part of normal or expected compensation for any purpose;</w:t>
      </w:r>
    </w:p>
    <w:p>
      <w:pPr>
        <w:spacing w:after="0" w:line="178" w:lineRule="exact"/>
        <w:rPr>
          <w:rFonts w:ascii="Times New Roman" w:cs="Times New Roman" w:eastAsia="Times New Roman" w:hAnsi="Times New Roman"/>
          <w:sz w:val="22"/>
          <w:szCs w:val="22"/>
          <w:color w:val="auto"/>
        </w:rPr>
      </w:pPr>
    </w:p>
    <w:p>
      <w:pPr>
        <w:jc w:val="both"/>
        <w:ind w:left="1500" w:firstLine="754"/>
        <w:spacing w:after="0" w:line="239" w:lineRule="auto"/>
        <w:tabs>
          <w:tab w:leader="none" w:pos="2681" w:val="left"/>
        </w:tabs>
        <w:numPr>
          <w:ilvl w:val="2"/>
          <w:numId w:val="1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neither the Company, the Employer nor any other Subsidiary shall be liable for any foreign exchange rate fluctuation between the Grantee’s local currency and the United States Dollar that may affect the value of the Restricted Stock Units or of any amounts due to the Grantee pursuant to the settlement of the Restricted Stock Units or the subsequent sale of any shares of Stock acquired upon settlement.</w:t>
      </w:r>
    </w:p>
    <w:p>
      <w:pPr>
        <w:spacing w:after="0" w:line="180" w:lineRule="exact"/>
        <w:rPr>
          <w:rFonts w:ascii="Times New Roman" w:cs="Times New Roman" w:eastAsia="Times New Roman" w:hAnsi="Times New Roman"/>
          <w:sz w:val="22"/>
          <w:szCs w:val="22"/>
          <w:color w:val="auto"/>
        </w:rPr>
      </w:pPr>
    </w:p>
    <w:p>
      <w:pPr>
        <w:ind w:right="120" w:firstLine="757"/>
        <w:spacing w:after="0" w:line="238" w:lineRule="auto"/>
        <w:tabs>
          <w:tab w:leader="none" w:pos="1181" w:val="left"/>
        </w:tabs>
        <w:numPr>
          <w:ilvl w:val="0"/>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Appendix</w:t>
      </w:r>
      <w:r>
        <w:rPr>
          <w:rFonts w:ascii="Times New Roman" w:cs="Times New Roman" w:eastAsia="Times New Roman" w:hAnsi="Times New Roman"/>
          <w:sz w:val="22"/>
          <w:szCs w:val="22"/>
          <w:color w:val="auto"/>
        </w:rPr>
        <w:t>. Notwithstanding any provision of this Global Restricted Stock Unit Award Agreement, if the Grantee resides in a country outside the United States or is otherwise subject to the laws of a country other than the United States, the Restricted Stock Units shall be subject to the additional terms and conditions set forth in the Appendix for the Grantee’s country, if any. Moreover, if the Grantee relocates to one of the countries included in the Appendix during the term of the Restricted Stock Units, the terms and conditions for such country shall</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53</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ACTIVE/72134752.4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7" w:name="page158"/>
    <w:bookmarkEnd w:id="157"/>
    <w:p>
      <w:pPr>
        <w:ind w:right="480"/>
        <w:spacing w:after="0" w:line="258" w:lineRule="auto"/>
        <w:rPr>
          <w:sz w:val="20"/>
          <w:szCs w:val="20"/>
          <w:color w:val="auto"/>
        </w:rPr>
      </w:pPr>
      <w:r>
        <w:rPr>
          <w:rFonts w:ascii="Times New Roman" w:cs="Times New Roman" w:eastAsia="Times New Roman" w:hAnsi="Times New Roman"/>
          <w:sz w:val="22"/>
          <w:szCs w:val="22"/>
          <w:color w:val="auto"/>
        </w:rPr>
        <w:t>apply to the Grantee, to the extent the Company determines that the application of such terms and conditions is necessary or advisable for legal or administrative reasons. The Appendix forms part of this Agreement.</w:t>
      </w:r>
    </w:p>
    <w:p>
      <w:pPr>
        <w:spacing w:after="0" w:line="158" w:lineRule="exact"/>
        <w:rPr>
          <w:sz w:val="20"/>
          <w:szCs w:val="20"/>
          <w:color w:val="auto"/>
        </w:rPr>
      </w:pPr>
    </w:p>
    <w:p>
      <w:pPr>
        <w:ind w:right="100" w:firstLine="757"/>
        <w:spacing w:after="0" w:line="238" w:lineRule="auto"/>
        <w:tabs>
          <w:tab w:leader="none" w:pos="1181" w:val="left"/>
        </w:tabs>
        <w:numPr>
          <w:ilvl w:val="0"/>
          <w:numId w:val="1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Language</w:t>
      </w:r>
      <w:r>
        <w:rPr>
          <w:rFonts w:ascii="Times New Roman" w:cs="Times New Roman" w:eastAsia="Times New Roman" w:hAnsi="Times New Roman"/>
          <w:sz w:val="22"/>
          <w:szCs w:val="22"/>
          <w:color w:val="auto"/>
        </w:rPr>
        <w:t>. The Grantee acknowledges that he or she is proficient in the English language or has consulted with an advisor who is sufficiently proficient in English, so as to allow the Grantee to understand the terms and conditions of this Agreement. If the Grantee has received this Agreement, or any other documents related to the Restricted Stock Units and/or the Plan translated into a language other than English and if the meaning of the translated version is different than the English version, the English version will control.</w:t>
      </w:r>
    </w:p>
    <w:p>
      <w:pPr>
        <w:spacing w:after="0" w:line="176" w:lineRule="exact"/>
        <w:rPr>
          <w:rFonts w:ascii="Times New Roman" w:cs="Times New Roman" w:eastAsia="Times New Roman" w:hAnsi="Times New Roman"/>
          <w:sz w:val="22"/>
          <w:szCs w:val="22"/>
          <w:color w:val="auto"/>
        </w:rPr>
      </w:pPr>
    </w:p>
    <w:p>
      <w:pPr>
        <w:ind w:firstLine="757"/>
        <w:spacing w:after="0" w:line="244" w:lineRule="auto"/>
        <w:tabs>
          <w:tab w:leader="none" w:pos="1181" w:val="left"/>
        </w:tabs>
        <w:numPr>
          <w:ilvl w:val="0"/>
          <w:numId w:val="1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Notices</w:t>
      </w:r>
      <w:r>
        <w:rPr>
          <w:rFonts w:ascii="Times New Roman" w:cs="Times New Roman" w:eastAsia="Times New Roman" w:hAnsi="Times New Roman"/>
          <w:sz w:val="22"/>
          <w:szCs w:val="22"/>
          <w:color w:val="auto"/>
        </w:rPr>
        <w:t>. Notices hereunder shall be mailed or delivered to the Company at its principal place of business and shall be mailed or delivered to the Grantee at the address on file with the Company or, in either case, at such other address as one party may subsequently furnish to the other party in writing.</w:t>
      </w:r>
    </w:p>
    <w:p>
      <w:pPr>
        <w:spacing w:after="0" w:line="173" w:lineRule="exact"/>
        <w:rPr>
          <w:rFonts w:ascii="Times New Roman" w:cs="Times New Roman" w:eastAsia="Times New Roman" w:hAnsi="Times New Roman"/>
          <w:sz w:val="22"/>
          <w:szCs w:val="22"/>
          <w:color w:val="auto"/>
        </w:rPr>
      </w:pPr>
    </w:p>
    <w:p>
      <w:pPr>
        <w:ind w:right="200" w:firstLine="757"/>
        <w:spacing w:after="0" w:line="244" w:lineRule="auto"/>
        <w:tabs>
          <w:tab w:leader="none" w:pos="1181" w:val="left"/>
        </w:tabs>
        <w:numPr>
          <w:ilvl w:val="0"/>
          <w:numId w:val="1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Waivers</w:t>
      </w:r>
      <w:r>
        <w:rPr>
          <w:rFonts w:ascii="Times New Roman" w:cs="Times New Roman" w:eastAsia="Times New Roman" w:hAnsi="Times New Roman"/>
          <w:sz w:val="22"/>
          <w:szCs w:val="22"/>
          <w:color w:val="auto"/>
        </w:rPr>
        <w:t>. The Grantee acknowledges that a waiver by the Company of breach of any provision of this Agreement shall not operate or be construed as a waiver of any other provision of this Agreement, or of any subsequent breach by the Grantee or any other Grantee</w:t>
      </w:r>
      <w:r>
        <w:rPr>
          <w:rFonts w:ascii="Times New Roman" w:cs="Times New Roman" w:eastAsia="Times New Roman" w:hAnsi="Times New Roman"/>
          <w:sz w:val="22"/>
          <w:szCs w:val="22"/>
          <w:b w:val="1"/>
          <w:bCs w:val="1"/>
          <w:color w:val="auto"/>
        </w:rPr>
        <w:t>.</w:t>
      </w:r>
    </w:p>
    <w:p>
      <w:pPr>
        <w:spacing w:after="0" w:line="173" w:lineRule="exact"/>
        <w:rPr>
          <w:rFonts w:ascii="Times New Roman" w:cs="Times New Roman" w:eastAsia="Times New Roman" w:hAnsi="Times New Roman"/>
          <w:sz w:val="22"/>
          <w:szCs w:val="22"/>
          <w:color w:val="auto"/>
        </w:rPr>
      </w:pPr>
    </w:p>
    <w:p>
      <w:pPr>
        <w:ind w:right="240" w:firstLine="757"/>
        <w:spacing w:after="0" w:line="258" w:lineRule="auto"/>
        <w:tabs>
          <w:tab w:leader="none" w:pos="1181" w:val="left"/>
        </w:tabs>
        <w:numPr>
          <w:ilvl w:val="0"/>
          <w:numId w:val="1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Choice of Law</w:t>
      </w:r>
      <w:r>
        <w:rPr>
          <w:rFonts w:ascii="Times New Roman" w:cs="Times New Roman" w:eastAsia="Times New Roman" w:hAnsi="Times New Roman"/>
          <w:sz w:val="22"/>
          <w:szCs w:val="22"/>
          <w:color w:val="auto"/>
        </w:rPr>
        <w:t>. This Agreement shall be governed by, and construed in accordance with, the laws of the State of Delaware, applied without regard to conflict of law principles.</w:t>
      </w:r>
    </w:p>
    <w:p>
      <w:pPr>
        <w:spacing w:after="0" w:line="158" w:lineRule="exact"/>
        <w:rPr>
          <w:rFonts w:ascii="Times New Roman" w:cs="Times New Roman" w:eastAsia="Times New Roman" w:hAnsi="Times New Roman"/>
          <w:sz w:val="22"/>
          <w:szCs w:val="22"/>
          <w:color w:val="auto"/>
        </w:rPr>
      </w:pPr>
    </w:p>
    <w:p>
      <w:pPr>
        <w:ind w:right="60" w:firstLine="757"/>
        <w:spacing w:after="0" w:line="239" w:lineRule="auto"/>
        <w:tabs>
          <w:tab w:leader="none" w:pos="1181" w:val="left"/>
        </w:tabs>
        <w:numPr>
          <w:ilvl w:val="0"/>
          <w:numId w:val="1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Venue</w:t>
      </w:r>
      <w:r>
        <w:rPr>
          <w:rFonts w:ascii="Times New Roman" w:cs="Times New Roman" w:eastAsia="Times New Roman" w:hAnsi="Times New Roman"/>
          <w:sz w:val="22"/>
          <w:szCs w:val="22"/>
          <w:color w:val="auto"/>
        </w:rPr>
        <w:t>. For purposes of litigating any dispute that arises directly or indirectly from the relationship of the parties evidenced by this Agreement, the parties hereby submit to and consent to the exclusive jurisdiction of the State of Massachusetts and agree that such litigation shall be conducted only in the courts of Middlesex County, Massachusetts, or the federal courts for the Commonwealth of Massachusetts, where this grant is made and/or to be performed, and no other courts.</w:t>
      </w:r>
    </w:p>
    <w:p>
      <w:pPr>
        <w:spacing w:after="0" w:line="180" w:lineRule="exact"/>
        <w:rPr>
          <w:rFonts w:ascii="Times New Roman" w:cs="Times New Roman" w:eastAsia="Times New Roman" w:hAnsi="Times New Roman"/>
          <w:sz w:val="22"/>
          <w:szCs w:val="22"/>
          <w:color w:val="auto"/>
        </w:rPr>
      </w:pPr>
    </w:p>
    <w:p>
      <w:pPr>
        <w:ind w:firstLine="757"/>
        <w:spacing w:after="0" w:line="282" w:lineRule="auto"/>
        <w:tabs>
          <w:tab w:leader="none" w:pos="1181" w:val="left"/>
        </w:tabs>
        <w:numPr>
          <w:ilvl w:val="0"/>
          <w:numId w:val="11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Severability</w:t>
      </w:r>
      <w:r>
        <w:rPr>
          <w:rFonts w:ascii="Times New Roman" w:cs="Times New Roman" w:eastAsia="Times New Roman" w:hAnsi="Times New Roman"/>
          <w:sz w:val="21"/>
          <w:szCs w:val="21"/>
          <w:color w:val="auto"/>
        </w:rPr>
        <w:t>. The provisions of this Agreement are severable and if any one or more provisions are determined to be illegal or otherwise unenforceable, in whole or in part, the remaining provisions shall nevertheless be binding and enforceable.</w:t>
      </w:r>
    </w:p>
    <w:p>
      <w:pPr>
        <w:spacing w:after="0" w:line="134" w:lineRule="exact"/>
        <w:rPr>
          <w:rFonts w:ascii="Times New Roman" w:cs="Times New Roman" w:eastAsia="Times New Roman" w:hAnsi="Times New Roman"/>
          <w:sz w:val="21"/>
          <w:szCs w:val="21"/>
          <w:color w:val="auto"/>
        </w:rPr>
      </w:pPr>
    </w:p>
    <w:p>
      <w:pPr>
        <w:ind w:right="20" w:firstLine="757"/>
        <w:spacing w:after="0" w:line="239" w:lineRule="auto"/>
        <w:tabs>
          <w:tab w:leader="none" w:pos="1181" w:val="left"/>
        </w:tabs>
        <w:numPr>
          <w:ilvl w:val="0"/>
          <w:numId w:val="1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Imposition of Other Requirements</w:t>
      </w:r>
      <w:r>
        <w:rPr>
          <w:rFonts w:ascii="Times New Roman" w:cs="Times New Roman" w:eastAsia="Times New Roman" w:hAnsi="Times New Roman"/>
          <w:sz w:val="22"/>
          <w:szCs w:val="22"/>
          <w:color w:val="auto"/>
        </w:rPr>
        <w:t>. The Company reserves the right to impose other requirements on the Restricted Stock Units and the shares of Stock acquired upon settlement of the Restricted Stock Units, to the extent the Company determines it is necessary or advisable for legal or administrative reasons, and to require the Grantee to accept any additional agreements or undertakings that may be necessary to accomplish the foregoing.</w:t>
      </w:r>
    </w:p>
    <w:p>
      <w:pPr>
        <w:spacing w:after="0" w:line="180" w:lineRule="exact"/>
        <w:rPr>
          <w:rFonts w:ascii="Times New Roman" w:cs="Times New Roman" w:eastAsia="Times New Roman" w:hAnsi="Times New Roman"/>
          <w:sz w:val="22"/>
          <w:szCs w:val="22"/>
          <w:color w:val="auto"/>
        </w:rPr>
      </w:pPr>
    </w:p>
    <w:p>
      <w:pPr>
        <w:jc w:val="both"/>
        <w:ind w:firstLine="757"/>
        <w:spacing w:after="0" w:line="239" w:lineRule="auto"/>
        <w:tabs>
          <w:tab w:leader="none" w:pos="1181" w:val="left"/>
        </w:tabs>
        <w:numPr>
          <w:ilvl w:val="0"/>
          <w:numId w:val="1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Electronic Delivery and Acceptance of Documents</w:t>
      </w:r>
      <w:r>
        <w:rPr>
          <w:rFonts w:ascii="Times New Roman" w:cs="Times New Roman" w:eastAsia="Times New Roman" w:hAnsi="Times New Roman"/>
          <w:sz w:val="22"/>
          <w:szCs w:val="22"/>
          <w:color w:val="auto"/>
        </w:rPr>
        <w:t>. The Company may, in its sole discretion, decide to deliver any documents related to current or future participation in the Plan by electronic means. The Grantee hereby consents to receive such documents by electronic delivery and agree to participate in the Plan through an on-line or electronic system established and maintained by the Company or a third party designated by the Company.</w:t>
      </w:r>
    </w:p>
    <w:p>
      <w:pPr>
        <w:spacing w:after="0" w:line="200" w:lineRule="exact"/>
        <w:rPr>
          <w:sz w:val="20"/>
          <w:szCs w:val="20"/>
          <w:color w:val="auto"/>
        </w:rPr>
      </w:pPr>
    </w:p>
    <w:p>
      <w:pPr>
        <w:spacing w:after="0" w:line="23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54</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ACTIVE/72134752.4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08" w:right="379" w:bottom="1440" w:gutter="0" w:footer="0" w:header="0"/>
        </w:sectPr>
      </w:pPr>
    </w:p>
    <w:bookmarkStart w:id="158" w:name="page159"/>
    <w:bookmarkEnd w:id="158"/>
    <w:p>
      <w:pPr>
        <w:ind w:firstLine="757"/>
        <w:spacing w:after="0" w:line="233" w:lineRule="auto"/>
        <w:tabs>
          <w:tab w:leader="none" w:pos="1181" w:val="left"/>
        </w:tabs>
        <w:numPr>
          <w:ilvl w:val="0"/>
          <w:numId w:val="1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Compliance with Law</w:t>
      </w:r>
      <w:r>
        <w:rPr>
          <w:rFonts w:ascii="Times New Roman" w:cs="Times New Roman" w:eastAsia="Times New Roman" w:hAnsi="Times New Roman"/>
          <w:sz w:val="22"/>
          <w:szCs w:val="22"/>
          <w:color w:val="auto"/>
        </w:rPr>
        <w:t>. Notwithstanding any other provision of the Plan or this Agreement, unless there is an available exemption from any registration, qualification or other legal requirement applicable to the Stock, the Company shall not be required to permit the vesting of the Restricted Stock Units and/or deliver any shares of Stock prior to the completion of any registration or qualification of the shares of Stock under any U.S. or non-U.S. local, state or federal securities or other applicable law or under rulings or regulations of the U.S. Securities and Exchange Commission (“SEC”) or of any other governmental regulatory body, or prior to obtaining any approval or other clearance from any U.S. or non-U.S. local, state or federal governmental agency, which registration, qualification or approval the Company shall, in its absolute discretion, deem necessary or advisable. The Grantee understands that the Company is under no obligation to register or qualify the Stock with the SEC or any state or non-U.S. securities commission or to seek approval or clearance from any governmental authority for the issuance or sale of the shares of Stock subject to the Restricted Stock Units. Further, the Grantee agrees that the Company shall have unilateral authority to amend this Agreement without the Grantee’s consent to the extent necessary to comply with securities or other laws applicable to issuance of the shares of Stock subject to the Restricted Stock Units.</w:t>
      </w:r>
    </w:p>
    <w:p>
      <w:pPr>
        <w:spacing w:after="0" w:line="184" w:lineRule="exact"/>
        <w:rPr>
          <w:rFonts w:ascii="Times New Roman" w:cs="Times New Roman" w:eastAsia="Times New Roman" w:hAnsi="Times New Roman"/>
          <w:sz w:val="22"/>
          <w:szCs w:val="22"/>
          <w:color w:val="auto"/>
        </w:rPr>
      </w:pPr>
    </w:p>
    <w:p>
      <w:pPr>
        <w:ind w:right="20" w:firstLine="757"/>
        <w:spacing w:after="0" w:line="233" w:lineRule="auto"/>
        <w:tabs>
          <w:tab w:leader="none" w:pos="1181" w:val="left"/>
        </w:tabs>
        <w:numPr>
          <w:ilvl w:val="0"/>
          <w:numId w:val="1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Insider Trading Restrictions / Market Abuse Laws</w:t>
      </w:r>
      <w:r>
        <w:rPr>
          <w:rFonts w:ascii="Times New Roman" w:cs="Times New Roman" w:eastAsia="Times New Roman" w:hAnsi="Times New Roman"/>
          <w:sz w:val="22"/>
          <w:szCs w:val="22"/>
          <w:color w:val="auto"/>
        </w:rPr>
        <w:t>. By accepting the Restricted Stock Units, the Grantee acknowledges that he or she is bound by all the terms and conditions of any Company’s insider trading policy as may be in effect from time to time. The Grantee further acknowledges that, depending on the Grantee’s country, the broker's country or the country in which the shares of Stock are listed, the Grantee may be or may become subject to insider trading restrictions and/or market abuse laws which may affect the Grantee’s ability to accept, acquire, sell or otherwise dispose of shares of Stock, rights to shares of Stock (</w:t>
      </w:r>
      <w:r>
        <w:rPr>
          <w:rFonts w:ascii="Times New Roman" w:cs="Times New Roman" w:eastAsia="Times New Roman" w:hAnsi="Times New Roman"/>
          <w:sz w:val="22"/>
          <w:szCs w:val="22"/>
          <w:i w:val="1"/>
          <w:iCs w:val="1"/>
          <w:color w:val="auto"/>
        </w:rPr>
        <w:t>e.g.</w:t>
      </w:r>
      <w:r>
        <w:rPr>
          <w:rFonts w:ascii="Times New Roman" w:cs="Times New Roman" w:eastAsia="Times New Roman" w:hAnsi="Times New Roman"/>
          <w:sz w:val="22"/>
          <w:szCs w:val="22"/>
          <w:color w:val="auto"/>
        </w:rPr>
        <w:t>, Restricted Stock Units) or rights linked to the value of shares of Stock under the Plan during such times as the Grantee is considered to have “inside information” regarding the Company (as defined by the laws in the applicable jurisdictions). Local insider trading laws and regulations may prohibit the cancellation or amendment of orders the Grantee placed before the Grantee possessed inside information. Furthermore, the Grantee could be prohibited from (i) disclosing the inside information to any third party, which may include fellow employees and (ii) “tipping” third parties or causing them otherwise to buy or sell securities. Any restrictions under these laws or regulations are separate from and in addition to any restrictions that may be imposed under any Company’s insider trading policy as may be in effect from time to time. The Grantee acknowledges that it is the Grantee’s responsibility to comply with any applicable restrictions, and the Grantee should speak to his or her personal advisor on this matter.</w:t>
      </w:r>
    </w:p>
    <w:p>
      <w:pPr>
        <w:spacing w:after="0" w:line="179" w:lineRule="exact"/>
        <w:rPr>
          <w:rFonts w:ascii="Times New Roman" w:cs="Times New Roman" w:eastAsia="Times New Roman" w:hAnsi="Times New Roman"/>
          <w:sz w:val="22"/>
          <w:szCs w:val="22"/>
          <w:color w:val="auto"/>
        </w:rPr>
      </w:pPr>
    </w:p>
    <w:p>
      <w:pPr>
        <w:ind w:right="40" w:firstLine="757"/>
        <w:spacing w:after="0" w:line="235" w:lineRule="auto"/>
        <w:tabs>
          <w:tab w:leader="none" w:pos="1181" w:val="left"/>
        </w:tabs>
        <w:numPr>
          <w:ilvl w:val="0"/>
          <w:numId w:val="1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Foreign Asset/Account, Exchange Control and Tax Reporting</w:t>
      </w:r>
      <w:r>
        <w:rPr>
          <w:rFonts w:ascii="Times New Roman" w:cs="Times New Roman" w:eastAsia="Times New Roman" w:hAnsi="Times New Roman"/>
          <w:sz w:val="22"/>
          <w:szCs w:val="22"/>
          <w:color w:val="auto"/>
        </w:rPr>
        <w:t>. Depending on the Grantee’s country, the Grantee may be subject to foreign asset/account, exchange control, tax reporting or other requirements which may affect the Grantee’s ability acquire or hold Restricted Stock Units or shares of Stock under the Plan or cash received from participating in the Plan (including dividends and the proceeds arising from the sale of shares of Stock) in a brokerage/bank account outside the Grantee’s country. The applicable laws of the Grantee’s country may require that he or she report such Restricted Stock Units, shares of Stock, accounts, assets or transactions to the applicable authorities in such country and/or repatriate funds received in connection with the Plan to the Grantee’s country within a certain time period or according to certain procedures. The Grantee acknowledges that he or she is responsible for</w:t>
      </w: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55</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ACTIVE/72134752.4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8" w:right="359" w:bottom="1440" w:gutter="0" w:footer="0" w:header="0"/>
        </w:sectPr>
      </w:pPr>
    </w:p>
    <w:bookmarkStart w:id="159" w:name="page160"/>
    <w:bookmarkEnd w:id="159"/>
    <w:p>
      <w:pPr>
        <w:ind w:right="120"/>
        <w:spacing w:after="0" w:line="258" w:lineRule="auto"/>
        <w:rPr>
          <w:sz w:val="20"/>
          <w:szCs w:val="20"/>
          <w:color w:val="auto"/>
        </w:rPr>
      </w:pPr>
      <w:r>
        <w:rPr>
          <w:rFonts w:ascii="Times New Roman" w:cs="Times New Roman" w:eastAsia="Times New Roman" w:hAnsi="Times New Roman"/>
          <w:sz w:val="22"/>
          <w:szCs w:val="22"/>
          <w:color w:val="auto"/>
        </w:rPr>
        <w:t>ensuring compliance with any applicable requirements and should consult his or her personal legal advisor to ensure compliance with applicable laws.</w:t>
      </w:r>
    </w:p>
    <w:p>
      <w:pPr>
        <w:spacing w:after="0" w:line="158" w:lineRule="exact"/>
        <w:rPr>
          <w:sz w:val="20"/>
          <w:szCs w:val="20"/>
          <w:color w:val="auto"/>
        </w:rPr>
      </w:pPr>
    </w:p>
    <w:p>
      <w:pPr>
        <w:ind w:right="120" w:firstLine="757"/>
        <w:spacing w:after="0" w:line="239" w:lineRule="auto"/>
        <w:tabs>
          <w:tab w:leader="none" w:pos="1181" w:val="left"/>
        </w:tabs>
        <w:numPr>
          <w:ilvl w:val="0"/>
          <w:numId w:val="1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Incorporation of Policy for Recoupment of Incentive Compensation.</w:t>
      </w:r>
      <w:r>
        <w:rPr>
          <w:rFonts w:ascii="Times New Roman" w:cs="Times New Roman" w:eastAsia="Times New Roman" w:hAnsi="Times New Roman"/>
          <w:sz w:val="22"/>
          <w:szCs w:val="22"/>
          <w:color w:val="auto"/>
        </w:rPr>
        <w:t xml:space="preserve"> Notwithstanding anything herein to the contrary, this Award of Restricted Stock Units shall be subject to and governed by all the terms and conditions of the Company’s Policy for Recoupment of Incentive Compensation, including the powers of the Company to recoup incentive compensation stated therein.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22"/>
          <w:szCs w:val="22"/>
          <w:b w:val="1"/>
          <w:bCs w:val="1"/>
          <w:color w:val="auto"/>
        </w:rPr>
        <w:t>HUBSPOT,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4093845</wp:posOffset>
            </wp:positionH>
            <wp:positionV relativeFrom="paragraph">
              <wp:posOffset>201930</wp:posOffset>
            </wp:positionV>
            <wp:extent cx="2005965" cy="86550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43">
                      <a:extLst>
                        <a:ext uri="{28A0092B-C50C-407E-A947-70E740481C1C}"/>
                      </a:extLst>
                    </a:blip>
                    <a:srcRect/>
                    <a:stretch>
                      <a:fillRect/>
                    </a:stretch>
                  </pic:blipFill>
                  <pic:spPr bwMode="auto">
                    <a:xfrm>
                      <a:off x="0" y="0"/>
                      <a:ext cx="2005965" cy="8655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4085590</wp:posOffset>
            </wp:positionH>
            <wp:positionV relativeFrom="paragraph">
              <wp:posOffset>10795</wp:posOffset>
            </wp:positionV>
            <wp:extent cx="3051810" cy="825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44">
                      <a:extLst>
                        <a:ext uri="{28A0092B-C50C-407E-A947-70E740481C1C}"/>
                      </a:extLst>
                    </a:blip>
                    <a:srcRect/>
                    <a:stretch>
                      <a:fillRect/>
                    </a:stretch>
                  </pic:blipFill>
                  <pic:spPr bwMode="auto">
                    <a:xfrm>
                      <a:off x="0" y="0"/>
                      <a:ext cx="3051810" cy="8255"/>
                    </a:xfrm>
                    <a:prstGeom prst="rect">
                      <a:avLst/>
                    </a:prstGeom>
                    <a:noFill/>
                  </pic:spPr>
                </pic:pic>
              </a:graphicData>
            </a:graphic>
          </wp:anchor>
        </w:drawing>
      </w:r>
    </w:p>
    <w:p>
      <w:pPr>
        <w:spacing w:after="0" w:line="267" w:lineRule="exact"/>
        <w:rPr>
          <w:sz w:val="20"/>
          <w:szCs w:val="20"/>
          <w:color w:val="auto"/>
        </w:rPr>
      </w:pPr>
    </w:p>
    <w:p>
      <w:pPr>
        <w:ind w:left="5640"/>
        <w:spacing w:after="0"/>
        <w:tabs>
          <w:tab w:leader="none" w:pos="642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2"/>
          <w:szCs w:val="22"/>
          <w:color w:val="auto"/>
        </w:rPr>
        <w:t>Chief Financial Officer</w:t>
      </w:r>
    </w:p>
    <w:p>
      <w:pPr>
        <w:spacing w:after="0" w:line="247"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foregoing Agreement is hereby accepted and the terms and conditions thereof hereby agreed to by the undersigned. Electronic acceptance of this Agreement pursuant to the Company’s instructions to the Grantee (including through an online acceptance process) is acceptable.</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tabs>
          <w:tab w:leader="none" w:pos="860" w:val="left"/>
          <w:tab w:leader="none" w:pos="3440" w:val="left"/>
        </w:tabs>
        <w:rPr>
          <w:sz w:val="20"/>
          <w:szCs w:val="20"/>
          <w:color w:val="auto"/>
        </w:rPr>
      </w:pPr>
      <w:r>
        <w:rPr>
          <w:rFonts w:ascii="Times New Roman" w:cs="Times New Roman" w:eastAsia="Times New Roman" w:hAnsi="Times New Roman"/>
          <w:sz w:val="22"/>
          <w:szCs w:val="22"/>
          <w:color w:val="auto"/>
        </w:rPr>
        <w:t>Dated:</w:t>
        <w:tab/>
        <w:t>&lt;Acceptance Date&gt;</w:t>
      </w:r>
      <w:r>
        <w:rPr>
          <w:sz w:val="20"/>
          <w:szCs w:val="20"/>
          <w:color w:val="auto"/>
        </w:rPr>
        <w:tab/>
      </w:r>
      <w:r>
        <w:rPr>
          <w:rFonts w:ascii="Times New Roman" w:cs="Times New Roman" w:eastAsia="Times New Roman" w:hAnsi="Times New Roman"/>
          <w:sz w:val="21"/>
          <w:szCs w:val="21"/>
          <w:color w:val="auto"/>
        </w:rPr>
        <w:t>&lt;Electronic Signature&gt;</w:t>
      </w:r>
    </w:p>
    <w:p>
      <w:pPr>
        <w:spacing w:after="0" w:line="200" w:lineRule="exact"/>
        <w:rPr>
          <w:sz w:val="20"/>
          <w:szCs w:val="20"/>
          <w:color w:val="auto"/>
        </w:rPr>
      </w:pPr>
    </w:p>
    <w:p>
      <w:pPr>
        <w:spacing w:after="0" w:line="249"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2"/>
          <w:szCs w:val="22"/>
          <w:color w:val="auto"/>
        </w:rPr>
        <w:t>&lt;Participant Name&gt;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56</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ACTIVE/72134752.4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60" w:name="page161"/>
    <w:bookmarkEnd w:id="160"/>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APPENDIX</w:t>
      </w: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GLOBAL RESTRICTED STOCK UNIT AWARD AGREEMENT</w:t>
      </w:r>
    </w:p>
    <w:p>
      <w:pPr>
        <w:spacing w:after="0" w:line="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 EMPLOYEES</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UNDER THE HUBSPOT, INC.</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2014 STOCK OPTION AND INCENTIVE PLAN</w:t>
      </w:r>
    </w:p>
    <w:p>
      <w:pPr>
        <w:spacing w:after="0" w:line="200" w:lineRule="exact"/>
        <w:rPr>
          <w:sz w:val="20"/>
          <w:szCs w:val="20"/>
          <w:color w:val="auto"/>
        </w:rPr>
      </w:pPr>
    </w:p>
    <w:p>
      <w:pPr>
        <w:spacing w:after="0" w:line="20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Capitalized terms used but not defined in this Appendix shall have the same meanings assigned to them in the Plan and/or the Global Restricted Stock Unit Award Agreement.</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Terms and Conditions</w:t>
      </w:r>
    </w:p>
    <w:p>
      <w:pPr>
        <w:spacing w:after="0" w:line="212"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This Appendix includes additional terms and conditions that govern the Restricted Stock Units if the Grantee works and/or resides in one of the countries listed below. If the Grantee is a citizen or resident of a country other than the one in which the Grantee is currently working and/or residing (or is considered as such for local law purposes), or the Grantee transfers employment and/or residency to a different country after the Restricted Stock Units are granted, the Company will, in its discretion, determine the extent to which the terms and conditions contained herein will apply to the Grantee.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Notifications</w:t>
      </w:r>
    </w:p>
    <w:p>
      <w:pPr>
        <w:spacing w:after="0" w:line="212"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This Appendix also includes information regarding certain other issues of which the Grantee should be aware with respect to the Grantee’s participation in the Plan. The information is based on the securities, exchange control and other laws in effect in the respective countries as of March 2023. Such laws are often complex and change frequently. As a result, the Company strongly recommends that the Grantee not rely on the information noted herein as the only source of information relating to the consequences of participation in the Plan because the information may be out-of-date at the time the Grantee vests in the Restricted Stock Units or sells any shares of Stock acquired under the Plan.</w:t>
      </w:r>
    </w:p>
    <w:p>
      <w:pPr>
        <w:spacing w:after="0" w:line="181"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In addition, the information contained herein is general in nature and may not apply to the Grantee’s particular situation. As a result, the Company is not in a position to assure the Grantee of any particular result. Accordingly, the Grantee is strongly advised to seek appropriate professional advice as to how the relevant laws in the Grantee’s country may apply to the Grantee’s individual situation.</w:t>
      </w:r>
    </w:p>
    <w:p>
      <w:pPr>
        <w:spacing w:after="0" w:line="18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If the Grantee is a citizen or resident of a country other than the one in which the Grantee is currently working and/or residing (or is considered as such for local law purposes), or if the Grantee transfers employment and/or residency to a different country after the Restricted Stock Units are granted, the notifications contained in this Appendix may not be applicable to the Grantee in the same manner.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57</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ACTIVE/72134752.4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161" w:name="page162"/>
    <w:bookmarkEnd w:id="161"/>
    <w:p>
      <w:pPr>
        <w:jc w:val="center"/>
        <w:ind w:right="60"/>
        <w:spacing w:after="0" w:line="262" w:lineRule="auto"/>
        <w:rPr>
          <w:sz w:val="20"/>
          <w:szCs w:val="20"/>
          <w:color w:val="auto"/>
        </w:rPr>
      </w:pPr>
      <w:r>
        <w:rPr>
          <w:rFonts w:ascii="Times New Roman" w:cs="Times New Roman" w:eastAsia="Times New Roman" w:hAnsi="Times New Roman"/>
          <w:sz w:val="22"/>
          <w:szCs w:val="22"/>
          <w:b w:val="1"/>
          <w:bCs w:val="1"/>
          <w:u w:val="single" w:color="auto"/>
          <w:color w:val="auto"/>
        </w:rPr>
        <w:t>ALL COUNTRIES OUTSIDE THE U.S., EUROPEAN UNION, EUROPEAN ECONOMIC AREA AND UNITED KINGDOM</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Data Privacy Notification and Consent</w:t>
      </w:r>
    </w:p>
    <w:p>
      <w:pPr>
        <w:spacing w:after="0" w:line="204" w:lineRule="exact"/>
        <w:rPr>
          <w:sz w:val="20"/>
          <w:szCs w:val="20"/>
          <w:color w:val="auto"/>
        </w:rPr>
      </w:pPr>
    </w:p>
    <w:p>
      <w:pPr>
        <w:jc w:val="both"/>
        <w:ind w:firstLine="8"/>
        <w:spacing w:after="0" w:line="241" w:lineRule="auto"/>
        <w:tabs>
          <w:tab w:leader="none" w:pos="432" w:val="left"/>
        </w:tabs>
        <w:numPr>
          <w:ilvl w:val="0"/>
          <w:numId w:val="118"/>
        </w:numPr>
        <w:rPr>
          <w:rFonts w:ascii="Times New Roman" w:cs="Times New Roman" w:eastAsia="Times New Roman" w:hAnsi="Times New Roman"/>
          <w:sz w:val="22"/>
          <w:szCs w:val="22"/>
          <w:b w:val="1"/>
          <w:bCs w:val="1"/>
          <w:i w:val="1"/>
          <w:iCs w:val="1"/>
          <w:color w:val="auto"/>
        </w:rPr>
      </w:pPr>
      <w:r>
        <w:rPr>
          <w:rFonts w:ascii="Times New Roman" w:cs="Times New Roman" w:eastAsia="Times New Roman" w:hAnsi="Times New Roman"/>
          <w:sz w:val="22"/>
          <w:szCs w:val="22"/>
          <w:b w:val="1"/>
          <w:bCs w:val="1"/>
          <w:i w:val="1"/>
          <w:iCs w:val="1"/>
          <w:color w:val="auto"/>
        </w:rPr>
        <w:t>By accepting the Award, the Grantee explicitly and unambiguously consents to the collection, use and transfer, in electronic or other form, of the Grantee's personal data as described in the Agreement by and among, as applicable, the Employer, the Company and its other Subsidiaries and Affiliates for the exclusive purpose of implementing, administering and managing the Grantee's participation in the Plan.</w:t>
      </w:r>
    </w:p>
    <w:p>
      <w:pPr>
        <w:spacing w:after="0" w:line="171" w:lineRule="exact"/>
        <w:rPr>
          <w:rFonts w:ascii="Times New Roman" w:cs="Times New Roman" w:eastAsia="Times New Roman" w:hAnsi="Times New Roman"/>
          <w:sz w:val="22"/>
          <w:szCs w:val="22"/>
          <w:b w:val="1"/>
          <w:bCs w:val="1"/>
          <w:i w:val="1"/>
          <w:iCs w:val="1"/>
          <w:color w:val="auto"/>
        </w:rPr>
      </w:pPr>
    </w:p>
    <w:p>
      <w:pPr>
        <w:jc w:val="both"/>
        <w:ind w:firstLine="8"/>
        <w:spacing w:after="0" w:line="237" w:lineRule="auto"/>
        <w:tabs>
          <w:tab w:leader="none" w:pos="432" w:val="left"/>
        </w:tabs>
        <w:numPr>
          <w:ilvl w:val="0"/>
          <w:numId w:val="118"/>
        </w:numPr>
        <w:rPr>
          <w:rFonts w:ascii="Times New Roman" w:cs="Times New Roman" w:eastAsia="Times New Roman" w:hAnsi="Times New Roman"/>
          <w:sz w:val="22"/>
          <w:szCs w:val="22"/>
          <w:b w:val="1"/>
          <w:bCs w:val="1"/>
          <w:i w:val="1"/>
          <w:iCs w:val="1"/>
          <w:color w:val="auto"/>
        </w:rPr>
      </w:pPr>
      <w:r>
        <w:rPr>
          <w:rFonts w:ascii="Times New Roman" w:cs="Times New Roman" w:eastAsia="Times New Roman" w:hAnsi="Times New Roman"/>
          <w:sz w:val="22"/>
          <w:szCs w:val="22"/>
          <w:b w:val="1"/>
          <w:bCs w:val="1"/>
          <w:i w:val="1"/>
          <w:iCs w:val="1"/>
          <w:color w:val="auto"/>
        </w:rPr>
        <w:t>The Grantee understands that the Company, the Employer and other Subsidiaries and Affiliates hold certain personal information about the Grantee, including, but not limited to, the Grantee's name, home address and telephone number, email address, date of birth, social security number, passport or other identification number (e.g., resident registration number), salary, nationality, job title, any shares of Stock or directorships held in the Company, details of all Restricted Stock Units or any other entitlement to shares awarded, canceled, vested, unvested or outstanding in the Grantee's favor (“Data”), for the purpose of implementing, administering and managing the Plan</w:t>
      </w:r>
    </w:p>
    <w:p>
      <w:pPr>
        <w:spacing w:after="0" w:line="175" w:lineRule="exact"/>
        <w:rPr>
          <w:rFonts w:ascii="Times New Roman" w:cs="Times New Roman" w:eastAsia="Times New Roman" w:hAnsi="Times New Roman"/>
          <w:sz w:val="22"/>
          <w:szCs w:val="22"/>
          <w:b w:val="1"/>
          <w:bCs w:val="1"/>
          <w:i w:val="1"/>
          <w:iCs w:val="1"/>
          <w:color w:val="auto"/>
        </w:rPr>
      </w:pPr>
    </w:p>
    <w:p>
      <w:pPr>
        <w:jc w:val="both"/>
        <w:ind w:firstLine="8"/>
        <w:spacing w:after="0" w:line="232" w:lineRule="auto"/>
        <w:tabs>
          <w:tab w:leader="none" w:pos="432" w:val="left"/>
        </w:tabs>
        <w:numPr>
          <w:ilvl w:val="0"/>
          <w:numId w:val="118"/>
        </w:numPr>
        <w:rPr>
          <w:rFonts w:ascii="Times New Roman" w:cs="Times New Roman" w:eastAsia="Times New Roman" w:hAnsi="Times New Roman"/>
          <w:sz w:val="22"/>
          <w:szCs w:val="22"/>
          <w:b w:val="1"/>
          <w:bCs w:val="1"/>
          <w:i w:val="1"/>
          <w:iCs w:val="1"/>
          <w:color w:val="auto"/>
        </w:rPr>
      </w:pPr>
      <w:r>
        <w:rPr>
          <w:rFonts w:ascii="Times New Roman" w:cs="Times New Roman" w:eastAsia="Times New Roman" w:hAnsi="Times New Roman"/>
          <w:sz w:val="22"/>
          <w:szCs w:val="22"/>
          <w:b w:val="1"/>
          <w:bCs w:val="1"/>
          <w:i w:val="1"/>
          <w:iCs w:val="1"/>
          <w:color w:val="auto"/>
        </w:rPr>
        <w:t>The Grantee understands that Data will be transferred to Fidelity Stock Plan Services LLC, or such other stock plan service provider as may be selected by the Company in the future, which assist in the implementation, administration and management of the Plan. The Grantee understands that the recipients of the Data may be located in the United States or elsewhere, and that the recipient's country (e.g. the United States) may have different data privacy laws and protections than the Grantee's country. The Grantee understands that if he or she resides outside the United States, the Grantee may request a list with the names and addresses of any potential recipients of the Data by contacting the Grantee's local human resources representative. The Grantee authorizes the Company, Fidelity Stock Plan Services LLC and other possible recipients which may assist the Company (presently or in the future) with implementing, administering and managing the Plan to receive, possess, use, retain and transfer the Data, in electronic or other form, for the sole purpose of implementing, administering and managing the Grantee's participation in the Plan, including any requisite transfer of such Data as may be required to a broker, escrow agent or other third party with whom the shares of Stock received upon vesting of the Restricted Stock Units may be deposited. The Grantee understands that Data will be held only as long as is necessary to implement, administer and manage the Grantee's participation in the Plan. The Grantee understands that if the Grantee resides outside the United States, he or she may, at any time, view Data, request information about the storage and processing of Data, require any necessary amendments to Data or refuse or withdraw the consents herein, in any case without cost, by contacting the Grantee's local human resources representative. Further, the Grantee understands that he or she is providing the consents herein on a purely voluntary basis. If the Grantee does not consent, or if the Grantee later seeks to revoke his or her consent, the Grantee's employment status with the Employer will not be affected; the only consequence of refusing or withdrawing consent is that the Company would not be able to grant Restricted Stock Units or other equity awards to the Grantee or administer or maintain such awards. Therefore, the Grantee understands that refusing or withdrawing the Grantee's consent may affect his or her ability to participate in the Plan. For more information</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58</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ACTIVE/72134752.4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162" w:name="page163"/>
    <w:bookmarkEnd w:id="162"/>
    <w:p>
      <w:pPr>
        <w:spacing w:after="0" w:line="264" w:lineRule="auto"/>
        <w:rPr>
          <w:sz w:val="20"/>
          <w:szCs w:val="20"/>
          <w:color w:val="auto"/>
        </w:rPr>
      </w:pPr>
      <w:r>
        <w:rPr>
          <w:rFonts w:ascii="Times New Roman" w:cs="Times New Roman" w:eastAsia="Times New Roman" w:hAnsi="Times New Roman"/>
          <w:sz w:val="22"/>
          <w:szCs w:val="22"/>
          <w:b w:val="1"/>
          <w:bCs w:val="1"/>
          <w:i w:val="1"/>
          <w:iCs w:val="1"/>
          <w:color w:val="auto"/>
        </w:rPr>
        <w:t>on the consequences of the Grantee's refusal to consent or withdrawal of consent, the Grantee understands that he or she may contact his or her local human resources representative.</w:t>
      </w:r>
    </w:p>
    <w:p>
      <w:pPr>
        <w:spacing w:after="0" w:line="145" w:lineRule="exact"/>
        <w:rPr>
          <w:sz w:val="20"/>
          <w:szCs w:val="20"/>
          <w:color w:val="auto"/>
        </w:rPr>
      </w:pPr>
    </w:p>
    <w:p>
      <w:pPr>
        <w:jc w:val="both"/>
        <w:ind w:firstLine="8"/>
        <w:spacing w:after="0" w:line="237" w:lineRule="auto"/>
        <w:tabs>
          <w:tab w:leader="none" w:pos="432" w:val="left"/>
        </w:tabs>
        <w:numPr>
          <w:ilvl w:val="0"/>
          <w:numId w:val="119"/>
        </w:numPr>
        <w:rPr>
          <w:rFonts w:ascii="Times New Roman" w:cs="Times New Roman" w:eastAsia="Times New Roman" w:hAnsi="Times New Roman"/>
          <w:sz w:val="22"/>
          <w:szCs w:val="22"/>
          <w:b w:val="1"/>
          <w:bCs w:val="1"/>
          <w:i w:val="1"/>
          <w:iCs w:val="1"/>
          <w:color w:val="auto"/>
        </w:rPr>
      </w:pPr>
      <w:r>
        <w:rPr>
          <w:rFonts w:ascii="Times New Roman" w:cs="Times New Roman" w:eastAsia="Times New Roman" w:hAnsi="Times New Roman"/>
          <w:sz w:val="22"/>
          <w:szCs w:val="22"/>
          <w:b w:val="1"/>
          <w:bCs w:val="1"/>
          <w:i w:val="1"/>
          <w:iCs w:val="1"/>
          <w:color w:val="auto"/>
        </w:rPr>
        <w:t>Upon request of the Company or the Employer, the Grantee agrees to provide a separate executed data privacy consent form (or any other agreements or consents that may be required by the Company and/or the Employer) that the Company and/or the Employer may deem necessary to obtain from the Grantee for the purpose of administering the Grantee's participation in the Plan in compliance with the data privacy laws in the Grantee's country, either now or in the future. The Grantee understands and agrees that he or she will not be able to participate in the Plan if the Grantee fails to provide any such consent or agreement requested by the Company and/or the Employer.</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AUSTRALIA</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Notifications</w:t>
      </w:r>
    </w:p>
    <w:p>
      <w:pPr>
        <w:spacing w:after="0" w:line="208"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1"/>
          <w:szCs w:val="21"/>
          <w:u w:val="single" w:color="auto"/>
          <w:color w:val="auto"/>
        </w:rPr>
        <w:t>Securities Law Information</w:t>
      </w:r>
      <w:r>
        <w:rPr>
          <w:rFonts w:ascii="Times New Roman" w:cs="Times New Roman" w:eastAsia="Times New Roman" w:hAnsi="Times New Roman"/>
          <w:sz w:val="21"/>
          <w:szCs w:val="21"/>
          <w:color w:val="auto"/>
        </w:rPr>
        <w:t xml:space="preserve">. This offer to participate in the Plan is being made under Division 1A, Part 7.12 of the </w:t>
      </w:r>
      <w:r>
        <w:rPr>
          <w:rFonts w:ascii="Times New Roman" w:cs="Times New Roman" w:eastAsia="Times New Roman" w:hAnsi="Times New Roman"/>
          <w:sz w:val="21"/>
          <w:szCs w:val="21"/>
          <w:i w:val="1"/>
          <w:iCs w:val="1"/>
          <w:color w:val="auto"/>
        </w:rPr>
        <w:t>Corporations</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Act 2001 (Cth)</w:t>
      </w:r>
      <w:r>
        <w:rPr>
          <w:rFonts w:ascii="Times New Roman" w:cs="Times New Roman" w:eastAsia="Times New Roman" w:hAnsi="Times New Roman"/>
          <w:sz w:val="21"/>
          <w:szCs w:val="21"/>
          <w:color w:val="auto"/>
        </w:rPr>
        <w:t>. Please note that if the Grantee offers shares of Stock acquired under the Plan for sale to a person or entity resident</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in Australia, the Grantee's offer may be subject to disclosure requirements under Australian law. The Grantee should consult with the Grantee's own personal legal advisor regarding the Grantee's disclosure obligations prior to making any such offer.</w:t>
      </w:r>
    </w:p>
    <w:p>
      <w:pPr>
        <w:spacing w:after="0" w:line="2"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2"/>
          <w:szCs w:val="22"/>
          <w:u w:val="single" w:color="auto"/>
          <w:color w:val="auto"/>
        </w:rPr>
        <w:t>Tax Notification</w:t>
      </w:r>
      <w:r>
        <w:rPr>
          <w:rFonts w:ascii="Times New Roman" w:cs="Times New Roman" w:eastAsia="Times New Roman" w:hAnsi="Times New Roman"/>
          <w:sz w:val="22"/>
          <w:szCs w:val="22"/>
          <w:color w:val="auto"/>
        </w:rPr>
        <w:t>. Subdivision 83A-C of the Income Tax Assessment Act, 1997 applies to the Restricted Stock Units granted under the Plan, such that the Restricted Stock Units are intended to be subject to deferred taxation.</w:t>
      </w:r>
    </w:p>
    <w:p>
      <w:pPr>
        <w:spacing w:after="0" w:line="174"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2"/>
          <w:szCs w:val="22"/>
          <w:u w:val="single" w:color="auto"/>
          <w:color w:val="auto"/>
        </w:rPr>
        <w:t>Exchange Control Information</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If the Grantee is an Australian resident, exchange control reporting is required for cash transactions exceeding A$10,000 and international fund transfers. If an Australian bank is assisting with the transaction, the bank will file the report on the Grantee’s behalf. If there is no Australian bank involved with the transfer, the Grantee will be required to file the report.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BELGIUM</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There are no country-specific provisions.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CANADA</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Terms and Conditions</w:t>
      </w:r>
    </w:p>
    <w:p>
      <w:pPr>
        <w:spacing w:after="0" w:line="23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u w:val="single" w:color="auto"/>
          <w:color w:val="auto"/>
        </w:rPr>
        <w:t>Award Payable Only in Shares</w:t>
      </w:r>
      <w:r>
        <w:rPr>
          <w:rFonts w:ascii="Times New Roman" w:cs="Times New Roman" w:eastAsia="Times New Roman" w:hAnsi="Times New Roman"/>
          <w:sz w:val="22"/>
          <w:szCs w:val="22"/>
          <w:color w:val="auto"/>
        </w:rPr>
        <w:t>. The Restricted Stock Units shall be paid in shares of Stock only and do not provide the Grantee with any right to receive a cash payment.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The following terms and conditions apply to employees resident in Quebec:</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u w:val="single" w:color="auto"/>
          <w:color w:val="auto"/>
        </w:rPr>
        <w:t>Data Privacy</w:t>
      </w:r>
      <w:r>
        <w:rPr>
          <w:rFonts w:ascii="Times New Roman" w:cs="Times New Roman" w:eastAsia="Times New Roman" w:hAnsi="Times New Roman"/>
          <w:sz w:val="21"/>
          <w:szCs w:val="21"/>
          <w:color w:val="auto"/>
        </w:rPr>
        <w:t>. The following provision supplements the Data Privacy Notification and Consent provision above in this Appendix:</w:t>
      </w: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59</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ACTIVE/72134752.4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2" w:right="339" w:bottom="1440" w:gutter="0" w:footer="0" w:header="0"/>
        </w:sectPr>
      </w:pPr>
    </w:p>
    <w:bookmarkStart w:id="163" w:name="page164"/>
    <w:bookmarkEnd w:id="163"/>
    <w:p>
      <w:pPr>
        <w:spacing w:after="0" w:line="212"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The Grantee hereby authorizes the Company and the Company’s representatives to discuss with and obtain all relevant information from all personnel, professional or non-professional, involved in the administration and operation of the Plan. The Grantee further authorizes the Company and any Subsidiary or Affiliate and the Administrator to disclose and discuss the Plan with their advisors and to record all relevant information and keep such information in the Grantee’s employee file.</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Notifications</w:t>
      </w:r>
    </w:p>
    <w:p>
      <w:pPr>
        <w:spacing w:after="0" w:line="239"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u w:val="single" w:color="auto"/>
          <w:color w:val="auto"/>
        </w:rPr>
        <w:t>Securities Law Information</w:t>
      </w:r>
      <w:r>
        <w:rPr>
          <w:rFonts w:ascii="Times New Roman" w:cs="Times New Roman" w:eastAsia="Times New Roman" w:hAnsi="Times New Roman"/>
          <w:sz w:val="22"/>
          <w:szCs w:val="22"/>
          <w:color w:val="auto"/>
        </w:rPr>
        <w:t>. The Grantee is permitted to sell shares of Stock acquired under the Plan through the designated broker appointed under the Plan, if any, provided the resale of shares of Stock acquired under the Plan takes place outside Canada through the facilities of a stock exchange on which the shares of Stock are listed. The shares of Stock are currently listed on the New York Stock Exchange under the symbol “HUBS.”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COLOMBIA</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Terms and Conditions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Nature of Grant</w:t>
      </w:r>
      <w:r>
        <w:rPr>
          <w:rFonts w:ascii="Times New Roman" w:cs="Times New Roman" w:eastAsia="Times New Roman" w:hAnsi="Times New Roman"/>
          <w:sz w:val="22"/>
          <w:szCs w:val="22"/>
          <w:color w:val="auto"/>
        </w:rPr>
        <w:t>. The following provision supplements Paragraph 10 of the Global Restricted Stock Unit Award Agreement:</w:t>
      </w:r>
    </w:p>
    <w:p>
      <w:pPr>
        <w:spacing w:after="0" w:line="206"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The Grantee acknowledges that, pursuant to Article 128 of the Colombian Labor Code, the Restricted Stock Units and related benefits do not constitute a component of the Grantee’s “salary” for any legal purpose. Therefore, the Restricted Stock Units and related benefits will not be included and/or considered for purposes of calculating any and all labor benefits, such as legal/fringe benefits, vacations, indemnities, payroll taxes, social insurance contributions and/or any other labor-related amount which may be payable.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Notifications</w:t>
      </w:r>
    </w:p>
    <w:p>
      <w:pPr>
        <w:spacing w:after="0" w:line="212"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u w:val="single" w:color="auto"/>
          <w:color w:val="auto"/>
        </w:rPr>
        <w:t>Securities Law Information</w:t>
      </w:r>
      <w:r>
        <w:rPr>
          <w:rFonts w:ascii="Times New Roman" w:cs="Times New Roman" w:eastAsia="Times New Roman" w:hAnsi="Times New Roman"/>
          <w:sz w:val="22"/>
          <w:szCs w:val="22"/>
          <w:color w:val="auto"/>
        </w:rPr>
        <w:t>. The Grantee understands the grant of Restricted Stock Units is offered only to eligible employees of the Company and its Subsidiaries. The Grantee further understands that the Plan and other grant documents are not of a promotional nature, are not made available as part of a public announcement and are made available only to eligible employees of the Company and its Subsidiaries. The Grantee acknowledges that he or she did not receive any invitation, offer or enticement by the Company or any of its agents or representatives to participate in the Plan or acquire shares of Stock and that the Grantee's acceptance of the Restricted Stock Units is voluntary. Finally, the Grantee acknowledges and accepts that the Company is not providing any tax, legal or other advice regarding the grant of Restricted Stock Units, the subsequent settlement/vesting or sale of shares of Stock under the Plan.</w:t>
      </w:r>
    </w:p>
    <w:p>
      <w:pPr>
        <w:spacing w:after="0" w:line="178"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u w:val="single" w:color="auto"/>
          <w:color w:val="auto"/>
        </w:rPr>
        <w:t>Exchange Control Information</w:t>
      </w:r>
      <w:r>
        <w:rPr>
          <w:rFonts w:ascii="Times New Roman" w:cs="Times New Roman" w:eastAsia="Times New Roman" w:hAnsi="Times New Roman"/>
          <w:sz w:val="22"/>
          <w:szCs w:val="22"/>
          <w:color w:val="auto"/>
        </w:rPr>
        <w:t>. The Grantee is responsible for complying with any and all Colombian foreign exchange restrictions, approvals and reporting requirements in connection with the Restricted Stock Units and any shares of Stock acquired or funds received under the Plan. This may include reporting obligations to the Central Bank (</w:t>
      </w:r>
      <w:r>
        <w:rPr>
          <w:rFonts w:ascii="Times New Roman" w:cs="Times New Roman" w:eastAsia="Times New Roman" w:hAnsi="Times New Roman"/>
          <w:sz w:val="22"/>
          <w:szCs w:val="22"/>
          <w:i w:val="1"/>
          <w:iCs w:val="1"/>
          <w:color w:val="auto"/>
        </w:rPr>
        <w:t>Banco de la República</w:t>
      </w:r>
      <w:r>
        <w:rPr>
          <w:rFonts w:ascii="Times New Roman" w:cs="Times New Roman" w:eastAsia="Times New Roman" w:hAnsi="Times New Roman"/>
          <w:sz w:val="22"/>
          <w:szCs w:val="22"/>
          <w:color w:val="auto"/>
        </w:rPr>
        <w:t>). If applicable, the</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60</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ACTIVE/72134752.4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4" w:name="page165"/>
    <w:bookmarkEnd w:id="164"/>
    <w:p>
      <w:pPr>
        <w:jc w:val="both"/>
        <w:ind w:right="20"/>
        <w:spacing w:after="0" w:line="244" w:lineRule="auto"/>
        <w:rPr>
          <w:sz w:val="20"/>
          <w:szCs w:val="20"/>
          <w:color w:val="auto"/>
        </w:rPr>
      </w:pPr>
      <w:r>
        <w:rPr>
          <w:rFonts w:ascii="Times New Roman" w:cs="Times New Roman" w:eastAsia="Times New Roman" w:hAnsi="Times New Roman"/>
          <w:sz w:val="22"/>
          <w:szCs w:val="22"/>
          <w:color w:val="auto"/>
        </w:rPr>
        <w:t>Grantee will be required to register his or her investment with the Central Bank, regardless of the value of his or her investment. The Grantee should consult with his or her personal legal advisor regarding any obligations in connection with this reporting requirement.</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FRANCE</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Terms and Conditions</w:t>
      </w:r>
    </w:p>
    <w:p>
      <w:pPr>
        <w:spacing w:after="0" w:line="212"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u w:val="single" w:color="auto"/>
          <w:color w:val="auto"/>
        </w:rPr>
        <w:t>Type of Grant</w:t>
      </w:r>
      <w:r>
        <w:rPr>
          <w:rFonts w:ascii="Times New Roman" w:cs="Times New Roman" w:eastAsia="Times New Roman" w:hAnsi="Times New Roman"/>
          <w:sz w:val="22"/>
          <w:szCs w:val="22"/>
          <w:color w:val="auto"/>
        </w:rPr>
        <w:t>. The Restricted Stock Units are not granted as “French-qualified” awards and are not intended to qualify for the special tax and social security treatment applicable to shares granted for no consideration under Sections L. 225-197-1 to L. 225-197-6 and and Sections L. 22-10-59 to L. 22-10-60 of the French Commercial Code, as amended.</w:t>
      </w:r>
    </w:p>
    <w:p>
      <w:pPr>
        <w:spacing w:after="0" w:line="200"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2"/>
          <w:szCs w:val="22"/>
          <w:u w:val="single" w:color="auto"/>
          <w:color w:val="auto"/>
        </w:rPr>
        <w:t>Language</w:t>
      </w:r>
      <w:r>
        <w:rPr>
          <w:rFonts w:ascii="Times New Roman" w:cs="Times New Roman" w:eastAsia="Times New Roman" w:hAnsi="Times New Roman"/>
          <w:sz w:val="22"/>
          <w:szCs w:val="22"/>
          <w:color w:val="auto"/>
        </w:rPr>
        <w:t>. By accepting the Restricted Stock Units, the Grantee confirms having read and understood the documents relating to the Restricted Stock Units which were provided to the Grantee in English.</w:t>
      </w:r>
    </w:p>
    <w:p>
      <w:pPr>
        <w:spacing w:after="0" w:line="181" w:lineRule="exact"/>
        <w:rPr>
          <w:sz w:val="20"/>
          <w:szCs w:val="20"/>
          <w:color w:val="auto"/>
        </w:rPr>
      </w:pPr>
    </w:p>
    <w:p>
      <w:pPr>
        <w:jc w:val="both"/>
        <w:ind w:right="20"/>
        <w:spacing w:after="0" w:line="262" w:lineRule="auto"/>
        <w:rPr>
          <w:sz w:val="20"/>
          <w:szCs w:val="20"/>
          <w:color w:val="auto"/>
        </w:rPr>
      </w:pPr>
      <w:r>
        <w:rPr>
          <w:rFonts w:ascii="Times New Roman" w:cs="Times New Roman" w:eastAsia="Times New Roman" w:hAnsi="Times New Roman"/>
          <w:sz w:val="22"/>
          <w:szCs w:val="22"/>
          <w:i w:val="1"/>
          <w:iCs w:val="1"/>
          <w:color w:val="auto"/>
        </w:rPr>
        <w:t xml:space="preserve">En acceptant l'attribution d’actions gratuites « Restricted </w:t>
      </w:r>
      <w:r>
        <w:rPr>
          <w:rFonts w:ascii="Times New Roman" w:cs="Times New Roman" w:eastAsia="Times New Roman" w:hAnsi="Times New Roman"/>
          <w:sz w:val="22"/>
          <w:szCs w:val="22"/>
          <w:color w:val="auto"/>
        </w:rPr>
        <w:t>Stock</w:t>
      </w:r>
      <w:r>
        <w:rPr>
          <w:rFonts w:ascii="Times New Roman" w:cs="Times New Roman" w:eastAsia="Times New Roman" w:hAnsi="Times New Roman"/>
          <w:sz w:val="22"/>
          <w:szCs w:val="22"/>
          <w:i w:val="1"/>
          <w:iCs w:val="1"/>
          <w:color w:val="auto"/>
        </w:rPr>
        <w:t xml:space="preserve"> Units », le Grantee confirme avoir lu et compris les documents relatifs aux Restricted </w:t>
      </w:r>
      <w:r>
        <w:rPr>
          <w:rFonts w:ascii="Times New Roman" w:cs="Times New Roman" w:eastAsia="Times New Roman" w:hAnsi="Times New Roman"/>
          <w:sz w:val="22"/>
          <w:szCs w:val="22"/>
          <w:color w:val="auto"/>
        </w:rPr>
        <w:t>Stock</w:t>
      </w:r>
      <w:r>
        <w:rPr>
          <w:rFonts w:ascii="Times New Roman" w:cs="Times New Roman" w:eastAsia="Times New Roman" w:hAnsi="Times New Roman"/>
          <w:sz w:val="22"/>
          <w:szCs w:val="22"/>
          <w:i w:val="1"/>
          <w:iCs w:val="1"/>
          <w:color w:val="auto"/>
        </w:rPr>
        <w:t xml:space="preserve"> Units qui ont été communiqués au Grantee en langue anglaise.</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GERMANY</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Notifications</w:t>
      </w:r>
    </w:p>
    <w:p>
      <w:pPr>
        <w:spacing w:after="0" w:line="239"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u w:val="single" w:color="auto"/>
          <w:color w:val="auto"/>
        </w:rPr>
        <w:t>Exchange Control Information</w:t>
      </w:r>
      <w:r>
        <w:rPr>
          <w:rFonts w:ascii="Times New Roman" w:cs="Times New Roman" w:eastAsia="Times New Roman" w:hAnsi="Times New Roman"/>
          <w:sz w:val="22"/>
          <w:szCs w:val="22"/>
          <w:color w:val="auto"/>
        </w:rPr>
        <w:t>. German residents must electronically report cross-border payments in excess of €12,500 to the German Federal Bank (</w:t>
      </w:r>
      <w:r>
        <w:rPr>
          <w:rFonts w:ascii="Times New Roman" w:cs="Times New Roman" w:eastAsia="Times New Roman" w:hAnsi="Times New Roman"/>
          <w:sz w:val="22"/>
          <w:szCs w:val="22"/>
          <w:i w:val="1"/>
          <w:iCs w:val="1"/>
          <w:color w:val="auto"/>
        </w:rPr>
        <w:t>Bundesbank</w:t>
      </w:r>
      <w:r>
        <w:rPr>
          <w:rFonts w:ascii="Times New Roman" w:cs="Times New Roman" w:eastAsia="Times New Roman" w:hAnsi="Times New Roman"/>
          <w:sz w:val="22"/>
          <w:szCs w:val="22"/>
          <w:color w:val="auto"/>
        </w:rPr>
        <w:t>) on a monthly basis. In case of payments in connection with securities (including any proceeds realized upon the sale of shares of Stock or the receipt of any dividends), the report must be made by the 5th day of the month following the month in which the payment was received. This reporting obligation may also apply if the Grantee is issued shares of Stock under the Plan in excess of €12,500. The form of report (“</w:t>
      </w:r>
      <w:r>
        <w:rPr>
          <w:rFonts w:ascii="Times New Roman" w:cs="Times New Roman" w:eastAsia="Times New Roman" w:hAnsi="Times New Roman"/>
          <w:sz w:val="22"/>
          <w:szCs w:val="22"/>
          <w:i w:val="1"/>
          <w:iCs w:val="1"/>
          <w:color w:val="auto"/>
        </w:rPr>
        <w:t>Allgemeines Meldeportal Statistik</w:t>
      </w:r>
      <w:r>
        <w:rPr>
          <w:rFonts w:ascii="Times New Roman" w:cs="Times New Roman" w:eastAsia="Times New Roman" w:hAnsi="Times New Roman"/>
          <w:sz w:val="22"/>
          <w:szCs w:val="22"/>
          <w:color w:val="auto"/>
        </w:rPr>
        <w:t xml:space="preserve">”) can be accessed via the Bundesbank’s website (www.bundesbank.de). </w:t>
      </w:r>
      <w:r>
        <w:rPr>
          <w:rFonts w:ascii="Times New Roman" w:cs="Times New Roman" w:eastAsia="Times New Roman" w:hAnsi="Times New Roman"/>
          <w:sz w:val="22"/>
          <w:szCs w:val="22"/>
          <w:i w:val="1"/>
          <w:iCs w:val="1"/>
          <w:color w:val="auto"/>
        </w:rPr>
        <w:t>The Grantee should consult his or her personal advisor to ensure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compliance with applicable reporting obligations.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INDIA</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Notifications</w:t>
      </w:r>
    </w:p>
    <w:p>
      <w:pPr>
        <w:spacing w:after="0" w:line="212"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u w:val="single" w:color="auto"/>
          <w:color w:val="auto"/>
        </w:rPr>
        <w:t>Exchange Control Information</w:t>
      </w:r>
      <w:r>
        <w:rPr>
          <w:rFonts w:ascii="Times New Roman" w:cs="Times New Roman" w:eastAsia="Times New Roman" w:hAnsi="Times New Roman"/>
          <w:sz w:val="22"/>
          <w:szCs w:val="22"/>
          <w:color w:val="auto"/>
        </w:rPr>
        <w:t>. The Grantee acknowledges that due to Indian exchange control regulations, the proceeds from the sale of shares of Stock acquired at vesting of the Restricted Stock Units and any cash dividends paid on shares of Stock acquired under the Plan must be repatriated to India within a certain period of time, as required under applicable regulations. The Grantee will receive a foreign inward remittance certificate (the “</w:t>
      </w:r>
      <w:r>
        <w:rPr>
          <w:rFonts w:ascii="Times New Roman" w:cs="Times New Roman" w:eastAsia="Times New Roman" w:hAnsi="Times New Roman"/>
          <w:sz w:val="22"/>
          <w:szCs w:val="22"/>
          <w:b w:val="1"/>
          <w:bCs w:val="1"/>
          <w:i w:val="1"/>
          <w:iCs w:val="1"/>
          <w:color w:val="auto"/>
        </w:rPr>
        <w:t>FIRC</w:t>
      </w:r>
      <w:r>
        <w:rPr>
          <w:rFonts w:ascii="Times New Roman" w:cs="Times New Roman" w:eastAsia="Times New Roman" w:hAnsi="Times New Roman"/>
          <w:sz w:val="22"/>
          <w:szCs w:val="22"/>
          <w:color w:val="auto"/>
        </w:rPr>
        <w:t>”) from the bank where the Grantee deposits the foreign currency. The Grantee should maintain the FIRC as evidence of the repatriation of fund in the event the Reserve Bank of India, the Company or the Employer requests proof of repatriation. The Grantee may be required to provide information regarding the shares of</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61</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ACTIVE/72134752.4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65" w:name="page166"/>
    <w:bookmarkEnd w:id="165"/>
    <w:p>
      <w:pPr>
        <w:jc w:val="both"/>
        <w:spacing w:after="0" w:line="258" w:lineRule="auto"/>
        <w:rPr>
          <w:sz w:val="20"/>
          <w:szCs w:val="20"/>
          <w:color w:val="auto"/>
        </w:rPr>
      </w:pPr>
      <w:r>
        <w:rPr>
          <w:rFonts w:ascii="Times New Roman" w:cs="Times New Roman" w:eastAsia="Times New Roman" w:hAnsi="Times New Roman"/>
          <w:sz w:val="22"/>
          <w:szCs w:val="22"/>
          <w:color w:val="auto"/>
        </w:rPr>
        <w:t>Stock or funds related to participation in the Plan to the Company or the Employer to facilitate their compliance with filing requirements under exchange control laws in India. The Grantee should consult with a personal advisor in this regard.</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IRELAND</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Notifications</w:t>
      </w:r>
    </w:p>
    <w:p>
      <w:pPr>
        <w:spacing w:after="0" w:line="212"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u w:val="single" w:color="auto"/>
          <w:color w:val="auto"/>
        </w:rPr>
        <w:t>Director Notification Information</w:t>
      </w:r>
      <w:r>
        <w:rPr>
          <w:rFonts w:ascii="Times New Roman" w:cs="Times New Roman" w:eastAsia="Times New Roman" w:hAnsi="Times New Roman"/>
          <w:sz w:val="22"/>
          <w:szCs w:val="22"/>
          <w:color w:val="auto"/>
        </w:rPr>
        <w:t>. Directors, shadow directors and secretaries of an Irish Subsidiary or Affiliate must notify such Subsidiary or Affiliate in writing upon (i) receiving or disposing of an interest in the Company (</w:t>
      </w:r>
      <w:r>
        <w:rPr>
          <w:rFonts w:ascii="Times New Roman" w:cs="Times New Roman" w:eastAsia="Times New Roman" w:hAnsi="Times New Roman"/>
          <w:sz w:val="22"/>
          <w:szCs w:val="22"/>
          <w:i w:val="1"/>
          <w:iCs w:val="1"/>
          <w:color w:val="auto"/>
        </w:rPr>
        <w:t>e.g.</w:t>
      </w:r>
      <w:r>
        <w:rPr>
          <w:rFonts w:ascii="Times New Roman" w:cs="Times New Roman" w:eastAsia="Times New Roman" w:hAnsi="Times New Roman"/>
          <w:sz w:val="22"/>
          <w:szCs w:val="22"/>
          <w:color w:val="auto"/>
        </w:rPr>
        <w:t>, the Restricted Stock Units, shares of Stock, etc.), (ii) becoming aware of the event giving rise to the notification requirement, or (iii) becoming a director or secretary if such an interest exists at the time, in each case if the interest represents more than 1% of the Company. This notification requirement also applies with respect to the interests of any spouse or children under the age of 18 of the director, shadow director or secretary (whose interests will be attributed to the director, shadow director or secretary). The Grantee should consult with his or her personal legal advisor as to whether or not this notification requirement applies.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JAPAN</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Notifications</w:t>
      </w:r>
    </w:p>
    <w:p>
      <w:pPr>
        <w:spacing w:after="0" w:line="239"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u w:val="single" w:color="auto"/>
          <w:color w:val="auto"/>
        </w:rPr>
        <w:t>Exchange Control Information</w:t>
      </w:r>
      <w:r>
        <w:rPr>
          <w:rFonts w:ascii="Times New Roman" w:cs="Times New Roman" w:eastAsia="Times New Roman" w:hAnsi="Times New Roman"/>
          <w:sz w:val="22"/>
          <w:szCs w:val="22"/>
          <w:color w:val="auto"/>
        </w:rPr>
        <w:t>. If the Grantee acquires shares of Stock valued at more than ¥100,000,000 in a single transaction, the Grantee must file a Securities Acquisition Report with the Ministry of Finance through the Bank of Japan within 20 days of the acquisition of the shares of Stock.</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NETHERLANDS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There are no country-specific provisions.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SINGAPORE</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Terms and Conditions</w:t>
      </w:r>
    </w:p>
    <w:p>
      <w:pPr>
        <w:spacing w:after="0" w:line="212"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u w:val="single" w:color="auto"/>
          <w:color w:val="auto"/>
        </w:rPr>
        <w:t>Restrictions on Sale and Transferability</w:t>
      </w:r>
      <w:r>
        <w:rPr>
          <w:rFonts w:ascii="Times New Roman" w:cs="Times New Roman" w:eastAsia="Times New Roman" w:hAnsi="Times New Roman"/>
          <w:sz w:val="22"/>
          <w:szCs w:val="22"/>
          <w:color w:val="auto"/>
        </w:rPr>
        <w:t>. The Grantee hereby agrees that any shares of Stock acquired pursuant to the Restricted Stock Units will not be offered for sale in Singapore, unless such sale or offer is made: (1) more than six (6) months after the Grant Date or (2) pursuant to the exemptions under Part XIII Division (1) Subdivision (4) (other than section 280) of the Securities and Futures Act (Chapter 289, 2006 Ed.) (“SFA”).</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Notifications</w:t>
      </w:r>
    </w:p>
    <w:p>
      <w:pPr>
        <w:spacing w:after="0" w:line="23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1"/>
          <w:szCs w:val="21"/>
          <w:u w:val="single" w:color="auto"/>
          <w:color w:val="auto"/>
        </w:rPr>
        <w:t>Securities Law Information</w:t>
      </w:r>
      <w:r>
        <w:rPr>
          <w:rFonts w:ascii="Times New Roman" w:cs="Times New Roman" w:eastAsia="Times New Roman" w:hAnsi="Times New Roman"/>
          <w:sz w:val="21"/>
          <w:szCs w:val="21"/>
          <w:color w:val="auto"/>
        </w:rPr>
        <w:t>. The grant of the Restricted Stock Units is being made pursuant to the “Qualifying Person” exemption under section 273(1)(f) of the SFA and is not made with a view to the shares of Stock being subsequently offered for sale to any other party. The Plan has not been lodged or registered as a prospectus with the Monetary Authority of Singapore.</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62</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ACTIVE/72134752.4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66" w:name="page167"/>
    <w:bookmarkEnd w:id="166"/>
    <w:p>
      <w:pPr>
        <w:jc w:val="both"/>
        <w:spacing w:after="0" w:line="227" w:lineRule="auto"/>
        <w:rPr>
          <w:sz w:val="20"/>
          <w:szCs w:val="20"/>
          <w:color w:val="auto"/>
        </w:rPr>
      </w:pPr>
      <w:r>
        <w:rPr>
          <w:rFonts w:ascii="Times New Roman" w:cs="Times New Roman" w:eastAsia="Times New Roman" w:hAnsi="Times New Roman"/>
          <w:sz w:val="22"/>
          <w:szCs w:val="22"/>
          <w:u w:val="single" w:color="auto"/>
          <w:color w:val="auto"/>
        </w:rPr>
        <w:t>Director Notification Obligation</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The directors (including alternative directors, substitute directors and shadow directors</w:t>
      </w:r>
      <w:r>
        <w:rPr>
          <w:rFonts w:ascii="Times New Roman" w:cs="Times New Roman" w:eastAsia="Times New Roman" w:hAnsi="Times New Roman"/>
          <w:sz w:val="28"/>
          <w:szCs w:val="28"/>
          <w:color w:val="auto"/>
          <w:vertAlign w:val="superscript"/>
        </w:rPr>
        <w:t>2</w:t>
      </w:r>
      <w:r>
        <w:rPr>
          <w:rFonts w:ascii="Times New Roman" w:cs="Times New Roman" w:eastAsia="Times New Roman" w:hAnsi="Times New Roman"/>
          <w:sz w:val="22"/>
          <w:szCs w:val="22"/>
          <w:color w:val="auto"/>
        </w:rPr>
        <w:t>) of a Singaporean Subsidiary or Affiliate are subject to certain notification requirements under the Singapore Companies Act. The directors must notify the Singaporean Subsidiary or Affiliate in writing of an interest (</w:t>
      </w:r>
      <w:r>
        <w:rPr>
          <w:rFonts w:ascii="Times New Roman" w:cs="Times New Roman" w:eastAsia="Times New Roman" w:hAnsi="Times New Roman"/>
          <w:sz w:val="22"/>
          <w:szCs w:val="22"/>
          <w:i w:val="1"/>
          <w:iCs w:val="1"/>
          <w:color w:val="auto"/>
        </w:rPr>
        <w:t>e.g.</w:t>
      </w:r>
      <w:r>
        <w:rPr>
          <w:rFonts w:ascii="Times New Roman" w:cs="Times New Roman" w:eastAsia="Times New Roman" w:hAnsi="Times New Roman"/>
          <w:sz w:val="22"/>
          <w:szCs w:val="22"/>
          <w:color w:val="auto"/>
        </w:rPr>
        <w:t>, the Award or shares of Stock) in the Company within two (2) business days of (i) its acquisition or disposal, (ii) any change in a previously-disclosed interest (</w:t>
      </w:r>
      <w:r>
        <w:rPr>
          <w:rFonts w:ascii="Times New Roman" w:cs="Times New Roman" w:eastAsia="Times New Roman" w:hAnsi="Times New Roman"/>
          <w:sz w:val="22"/>
          <w:szCs w:val="22"/>
          <w:i w:val="1"/>
          <w:iCs w:val="1"/>
          <w:color w:val="auto"/>
        </w:rPr>
        <w:t>e.g.,</w:t>
      </w:r>
      <w:r>
        <w:rPr>
          <w:rFonts w:ascii="Times New Roman" w:cs="Times New Roman" w:eastAsia="Times New Roman" w:hAnsi="Times New Roman"/>
          <w:sz w:val="22"/>
          <w:szCs w:val="22"/>
          <w:color w:val="auto"/>
        </w:rPr>
        <w:t xml:space="preserve"> upon vesting of the Restricted Stock Units or when shares of Stock acquired under the Plan are subsequently sold), or (iii) becoming a director. The Grantee understands that if he or she is the Chief Executive Officer (“CEO”) of a Singapore Subsidiary or Affiliate and the above notification requirements are determined to apply to the CEO of a Singapore Subsidiary or Affiliate, the above notification requirements also may apply to the Grantee.</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SPAIN</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Terms and Conditions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Nature of Grant</w:t>
      </w:r>
      <w:r>
        <w:rPr>
          <w:rFonts w:ascii="Times New Roman" w:cs="Times New Roman" w:eastAsia="Times New Roman" w:hAnsi="Times New Roman"/>
          <w:sz w:val="22"/>
          <w:szCs w:val="22"/>
          <w:color w:val="auto"/>
        </w:rPr>
        <w:t>. The following provision supplements Paragraph 10 of the Global Restricted Stock Unit Award Agreement:</w:t>
      </w:r>
    </w:p>
    <w:p>
      <w:pPr>
        <w:spacing w:after="0" w:line="23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In accepting the Restricted Stock Unit, Grantee consents to participation in the Plan and acknowledges that Grantee has received a copy of the Plan.</w:t>
      </w:r>
    </w:p>
    <w:p>
      <w:pPr>
        <w:spacing w:after="0" w:line="185"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Grantee understands and agrees that, as a condition of the grant of the Restricted Stock Unit, except as provided for in the Global Restricted Stock Unit Award Agreement, the termination of Grantee's employment for any reason (including for the reasons herein) will automatically result in the loss of the Restricted Stock Unit that may have been granted and that have not vested on the date of termination.</w:t>
      </w:r>
    </w:p>
    <w:p>
      <w:pPr>
        <w:spacing w:after="0" w:line="207"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In particular, Grantee understands and agrees that any unvested Restricted Stock Unit as of Grantee's termination date, unless otherwise specified in Global Restricted Stock Unit Award Agreement, will be forfeited without entitlement to the underlying shares of Stock or to any amount as indemnification in the event of a termination by reason of, including, but not limited to: resignation, disciplinary dismissal adjudged to be with cause, disciplinary dismissal adjudged or recognized to be without good cause (</w:t>
      </w:r>
      <w:r>
        <w:rPr>
          <w:rFonts w:ascii="Times New Roman" w:cs="Times New Roman" w:eastAsia="Times New Roman" w:hAnsi="Times New Roman"/>
          <w:sz w:val="22"/>
          <w:szCs w:val="22"/>
          <w:i w:val="1"/>
          <w:iCs w:val="1"/>
          <w:color w:val="auto"/>
        </w:rPr>
        <w:t>i</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e</w:t>
      </w:r>
      <w:r>
        <w:rPr>
          <w:rFonts w:ascii="Times New Roman" w:cs="Times New Roman" w:eastAsia="Times New Roman" w:hAnsi="Times New Roman"/>
          <w:sz w:val="22"/>
          <w:szCs w:val="22"/>
          <w:color w:val="auto"/>
        </w:rPr>
        <w:t>., subject to a “</w:t>
      </w:r>
      <w:r>
        <w:rPr>
          <w:rFonts w:ascii="Times New Roman" w:cs="Times New Roman" w:eastAsia="Times New Roman" w:hAnsi="Times New Roman"/>
          <w:sz w:val="22"/>
          <w:szCs w:val="22"/>
          <w:i w:val="1"/>
          <w:iCs w:val="1"/>
          <w:color w:val="auto"/>
        </w:rPr>
        <w:t>despido improcedente</w:t>
      </w:r>
      <w:r>
        <w:rPr>
          <w:rFonts w:ascii="Times New Roman" w:cs="Times New Roman" w:eastAsia="Times New Roman" w:hAnsi="Times New Roman"/>
          <w:sz w:val="22"/>
          <w:szCs w:val="22"/>
          <w:color w:val="auto"/>
        </w:rPr>
        <w:t>”), individual or collective layoff on objective grounds, whether adjudged to be with cause or adjudged or recognized to be without cause, material modification of the terms of employment under Article 41 of the Workers’ Statute, relocation under Article 40 of the Workers’ Statute, Article 50 of the Workers’ Statute, unilateral withdrawal by the Employer, and under Article 10.3 of Royal Decree 1382/1985.</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63</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ACTIVE/72134752.4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8" w:right="339" w:bottom="1440" w:gutter="0" w:footer="0" w:header="0"/>
        </w:sectPr>
      </w:pPr>
    </w:p>
    <w:bookmarkStart w:id="167" w:name="page168"/>
    <w:bookmarkEnd w:id="167"/>
    <w:p>
      <w:pPr>
        <w:jc w:val="both"/>
        <w:spacing w:after="0" w:line="244" w:lineRule="auto"/>
        <w:rPr>
          <w:sz w:val="20"/>
          <w:szCs w:val="20"/>
          <w:color w:val="auto"/>
        </w:rPr>
      </w:pPr>
      <w:r>
        <w:rPr>
          <w:rFonts w:ascii="Times New Roman" w:cs="Times New Roman" w:eastAsia="Times New Roman" w:hAnsi="Times New Roman"/>
          <w:sz w:val="21"/>
          <w:szCs w:val="21"/>
          <w:color w:val="auto"/>
        </w:rPr>
        <w:t>Furthermore, the Grantee understands that the Company has unilaterally, gratuitously and discretionally decided to grant the Restricted Stock Unit under the Plan to individuals who may be employees of the Company or its Affiliates. The decision is a limited decision that is entered into upon the express assumption and condition that any grant will not economically or otherwise bind the Company on an ongoing basis other than to the extent set forth in the Global Restricted Stock Unit Award Agreement. Consequently, Grantee understands that the Restricted Stock Unit is granted on the assumption and condition that the Restricted Stock Unit and the shares of Stock issued upon vesting shall not become a part of any employment or contract (with the Company, including the Employer) and shall not be considered a mandatory benefit, salary for any purposes (including severance compensation) or any other right whatsoever. Furthermore, Grantee understands and freely accepts that there is no guarantee that any benefit whatsoever will arise from the Restricted Stock Unit, which is gratuitous and discretionary, since the future value of the Restricted Stock Unit and the underlying shares of Stock is unknown and unpredictable. In addition, Grantee understands that the grant of the Restricted Stock Unit would not be made to Grantee but for the assumptions and conditions referred to above; thus, Grantee acknowledges and freely accepts that should any or all of the assumptions be mistaken or should any of the conditions not be met for any reason, then any grant to Grantee shall be null and void.</w:t>
      </w:r>
    </w:p>
    <w:p>
      <w:pPr>
        <w:spacing w:after="0" w:line="21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u w:val="single" w:color="auto"/>
          <w:color w:val="auto"/>
        </w:rPr>
        <w:t>Securities Law Information</w:t>
      </w:r>
      <w:r>
        <w:rPr>
          <w:rFonts w:ascii="Times New Roman" w:cs="Times New Roman" w:eastAsia="Times New Roman" w:hAnsi="Times New Roman"/>
          <w:sz w:val="22"/>
          <w:szCs w:val="22"/>
          <w:color w:val="auto"/>
        </w:rPr>
        <w:t xml:space="preserve">. No "offer of securities to the public", as defined under Spanish law, has taken place or will take place in the Spanish territory. The Global Restricted Stock Unit Award Agreement (including this Appendix) has not been nor will it be registered with the </w:t>
      </w:r>
      <w:r>
        <w:rPr>
          <w:rFonts w:ascii="Times New Roman" w:cs="Times New Roman" w:eastAsia="Times New Roman" w:hAnsi="Times New Roman"/>
          <w:sz w:val="22"/>
          <w:szCs w:val="22"/>
          <w:i w:val="1"/>
          <w:iCs w:val="1"/>
          <w:color w:val="auto"/>
        </w:rPr>
        <w:t>Comisión Nacional del Mercado de Valores</w:t>
      </w:r>
      <w:r>
        <w:rPr>
          <w:rFonts w:ascii="Times New Roman" w:cs="Times New Roman" w:eastAsia="Times New Roman" w:hAnsi="Times New Roman"/>
          <w:sz w:val="22"/>
          <w:szCs w:val="22"/>
          <w:color w:val="auto"/>
        </w:rPr>
        <w:t>, and does not constitute a public offering prospectus.</w:t>
      </w:r>
    </w:p>
    <w:p>
      <w:pPr>
        <w:spacing w:after="0" w:line="200"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1"/>
          <w:szCs w:val="21"/>
          <w:u w:val="single" w:color="auto"/>
          <w:color w:val="auto"/>
        </w:rPr>
        <w:t>Exchange Control Information</w:t>
      </w:r>
      <w:r>
        <w:rPr>
          <w:rFonts w:ascii="Times New Roman" w:cs="Times New Roman" w:eastAsia="Times New Roman" w:hAnsi="Times New Roman"/>
          <w:sz w:val="21"/>
          <w:szCs w:val="21"/>
          <w:color w:val="auto"/>
        </w:rPr>
        <w:t xml:space="preserve">. If the Grantee holds 10% or more of the share capital of the Company or such other amount that would entitle the Grantee to join the Board, the acquisition, ownership and disposition of stock in a foreign company (including shares of Stock) must be declared for statistical purposes to the </w:t>
      </w:r>
      <w:r>
        <w:rPr>
          <w:rFonts w:ascii="Times New Roman" w:cs="Times New Roman" w:eastAsia="Times New Roman" w:hAnsi="Times New Roman"/>
          <w:sz w:val="21"/>
          <w:szCs w:val="21"/>
          <w:i w:val="1"/>
          <w:iCs w:val="1"/>
          <w:color w:val="auto"/>
        </w:rPr>
        <w:t>Spanish Dirección General de Comercio e Inversiones</w:t>
      </w:r>
      <w:r>
        <w:rPr>
          <w:rFonts w:ascii="Times New Roman" w:cs="Times New Roman" w:eastAsia="Times New Roman" w:hAnsi="Times New Roman"/>
          <w:sz w:val="21"/>
          <w:szCs w:val="21"/>
          <w:color w:val="auto"/>
        </w:rPr>
        <w:t>, the Bureau for Commerce and Investments, which is a department of the Ministry of Economy and Competitiveness. In this case, the declaration must be made in January for shares of Stock acquired or disposed of during the prior year and/or for shares of Stock owned as of December 31 of the prior year; however, if the value of the shares of Stock acquired or sold exceeds €1,502,530, the declaration must be filed within one month of the acquisition or disposition, as applicable.</w:t>
      </w:r>
    </w:p>
    <w:p>
      <w:pPr>
        <w:spacing w:after="0" w:line="19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1"/>
          <w:szCs w:val="21"/>
          <w:color w:val="auto"/>
        </w:rPr>
        <w:t>In addition, Grantee is required to declare electronically to the Bank of Spain any foreign accounts (including brokerage accounts held abroad), any foreign instruments (including any shares of Stock acquired under the Plan) and any transactions with non-Spanish residents (including any payments of shares of Stock made to Grantee by the Company) depending on the value of such accounts and instruments and the amount of the transactions during the relevant year as of December 31 of the relevant year.</w:t>
      </w:r>
    </w:p>
    <w:p>
      <w:pPr>
        <w:spacing w:after="0" w:line="185" w:lineRule="exact"/>
        <w:rPr>
          <w:sz w:val="20"/>
          <w:szCs w:val="20"/>
          <w:color w:val="auto"/>
        </w:rPr>
      </w:pPr>
    </w:p>
    <w:p>
      <w:pPr>
        <w:spacing w:after="0" w:line="238" w:lineRule="auto"/>
        <w:rPr>
          <w:sz w:val="20"/>
          <w:szCs w:val="20"/>
          <w:color w:val="auto"/>
        </w:rPr>
      </w:pPr>
      <w:r>
        <w:rPr>
          <w:rFonts w:ascii="Times New Roman" w:cs="Times New Roman" w:eastAsia="Times New Roman" w:hAnsi="Times New Roman"/>
          <w:sz w:val="22"/>
          <w:szCs w:val="22"/>
          <w:u w:val="single" w:color="auto"/>
          <w:color w:val="auto"/>
        </w:rPr>
        <w:t>Foreign Asset/Accounting Reporting Information</w:t>
      </w:r>
      <w:r>
        <w:rPr>
          <w:rFonts w:ascii="Times New Roman" w:cs="Times New Roman" w:eastAsia="Times New Roman" w:hAnsi="Times New Roman"/>
          <w:sz w:val="22"/>
          <w:szCs w:val="22"/>
          <w:color w:val="auto"/>
        </w:rPr>
        <w:t>. If Grantee holds rights or assets (</w:t>
      </w:r>
      <w:r>
        <w:rPr>
          <w:rFonts w:ascii="Times New Roman" w:cs="Times New Roman" w:eastAsia="Times New Roman" w:hAnsi="Times New Roman"/>
          <w:sz w:val="22"/>
          <w:szCs w:val="22"/>
          <w:i w:val="1"/>
          <w:iCs w:val="1"/>
          <w:color w:val="auto"/>
        </w:rPr>
        <w:t>e.g.</w:t>
      </w:r>
      <w:r>
        <w:rPr>
          <w:rFonts w:ascii="Times New Roman" w:cs="Times New Roman" w:eastAsia="Times New Roman" w:hAnsi="Times New Roman"/>
          <w:sz w:val="22"/>
          <w:szCs w:val="22"/>
          <w:color w:val="auto"/>
        </w:rPr>
        <w:t>, shares of Stock or cash held in a bank or brokerage account) outside Spain with a value in excess of €50,000 per type of right or asset (</w:t>
      </w:r>
      <w:r>
        <w:rPr>
          <w:rFonts w:ascii="Times New Roman" w:cs="Times New Roman" w:eastAsia="Times New Roman" w:hAnsi="Times New Roman"/>
          <w:sz w:val="22"/>
          <w:szCs w:val="22"/>
          <w:i w:val="1"/>
          <w:iCs w:val="1"/>
          <w:color w:val="auto"/>
        </w:rPr>
        <w:t>e.g.</w:t>
      </w:r>
      <w:r>
        <w:rPr>
          <w:rFonts w:ascii="Times New Roman" w:cs="Times New Roman" w:eastAsia="Times New Roman" w:hAnsi="Times New Roman"/>
          <w:sz w:val="22"/>
          <w:szCs w:val="22"/>
          <w:color w:val="auto"/>
        </w:rPr>
        <w:t>, shares of Stock, cash, etc.) as of December 31 each year, Grantee is required to report certain information regarding such rights and assets on tax form 720. After such rights and/or assets are initially reported, the reporting obligation will apply for subsequent years only if the value of any previously-reported rights or assets increases by more</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64</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ACTIVE/72134752.4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68" w:name="page169"/>
    <w:bookmarkEnd w:id="168"/>
    <w:p>
      <w:pPr>
        <w:jc w:val="both"/>
        <w:ind w:right="260"/>
        <w:spacing w:after="0" w:line="244" w:lineRule="auto"/>
        <w:rPr>
          <w:sz w:val="20"/>
          <w:szCs w:val="20"/>
          <w:color w:val="auto"/>
        </w:rPr>
      </w:pPr>
      <w:r>
        <w:rPr>
          <w:rFonts w:ascii="Times New Roman" w:cs="Times New Roman" w:eastAsia="Times New Roman" w:hAnsi="Times New Roman"/>
          <w:sz w:val="22"/>
          <w:szCs w:val="22"/>
          <w:color w:val="auto"/>
        </w:rPr>
        <w:t>than €20,000, or if ownership of the asset is transferred or relinquished during the year. If the value of such rights and/or assets does not exceed €50,000, a summarized form of declaration may be presented. The reporting must be completed by the March 31 each year. Grantee should consult Grantee's personal tax advisor for details regarding this requirement.</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SWEDEN</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Terms and Conditions</w:t>
      </w:r>
    </w:p>
    <w:p>
      <w:pPr>
        <w:spacing w:after="0" w:line="23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u w:val="single" w:color="auto"/>
          <w:color w:val="auto"/>
        </w:rPr>
        <w:t>Responsibility for Taxes</w:t>
      </w:r>
      <w:r>
        <w:rPr>
          <w:rFonts w:ascii="Times New Roman" w:cs="Times New Roman" w:eastAsia="Times New Roman" w:hAnsi="Times New Roman"/>
          <w:sz w:val="22"/>
          <w:szCs w:val="22"/>
          <w:color w:val="auto"/>
        </w:rPr>
        <w:t>. The following provision supplements Paragraph 6 of the Global Restricted Stock Unit Award Agreement:</w:t>
      </w:r>
    </w:p>
    <w:p>
      <w:pPr>
        <w:spacing w:after="0" w:line="185"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Without limiting the Company’s and the Employer’s authority to satisfy their withholding obligations for Tax-Related Items as set forth in Paragraph 6 of the Global Restricted Stock Unit Award Agreement, by accepting the Restricted Stock Units, the Grantee authorizes the Company and/or the Employer to withhold shares of Stock or to sell shares of Stock otherwise deliverable to the Grantee upon settlement/vesting to satisfy Tax-Related Items, regardless of whether the Company and/or the Employer have an obligation to withhold such Tax-Related Items.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UNITED KINGDOM</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Terms and Conditions</w:t>
      </w:r>
    </w:p>
    <w:p>
      <w:pPr>
        <w:spacing w:after="0" w:line="23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u w:val="single" w:color="auto"/>
          <w:color w:val="auto"/>
        </w:rPr>
        <w:t>Responsibility for Taxes</w:t>
      </w:r>
      <w:r>
        <w:rPr>
          <w:rFonts w:ascii="Times New Roman" w:cs="Times New Roman" w:eastAsia="Times New Roman" w:hAnsi="Times New Roman"/>
          <w:sz w:val="22"/>
          <w:szCs w:val="22"/>
          <w:color w:val="auto"/>
        </w:rPr>
        <w:t>. The following provisions supplement Paragraph 6 of the Global Restricted Stock Unit Award Agreement:</w:t>
      </w:r>
    </w:p>
    <w:p>
      <w:pPr>
        <w:spacing w:after="0" w:line="185"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Without limitation to Paragraph 6 of the Global Restricted Stock Unit Award Agreement, the Grantee agrees that the Grantee is liable for all Tax-Related Items and hereby covenants to pay all such Tax-Related Items as and when requested by the Company or the Employer or by HM Revenue and Customs (“HMRC”) (or any other tax authority or any other relevant authority). The Grantee also agrees to indemnify and keep indemnified the Company or the Employer against any Tax-Related Items that they are required to pay or withhold or have paid or will pay to HMRC (or any other tax authority or any other relevant authority) on the Grantee’s behalf.</w:t>
      </w:r>
    </w:p>
    <w:p>
      <w:pPr>
        <w:spacing w:after="0" w:line="208"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Notwithstanding the foregoing, if the Grantee is a director or executive officer of the Company (within the meaning of Section 13(k) of the Exchange Act), the terms of the immediately foregoing provision will not apply if the indemnification can be viewed as a loan. In such case, if the amount of any income tax due is not collected from or paid by the Grantee within 90 days of the end of the U.K. tax year in which an event giving rise to the indemnification described above occurs, the amount of any uncollected income taxes may constitute a benefit to the Grantee on which additional income tax and national insurance contributions (“NICs”) may be payable. The Grantee will be responsible for reporting and paying any income tax due on this additional benefit directly to HMRC under the self-assessment regime and for paying to the Company or the Employer, as applicable, any employee NICs due on this additional benefit, which the Company or the Employer may recover from the Grantee by any of the means referred to in Paragraph 6 of the Global Restricted Stock Unit Award Agreement.</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65</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ACTIVE/72134752.4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69" w:name="page170"/>
    <w:bookmarkEnd w:id="169"/>
    <w:p>
      <w:pPr>
        <w:ind w:firstLine="8"/>
        <w:spacing w:after="0" w:line="241" w:lineRule="auto"/>
        <w:tabs>
          <w:tab w:leader="none" w:pos="223" w:val="left"/>
        </w:tabs>
        <w:numPr>
          <w:ilvl w:val="0"/>
          <w:numId w:val="120"/>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20"/>
          <w:szCs w:val="20"/>
          <w:i w:val="1"/>
          <w:iCs w:val="1"/>
          <w:color w:val="auto"/>
        </w:rPr>
        <w:t>The following language to be used for grants to Section 16 officers</w:t>
      </w:r>
      <w:r>
        <w:rPr>
          <w:rFonts w:ascii="Times New Roman" w:cs="Times New Roman" w:eastAsia="Times New Roman" w:hAnsi="Times New Roman"/>
          <w:sz w:val="20"/>
          <w:szCs w:val="20"/>
          <w:color w:val="auto"/>
        </w:rPr>
        <w:t>: The restrictions and conditions of Paragraph 1 of this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Agreement shall lapse in sixteen (16) equal installments of 6.25% starting on the three-month anniversary of the Vesting Commencement Date and every three months thereafter, such that the Restricted Stock Units are fully vested on the fourth (4th) anniversary of the Vesting Commencement Date, provided that the Grantee remains an employee of the Company or a Subsidiary on such dates.</w:t>
      </w:r>
    </w:p>
    <w:p>
      <w:pPr>
        <w:spacing w:after="0" w:line="200" w:lineRule="exact"/>
        <w:rPr>
          <w:sz w:val="20"/>
          <w:szCs w:val="20"/>
          <w:color w:val="auto"/>
        </w:rPr>
      </w:pPr>
    </w:p>
    <w:p>
      <w:pPr>
        <w:spacing w:after="0" w:line="253"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2"/>
          <w:szCs w:val="22"/>
          <w:i w:val="1"/>
          <w:iCs w:val="1"/>
          <w:color w:val="auto"/>
        </w:rPr>
        <w:t xml:space="preserve">The following language to be used for grants to new hires: </w:t>
      </w:r>
      <w:r>
        <w:rPr>
          <w:rFonts w:ascii="Times New Roman" w:cs="Times New Roman" w:eastAsia="Times New Roman" w:hAnsi="Times New Roman"/>
          <w:sz w:val="22"/>
          <w:szCs w:val="22"/>
          <w:color w:val="auto"/>
        </w:rPr>
        <w:t>The restrictions and conditions of Paragraph 1 of this Agreement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shall lapse as to 16.67% of the Restricted Stock Units and such Restricted Stock Units shall vest on the six-month anniversary of the Vesting Commencement Date; provided that the Grantee remains an employee of the Company or a Subsidiary on such date. Thereafter, the restrictions and conditions of Paragraph 1 of this Agreement shall lapse as to the remaining 83.33% of the Restricted Stock Units and such Restricted Stock Units shall vest in ten (10) equal installments of 8.33% every three (3) months following the six-month anniversary of the Vesting Commencement Date, such that the Restricted Stock Units are fully vested on the third (3rd) anniversary of the Vesting Commencement Date, provided that the Grantee remains an employee of the Company or a Subsidiary on such dates.</w:t>
      </w:r>
    </w:p>
    <w:p>
      <w:pPr>
        <w:spacing w:after="0" w:line="205"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22"/>
          <w:szCs w:val="22"/>
          <w:i w:val="1"/>
          <w:iCs w:val="1"/>
          <w:color w:val="auto"/>
        </w:rPr>
        <w:t>The following language to be used for all other grants</w:t>
      </w:r>
      <w:r>
        <w:rPr>
          <w:rFonts w:ascii="Times New Roman" w:cs="Times New Roman" w:eastAsia="Times New Roman" w:hAnsi="Times New Roman"/>
          <w:sz w:val="22"/>
          <w:szCs w:val="22"/>
          <w:color w:val="auto"/>
        </w:rPr>
        <w:t>: The restrictions and conditions of Paragraph 1 of this Agreement shall</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lapse in twelve (12) equal installments of 8.33% starting on the three-month anniversary of the Vesting Commencement Date and every three months thereafter, such that the Restricted Stock Units are fully vested on the third (3rd) anniversary of the Vesting Commencement Date, provided that the Grantee remains an employee of the Company or a Subsidiary on such dates.</w:t>
      </w:r>
    </w:p>
    <w:p>
      <w:pPr>
        <w:spacing w:after="0" w:line="216" w:lineRule="exact"/>
        <w:rPr>
          <w:sz w:val="20"/>
          <w:szCs w:val="20"/>
          <w:color w:val="auto"/>
        </w:rPr>
      </w:pPr>
    </w:p>
    <w:p>
      <w:pPr>
        <w:ind w:right="60" w:firstLine="8"/>
        <w:spacing w:after="0" w:line="233" w:lineRule="auto"/>
        <w:tabs>
          <w:tab w:leader="none" w:pos="223" w:val="left"/>
        </w:tabs>
        <w:numPr>
          <w:ilvl w:val="0"/>
          <w:numId w:val="121"/>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20"/>
          <w:szCs w:val="20"/>
          <w:color w:val="auto"/>
        </w:rPr>
        <w:t>A shadow director is an individual who is not on the board of directors of a company but who has sufficient control so that the board of directors acts in accordance with the “directions or instructions” of the individual.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66</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ACTIVE/72134752.4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18" w:right="379" w:bottom="1440" w:gutter="0" w:footer="0" w:header="0"/>
        </w:sectPr>
      </w:pPr>
    </w:p>
    <w:bookmarkStart w:id="170" w:name="page171"/>
    <w:bookmarkEnd w:id="170"/>
    <w:p>
      <w:pPr>
        <w:jc w:val="center"/>
        <w:ind w:left="360" w:right="2700"/>
        <w:spacing w:after="0" w:line="261" w:lineRule="auto"/>
        <w:rPr>
          <w:sz w:val="20"/>
          <w:szCs w:val="20"/>
          <w:color w:val="auto"/>
        </w:rPr>
      </w:pPr>
      <w:r>
        <w:rPr>
          <w:rFonts w:ascii="Times New Roman" w:cs="Times New Roman" w:eastAsia="Times New Roman" w:hAnsi="Times New Roman"/>
          <w:sz w:val="25"/>
          <w:szCs w:val="25"/>
          <w:b w:val="1"/>
          <w:bCs w:val="1"/>
          <w:color w:val="auto"/>
        </w:rPr>
        <w:t>NON-QUALIFIED STOCK OPTION AGREEMENT FOR NON-EMPLOYEE DIRECTORS UNDER THE HUBSPOT, INC. 2014 STOCK OPTION AND INCENTIVE PLAN</w:t>
      </w:r>
    </w:p>
    <w:p>
      <w:pPr>
        <w:spacing w:after="0" w:line="38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Name of Optionee: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19685</wp:posOffset>
            </wp:positionV>
            <wp:extent cx="3488690" cy="8890"/>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56">
                      <a:extLst>
                        <a:ext uri="{28A0092B-C50C-407E-A947-70E740481C1C}"/>
                      </a:extLst>
                    </a:blip>
                    <a:srcRect/>
                    <a:stretch>
                      <a:fillRect/>
                    </a:stretch>
                  </pic:blipFill>
                  <pic:spPr bwMode="auto">
                    <a:xfrm>
                      <a:off x="0" y="0"/>
                      <a:ext cx="3488690" cy="8890"/>
                    </a:xfrm>
                    <a:prstGeom prst="rect">
                      <a:avLst/>
                    </a:prstGeom>
                    <a:noFill/>
                  </pic:spPr>
                </pic:pic>
              </a:graphicData>
            </a:graphic>
          </wp:anchor>
        </w:drawing>
      </w:r>
    </w:p>
    <w:p>
      <w:pPr>
        <w:spacing w:after="0" w:line="28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No. of Option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19685</wp:posOffset>
            </wp:positionV>
            <wp:extent cx="3488690" cy="825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57">
                      <a:extLst>
                        <a:ext uri="{28A0092B-C50C-407E-A947-70E740481C1C}"/>
                      </a:extLst>
                    </a:blip>
                    <a:srcRect/>
                    <a:stretch>
                      <a:fillRect/>
                    </a:stretch>
                  </pic:blipFill>
                  <pic:spPr bwMode="auto">
                    <a:xfrm>
                      <a:off x="0" y="0"/>
                      <a:ext cx="3488690" cy="8255"/>
                    </a:xfrm>
                    <a:prstGeom prst="rect">
                      <a:avLst/>
                    </a:prstGeom>
                    <a:noFill/>
                  </pic:spPr>
                </pic:pic>
              </a:graphicData>
            </a:graphic>
          </wp:anchor>
        </w:drawing>
      </w:r>
    </w:p>
    <w:p>
      <w:pPr>
        <w:spacing w:after="0" w:line="281" w:lineRule="exact"/>
        <w:rPr>
          <w:sz w:val="20"/>
          <w:szCs w:val="20"/>
          <w:color w:val="auto"/>
        </w:rPr>
      </w:pPr>
    </w:p>
    <w:p>
      <w:pPr>
        <w:ind w:left="20"/>
        <w:spacing w:after="0"/>
        <w:tabs>
          <w:tab w:leader="none" w:pos="5740" w:val="left"/>
        </w:tabs>
        <w:rPr>
          <w:sz w:val="20"/>
          <w:szCs w:val="20"/>
          <w:color w:val="auto"/>
        </w:rPr>
      </w:pPr>
      <w:r>
        <w:rPr>
          <w:rFonts w:ascii="Times New Roman" w:cs="Times New Roman" w:eastAsia="Times New Roman" w:hAnsi="Times New Roman"/>
          <w:sz w:val="22"/>
          <w:szCs w:val="22"/>
          <w:color w:val="auto"/>
        </w:rPr>
        <w:t>Option Exercise Price per Share:</w:t>
      </w:r>
      <w:r>
        <w:rPr>
          <w:sz w:val="20"/>
          <w:szCs w:val="20"/>
          <w:color w:val="auto"/>
        </w:rPr>
        <w:tab/>
      </w:r>
      <w:r>
        <w:rPr>
          <w:rFonts w:ascii="Times New Roman" w:cs="Times New Roman" w:eastAsia="Times New Roman" w:hAnsi="Times New Roman"/>
          <w:sz w:val="19"/>
          <w:szCs w:val="19"/>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19685</wp:posOffset>
            </wp:positionV>
            <wp:extent cx="3488690" cy="825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58">
                      <a:extLst>
                        <a:ext uri="{28A0092B-C50C-407E-A947-70E740481C1C}"/>
                      </a:extLst>
                    </a:blip>
                    <a:srcRect/>
                    <a:stretch>
                      <a:fillRect/>
                    </a:stretch>
                  </pic:blipFill>
                  <pic:spPr bwMode="auto">
                    <a:xfrm>
                      <a:off x="0" y="0"/>
                      <a:ext cx="3488690" cy="8255"/>
                    </a:xfrm>
                    <a:prstGeom prst="rect">
                      <a:avLst/>
                    </a:prstGeom>
                    <a:noFill/>
                  </pic:spPr>
                </pic:pic>
              </a:graphicData>
            </a:graphic>
          </wp:anchor>
        </w:drawing>
      </w:r>
    </w:p>
    <w:p>
      <w:pPr>
        <w:spacing w:after="0" w:line="2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[FMV on Grant Date]</w:t>
      </w:r>
    </w:p>
    <w:p>
      <w:pPr>
        <w:spacing w:after="0" w:line="25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Grant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19685</wp:posOffset>
            </wp:positionV>
            <wp:extent cx="3488690" cy="825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59">
                      <a:extLst>
                        <a:ext uri="{28A0092B-C50C-407E-A947-70E740481C1C}"/>
                      </a:extLst>
                    </a:blip>
                    <a:srcRect/>
                    <a:stretch>
                      <a:fillRect/>
                    </a:stretch>
                  </pic:blipFill>
                  <pic:spPr bwMode="auto">
                    <a:xfrm>
                      <a:off x="0" y="0"/>
                      <a:ext cx="3488690" cy="8255"/>
                    </a:xfrm>
                    <a:prstGeom prst="rect">
                      <a:avLst/>
                    </a:prstGeom>
                    <a:noFill/>
                  </pic:spPr>
                </pic:pic>
              </a:graphicData>
            </a:graphic>
          </wp:anchor>
        </w:drawing>
      </w:r>
    </w:p>
    <w:p>
      <w:pPr>
        <w:spacing w:after="0" w:line="28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Vesting Commencement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19685</wp:posOffset>
            </wp:positionV>
            <wp:extent cx="3488690" cy="825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60">
                      <a:extLst>
                        <a:ext uri="{28A0092B-C50C-407E-A947-70E740481C1C}"/>
                      </a:extLst>
                    </a:blip>
                    <a:srcRect/>
                    <a:stretch>
                      <a:fillRect/>
                    </a:stretch>
                  </pic:blipFill>
                  <pic:spPr bwMode="auto">
                    <a:xfrm>
                      <a:off x="0" y="0"/>
                      <a:ext cx="3488690" cy="8255"/>
                    </a:xfrm>
                    <a:prstGeom prst="rect">
                      <a:avLst/>
                    </a:prstGeom>
                    <a:noFill/>
                  </pic:spPr>
                </pic:pic>
              </a:graphicData>
            </a:graphic>
          </wp:anchor>
        </w:drawing>
      </w:r>
    </w:p>
    <w:p>
      <w:pPr>
        <w:spacing w:after="0" w:line="28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Expiration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19685</wp:posOffset>
            </wp:positionV>
            <wp:extent cx="3488690" cy="825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61">
                      <a:extLst>
                        <a:ext uri="{28A0092B-C50C-407E-A947-70E740481C1C}"/>
                      </a:extLst>
                    </a:blip>
                    <a:srcRect/>
                    <a:stretch>
                      <a:fillRect/>
                    </a:stretch>
                  </pic:blipFill>
                  <pic:spPr bwMode="auto">
                    <a:xfrm>
                      <a:off x="0" y="0"/>
                      <a:ext cx="3488690" cy="8255"/>
                    </a:xfrm>
                    <a:prstGeom prst="rect">
                      <a:avLst/>
                    </a:prstGeom>
                    <a:noFill/>
                  </pic:spPr>
                </pic:pic>
              </a:graphicData>
            </a:graphic>
          </wp:anchor>
        </w:drawing>
      </w:r>
    </w:p>
    <w:p>
      <w:pPr>
        <w:spacing w:after="0" w:line="2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[No more than 10 years]</w:t>
      </w:r>
    </w:p>
    <w:p>
      <w:pPr>
        <w:spacing w:after="0" w:line="318" w:lineRule="exact"/>
        <w:rPr>
          <w:sz w:val="20"/>
          <w:szCs w:val="20"/>
          <w:color w:val="auto"/>
        </w:rPr>
      </w:pPr>
    </w:p>
    <w:p>
      <w:pPr>
        <w:ind w:right="120" w:firstLine="749"/>
        <w:spacing w:after="0" w:line="249" w:lineRule="auto"/>
        <w:rPr>
          <w:sz w:val="20"/>
          <w:szCs w:val="20"/>
          <w:color w:val="auto"/>
        </w:rPr>
      </w:pPr>
      <w:r>
        <w:rPr>
          <w:rFonts w:ascii="Times New Roman" w:cs="Times New Roman" w:eastAsia="Times New Roman" w:hAnsi="Times New Roman"/>
          <w:sz w:val="21"/>
          <w:szCs w:val="21"/>
          <w:color w:val="auto"/>
        </w:rPr>
        <w:t>Pursuant to the HubSpot, Inc. 2014 Stock Option and Incentive Plan as amended through the date hereof (the “Plan”), HubSpot, Inc. (the “Company”) hereby grants to the Optionee named above, who is a Director of the Company but is not an employee of the Company, an option (the “Stock Option”) to purchase on or prior to the Expiration Date specified above all or part of the number of shares of Common Stock, par value $0.001 per share (the “Stock”), of the Company specified above at the Option Exercise Price per Share specified above subject to the terms and conditions set forth herein and in the Plan. This Stock Option is not intended to be an “incentive stock option” under Section 422 of the Internal Revenue Code of 1986, as amended.</w:t>
      </w:r>
    </w:p>
    <w:p>
      <w:pPr>
        <w:spacing w:after="0" w:line="171" w:lineRule="exact"/>
        <w:rPr>
          <w:sz w:val="20"/>
          <w:szCs w:val="20"/>
          <w:color w:val="auto"/>
        </w:rPr>
      </w:pPr>
    </w:p>
    <w:p>
      <w:pPr>
        <w:ind w:right="40" w:firstLine="757"/>
        <w:spacing w:after="0" w:line="253" w:lineRule="auto"/>
        <w:tabs>
          <w:tab w:leader="none" w:pos="1018" w:val="left"/>
        </w:tabs>
        <w:numPr>
          <w:ilvl w:val="0"/>
          <w:numId w:val="12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Vesting Schedule</w:t>
      </w:r>
      <w:r>
        <w:rPr>
          <w:rFonts w:ascii="Times New Roman" w:cs="Times New Roman" w:eastAsia="Times New Roman" w:hAnsi="Times New Roman"/>
          <w:sz w:val="21"/>
          <w:szCs w:val="21"/>
          <w:color w:val="auto"/>
        </w:rPr>
        <w:t>. No portion of this Stock Option may be exercised until such portion shall have become vested and exercisable. Except as set forth below, and subject to the discretion of the Administrator (as defined in Section 2 of the Plan) to</w:t>
      </w:r>
    </w:p>
    <w:p>
      <w:pPr>
        <w:spacing w:after="0" w:line="1"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2"/>
          <w:szCs w:val="22"/>
          <w:color w:val="auto"/>
        </w:rPr>
        <w:t>accelerate the vesting schedule hereunder, [ ] of the Option Shares shall vest and become exercisable on [ ]. Once vested and exercisable, this Stock Option shall continue to be exercisable at any time or times prior to the close of business on the Expiration Date, subject to the provisions hereof and of the Plan.</w:t>
      </w:r>
    </w:p>
    <w:p>
      <w:pPr>
        <w:spacing w:after="0" w:line="178" w:lineRule="exact"/>
        <w:rPr>
          <w:sz w:val="20"/>
          <w:szCs w:val="20"/>
          <w:color w:val="auto"/>
        </w:rPr>
      </w:pPr>
    </w:p>
    <w:p>
      <w:pPr>
        <w:ind w:right="40" w:firstLine="749"/>
        <w:spacing w:after="0" w:line="239" w:lineRule="auto"/>
        <w:rPr>
          <w:sz w:val="20"/>
          <w:szCs w:val="20"/>
          <w:color w:val="auto"/>
        </w:rPr>
      </w:pPr>
      <w:r>
        <w:rPr>
          <w:rFonts w:ascii="Times New Roman" w:cs="Times New Roman" w:eastAsia="Times New Roman" w:hAnsi="Times New Roman"/>
          <w:sz w:val="22"/>
          <w:szCs w:val="22"/>
          <w:color w:val="auto"/>
        </w:rPr>
        <w:t>Notwithstanding the foregoing, in the event of a Sale Event (as defined in the Plan), this Stock Option shall be deemed vested and exercisable upon the date on which the Optionee’s service relationship with the Company and any subsidiary or successor entity, as the case may be, ends if the end of such service relationship occurs within 12 months after such Sale Event or 90 days prior to such Sale Event.</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67</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ACTIVE/72134752.4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7" w:right="359" w:bottom="1440" w:gutter="0" w:footer="0" w:header="0"/>
        </w:sectPr>
      </w:pPr>
    </w:p>
    <w:bookmarkStart w:id="171" w:name="page172"/>
    <w:bookmarkEnd w:id="171"/>
    <w:p>
      <w:pPr>
        <w:ind w:left="1020" w:hanging="263"/>
        <w:spacing w:after="0"/>
        <w:tabs>
          <w:tab w:leader="none" w:pos="1020" w:val="left"/>
        </w:tabs>
        <w:numPr>
          <w:ilvl w:val="0"/>
          <w:numId w:val="1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Manner of Exercise</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ind w:firstLine="1505"/>
        <w:spacing w:after="0" w:line="239" w:lineRule="auto"/>
        <w:tabs>
          <w:tab w:leader="none" w:pos="2036" w:val="left"/>
        </w:tabs>
        <w:numPr>
          <w:ilvl w:val="1"/>
          <w:numId w:val="123"/>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color w:val="auto"/>
        </w:rPr>
        <w:t>The Optionee may exercise this Stock Option only in the following manner: from time to time on or prior to the Expiration Date of this Stock Option, the Optionee may give written notice to the Administrator of his or her election to purchase some or all of the Option Shares purchasable at the time of such notice. This notice shall specify the number of Option Shares to be purchased.</w:t>
      </w:r>
    </w:p>
    <w:p>
      <w:pPr>
        <w:spacing w:after="0" w:line="180" w:lineRule="exact"/>
        <w:rPr>
          <w:sz w:val="20"/>
          <w:szCs w:val="20"/>
          <w:color w:val="auto"/>
        </w:rPr>
      </w:pPr>
    </w:p>
    <w:p>
      <w:pPr>
        <w:ind w:right="40" w:firstLine="749"/>
        <w:spacing w:after="0" w:line="233" w:lineRule="auto"/>
        <w:rPr>
          <w:sz w:val="20"/>
          <w:szCs w:val="20"/>
          <w:color w:val="auto"/>
        </w:rPr>
      </w:pPr>
      <w:r>
        <w:rPr>
          <w:rFonts w:ascii="Times New Roman" w:cs="Times New Roman" w:eastAsia="Times New Roman" w:hAnsi="Times New Roman"/>
          <w:sz w:val="22"/>
          <w:szCs w:val="22"/>
          <w:color w:val="auto"/>
        </w:rPr>
        <w:t>Payment of the purchase price for the Option Shares may be made by one or more of the following methods: (i) in cash, by certified or bank check or other instrument acceptable to the Administrator; (ii) through the delivery (or attestation to the ownership) of shares of Stock that have been purchased by the Optionee on the open market or that are beneficially owned by the Optionee and are not then subject to any restrictions under any Company plan and that otherwise satisfy any holding periods as may be required by the Administrator; (iii) by the Optionee delivering to the Company a properly executed exercise notice together with irrevocable instructions to a broker to promptly deliver to the Company cash or a check payable and acceptable to the Company to pay the option purchase price, provided that in the event the Optionee chooses to pay the option purchase price as so provided, the Optionee and the broker shall comply with such procedures and enter into such agreements of indemnity and other agreements as the Administrator shall prescribe as a condition of such payment procedure; (iv) by a “net exercise” arrangement pursuant to which the Company will reduce the number of shares of Stock issuable upon exercise by the largest whole number of shares with a Fair Market Value that does not exceed the aggregate exercise price; or (v) a combination of (i), (ii), (iii) and (iv) above. Payment instruments will be received subject to collection.</w:t>
      </w:r>
    </w:p>
    <w:p>
      <w:pPr>
        <w:spacing w:after="0" w:line="18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The transfer to the Optionee on the records of the Company or of the transfer agent of the Option Shares will be</w:t>
      </w:r>
    </w:p>
    <w:p>
      <w:pPr>
        <w:spacing w:after="0" w:line="14"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21"/>
          <w:szCs w:val="21"/>
          <w:color w:val="auto"/>
        </w:rPr>
        <w:t>contingent upon (i) the Company’s receipt from the Optionee of the full purchase price for the Option Shares, as set forth above,</w:t>
      </w:r>
    </w:p>
    <w:p>
      <w:pPr>
        <w:spacing w:after="0" w:line="2" w:lineRule="exact"/>
        <w:rPr>
          <w:sz w:val="20"/>
          <w:szCs w:val="20"/>
          <w:color w:val="auto"/>
        </w:rPr>
      </w:pPr>
    </w:p>
    <w:p>
      <w:pPr>
        <w:ind w:left="320" w:hanging="312"/>
        <w:spacing w:after="0"/>
        <w:tabs>
          <w:tab w:leader="none" w:pos="320" w:val="left"/>
        </w:tabs>
        <w:numPr>
          <w:ilvl w:val="0"/>
          <w:numId w:val="12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fulfillment of any other requirements contained herein or in the Plan or in any other agreement or provision of laws, and</w:t>
      </w:r>
    </w:p>
    <w:p>
      <w:pPr>
        <w:spacing w:after="0" w:line="1" w:lineRule="exact"/>
        <w:rPr>
          <w:rFonts w:ascii="Times New Roman" w:cs="Times New Roman" w:eastAsia="Times New Roman" w:hAnsi="Times New Roman"/>
          <w:sz w:val="21"/>
          <w:szCs w:val="21"/>
          <w:color w:val="auto"/>
        </w:rPr>
      </w:pPr>
    </w:p>
    <w:p>
      <w:pPr>
        <w:ind w:right="20" w:firstLine="8"/>
        <w:spacing w:after="0" w:line="233" w:lineRule="auto"/>
        <w:tabs>
          <w:tab w:leader="none" w:pos="378" w:val="left"/>
        </w:tabs>
        <w:numPr>
          <w:ilvl w:val="0"/>
          <w:numId w:val="1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receipt by the Company of any agreement, statement or other evidence that the Company may require to satisfy itself that the issuance of Stock to be purchased pursuant to the exercise of Stock Options under the Plan and any subsequent resale of the shares of Stock will be in compliance with applicable laws and regulations. In the event the Optionee chooses to pay the purchase price by previously-owned shares of Stock through the attestation method, the number of shares of Stock transferred to the Optionee upon the exercise of the Stock Option shall be net of the Shares attested to.</w:t>
      </w:r>
    </w:p>
    <w:p>
      <w:pPr>
        <w:spacing w:after="0" w:line="179" w:lineRule="exact"/>
        <w:rPr>
          <w:rFonts w:ascii="Times New Roman" w:cs="Times New Roman" w:eastAsia="Times New Roman" w:hAnsi="Times New Roman"/>
          <w:sz w:val="22"/>
          <w:szCs w:val="22"/>
          <w:color w:val="auto"/>
        </w:rPr>
      </w:pPr>
    </w:p>
    <w:p>
      <w:pPr>
        <w:ind w:right="60" w:firstLine="1505"/>
        <w:spacing w:after="0" w:line="234" w:lineRule="auto"/>
        <w:tabs>
          <w:tab w:leader="none" w:pos="2036" w:val="left"/>
        </w:tabs>
        <w:numPr>
          <w:ilvl w:val="1"/>
          <w:numId w:val="124"/>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color w:val="auto"/>
        </w:rPr>
        <w:t>The shares of Stock purchased upon exercise of this Stock Option shall be transferred to the Optionee on the records of the Company or of the transfer agent upon compliance to the satisfaction of the Administrator with all requirements under applicable laws or regulations in connection with such transfer and with the requirements hereof and of the Plan. The determination of the Administrator as to such compliance shall be final and binding on the Optionee. The Optionee shall not be deemed to be the holder of, or to have any of the rights of a holder with respect to, any shares of Stock subject to this Stock Option unless and until this Stock Option shall have been exercised pursuant to the terms hereof, the Company or the transfer agent shall have transferred the shares to the Optionee, and the Optionee’s name shall have been entered as the stockholder of record on the books of the Company. Thereupon, the Optionee shall have full voting, dividend and other ownership rights with respect to such shares of Stock.</w:t>
      </w:r>
    </w:p>
    <w:p>
      <w:pPr>
        <w:spacing w:after="0" w:line="200" w:lineRule="exact"/>
        <w:rPr>
          <w:sz w:val="20"/>
          <w:szCs w:val="20"/>
          <w:color w:val="auto"/>
        </w:rPr>
      </w:pPr>
    </w:p>
    <w:p>
      <w:pPr>
        <w:spacing w:after="0" w:line="2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68</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ACTIVE/72134752.4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8" w:right="359" w:bottom="1440" w:gutter="0" w:footer="0" w:header="0"/>
        </w:sectPr>
      </w:pPr>
    </w:p>
    <w:bookmarkStart w:id="172" w:name="page173"/>
    <w:bookmarkEnd w:id="172"/>
    <w:p>
      <w:pPr>
        <w:ind w:firstLine="1505"/>
        <w:spacing w:after="0" w:line="244" w:lineRule="auto"/>
        <w:tabs>
          <w:tab w:leader="none" w:pos="2036" w:val="left"/>
        </w:tabs>
        <w:numPr>
          <w:ilvl w:val="1"/>
          <w:numId w:val="125"/>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color w:val="auto"/>
        </w:rPr>
        <w:t>The minimum number of shares with respect to which this Stock Option may be exercised at any one time shall be 100 shares, unless the number of shares with respect to which this Stock Option is being exercised is the total number of shares subject to exercise under this Stock Option at the time.</w:t>
      </w:r>
    </w:p>
    <w:p>
      <w:pPr>
        <w:spacing w:after="0" w:line="173" w:lineRule="exact"/>
        <w:rPr>
          <w:rFonts w:ascii="Times New Roman" w:cs="Times New Roman" w:eastAsia="Times New Roman" w:hAnsi="Times New Roman"/>
          <w:sz w:val="22"/>
          <w:szCs w:val="22"/>
          <w:u w:val="single" w:color="auto"/>
          <w:color w:val="auto"/>
        </w:rPr>
      </w:pPr>
    </w:p>
    <w:p>
      <w:pPr>
        <w:ind w:right="640" w:firstLine="1505"/>
        <w:spacing w:after="0" w:line="258" w:lineRule="auto"/>
        <w:tabs>
          <w:tab w:leader="none" w:pos="2036" w:val="left"/>
        </w:tabs>
        <w:numPr>
          <w:ilvl w:val="1"/>
          <w:numId w:val="125"/>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color w:val="auto"/>
        </w:rPr>
        <w:t>Notwithstanding any other provision hereof or of the Plan, no portion of this Stock Option shall be exercisable after the Expiration Date hereof.</w:t>
      </w:r>
    </w:p>
    <w:p>
      <w:pPr>
        <w:spacing w:after="0" w:line="158" w:lineRule="exact"/>
        <w:rPr>
          <w:rFonts w:ascii="Times New Roman" w:cs="Times New Roman" w:eastAsia="Times New Roman" w:hAnsi="Times New Roman"/>
          <w:sz w:val="22"/>
          <w:szCs w:val="22"/>
          <w:u w:val="single" w:color="auto"/>
          <w:color w:val="auto"/>
        </w:rPr>
      </w:pPr>
    </w:p>
    <w:p>
      <w:pPr>
        <w:ind w:right="120" w:firstLine="757"/>
        <w:spacing w:after="0" w:line="258" w:lineRule="auto"/>
        <w:tabs>
          <w:tab w:leader="none" w:pos="1018" w:val="left"/>
        </w:tabs>
        <w:numPr>
          <w:ilvl w:val="0"/>
          <w:numId w:val="1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 as Director</w:t>
      </w:r>
      <w:r>
        <w:rPr>
          <w:rFonts w:ascii="Times New Roman" w:cs="Times New Roman" w:eastAsia="Times New Roman" w:hAnsi="Times New Roman"/>
          <w:sz w:val="22"/>
          <w:szCs w:val="22"/>
          <w:color w:val="auto"/>
        </w:rPr>
        <w:t>. If the Optionee ceases to be a Director of the Company, the period within which to exercise the Stock Option may be subject to earlier termination as set forth below.</w:t>
      </w:r>
    </w:p>
    <w:p>
      <w:pPr>
        <w:spacing w:after="0" w:line="158" w:lineRule="exact"/>
        <w:rPr>
          <w:rFonts w:ascii="Times New Roman" w:cs="Times New Roman" w:eastAsia="Times New Roman" w:hAnsi="Times New Roman"/>
          <w:sz w:val="22"/>
          <w:szCs w:val="22"/>
          <w:color w:val="auto"/>
        </w:rPr>
      </w:pPr>
    </w:p>
    <w:p>
      <w:pPr>
        <w:ind w:firstLine="1505"/>
        <w:spacing w:after="0" w:line="238" w:lineRule="auto"/>
        <w:tabs>
          <w:tab w:leader="none" w:pos="2036" w:val="left"/>
        </w:tabs>
        <w:numPr>
          <w:ilvl w:val="1"/>
          <w:numId w:val="126"/>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Termination Due to Death</w:t>
      </w:r>
      <w:r>
        <w:rPr>
          <w:rFonts w:ascii="Times New Roman" w:cs="Times New Roman" w:eastAsia="Times New Roman" w:hAnsi="Times New Roman"/>
          <w:sz w:val="22"/>
          <w:szCs w:val="22"/>
          <w:color w:val="auto"/>
        </w:rPr>
        <w:t>. If the Optionee’s service as a Director terminates by reason of the Optionee’s death, any portion of this Stock Option outstanding on such date, to the extent exercisable on the date of death, may thereafter be exercised by the Optionee’s legal representative or legatee for a period of 12 months from the date of death or until the Expiration Date, if earlier. Any portion of this Stock Option that is not exercisable on the date of death shall terminate immediately and be of no further force or effect.</w:t>
      </w:r>
    </w:p>
    <w:p>
      <w:pPr>
        <w:spacing w:after="0" w:line="176" w:lineRule="exact"/>
        <w:rPr>
          <w:rFonts w:ascii="Times New Roman" w:cs="Times New Roman" w:eastAsia="Times New Roman" w:hAnsi="Times New Roman"/>
          <w:sz w:val="22"/>
          <w:szCs w:val="22"/>
          <w:u w:val="single" w:color="auto"/>
          <w:color w:val="auto"/>
        </w:rPr>
      </w:pPr>
    </w:p>
    <w:p>
      <w:pPr>
        <w:ind w:firstLine="1505"/>
        <w:spacing w:after="0" w:line="238" w:lineRule="auto"/>
        <w:tabs>
          <w:tab w:leader="none" w:pos="2036" w:val="left"/>
        </w:tabs>
        <w:numPr>
          <w:ilvl w:val="1"/>
          <w:numId w:val="126"/>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Other Termination</w:t>
      </w:r>
      <w:r>
        <w:rPr>
          <w:rFonts w:ascii="Times New Roman" w:cs="Times New Roman" w:eastAsia="Times New Roman" w:hAnsi="Times New Roman"/>
          <w:sz w:val="22"/>
          <w:szCs w:val="22"/>
          <w:color w:val="auto"/>
        </w:rPr>
        <w:t>. If the Optionee ceases to be a Director for any reason other than the Optionee’s death, any portion of this Stock Option outstanding on such date may be exercised, to the extent exercisable on the date the Optionee ceased to be a Director, for a period of six months from the date the Optionee ceased to be a Director or until the Expiration Date, if earlier. Any portion of this Stock Option that is not exercisable on the date the Optionee ceases to be a Director shall terminate immediately and be of no further force or effect.</w:t>
      </w:r>
    </w:p>
    <w:p>
      <w:pPr>
        <w:spacing w:after="0" w:line="177" w:lineRule="exact"/>
        <w:rPr>
          <w:sz w:val="20"/>
          <w:szCs w:val="20"/>
          <w:color w:val="auto"/>
        </w:rPr>
      </w:pPr>
    </w:p>
    <w:p>
      <w:pPr>
        <w:ind w:right="840" w:firstLine="749"/>
        <w:spacing w:after="0" w:line="258" w:lineRule="auto"/>
        <w:rPr>
          <w:sz w:val="20"/>
          <w:szCs w:val="20"/>
          <w:color w:val="auto"/>
        </w:rPr>
      </w:pPr>
      <w:r>
        <w:rPr>
          <w:rFonts w:ascii="Times New Roman" w:cs="Times New Roman" w:eastAsia="Times New Roman" w:hAnsi="Times New Roman"/>
          <w:sz w:val="22"/>
          <w:szCs w:val="22"/>
          <w:color w:val="auto"/>
        </w:rPr>
        <w:t>The Administrator’s determination of the reason for termination of the Optionee’s service as a Director shall be conclusive and binding on the Optionee and his or her representatives or legatees.</w:t>
      </w:r>
    </w:p>
    <w:p>
      <w:pPr>
        <w:spacing w:after="0" w:line="158" w:lineRule="exact"/>
        <w:rPr>
          <w:sz w:val="20"/>
          <w:szCs w:val="20"/>
          <w:color w:val="auto"/>
        </w:rPr>
      </w:pPr>
    </w:p>
    <w:p>
      <w:pPr>
        <w:ind w:right="280" w:firstLine="757"/>
        <w:spacing w:after="0" w:line="239" w:lineRule="auto"/>
        <w:tabs>
          <w:tab w:leader="none" w:pos="1018" w:val="left"/>
        </w:tabs>
        <w:numPr>
          <w:ilvl w:val="0"/>
          <w:numId w:val="1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Incorporation of Plan</w:t>
      </w:r>
      <w:r>
        <w:rPr>
          <w:rFonts w:ascii="Times New Roman" w:cs="Times New Roman" w:eastAsia="Times New Roman" w:hAnsi="Times New Roman"/>
          <w:sz w:val="22"/>
          <w:szCs w:val="22"/>
          <w:color w:val="auto"/>
        </w:rPr>
        <w:t>. Notwithstanding anything herein to the contrary, this Stock Option shall be subject to and governed by all the terms and conditions of the Plan, including the powers of the Administrator set forth in Section 2(b) of the Plan. Capitalized terms in this Agreement shall have the meaning specified in the Plan, unless a different meaning is specified herein.</w:t>
      </w:r>
    </w:p>
    <w:p>
      <w:pPr>
        <w:spacing w:after="0" w:line="180" w:lineRule="exact"/>
        <w:rPr>
          <w:rFonts w:ascii="Times New Roman" w:cs="Times New Roman" w:eastAsia="Times New Roman" w:hAnsi="Times New Roman"/>
          <w:sz w:val="22"/>
          <w:szCs w:val="22"/>
          <w:color w:val="auto"/>
        </w:rPr>
      </w:pPr>
    </w:p>
    <w:p>
      <w:pPr>
        <w:ind w:right="80" w:firstLine="757"/>
        <w:spacing w:after="0" w:line="261" w:lineRule="auto"/>
        <w:tabs>
          <w:tab w:leader="none" w:pos="1018" w:val="left"/>
        </w:tabs>
        <w:numPr>
          <w:ilvl w:val="0"/>
          <w:numId w:val="12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Transferability</w:t>
      </w:r>
      <w:r>
        <w:rPr>
          <w:rFonts w:ascii="Times New Roman" w:cs="Times New Roman" w:eastAsia="Times New Roman" w:hAnsi="Times New Roman"/>
          <w:sz w:val="21"/>
          <w:szCs w:val="21"/>
          <w:color w:val="auto"/>
        </w:rPr>
        <w:t>. This Agreement is personal to the Optionee, is non-assignable and is not transferable in any manner, by operation of law or otherwise, other than by will or the laws of descent and distribution. This Stock Option is exercisable, during the Optionee’s lifetime, only by the Optionee, and thereafter, only by the Optionee’s legal representative or legatee.</w:t>
      </w:r>
    </w:p>
    <w:p>
      <w:pPr>
        <w:spacing w:after="0" w:line="157" w:lineRule="exact"/>
        <w:rPr>
          <w:rFonts w:ascii="Times New Roman" w:cs="Times New Roman" w:eastAsia="Times New Roman" w:hAnsi="Times New Roman"/>
          <w:sz w:val="21"/>
          <w:szCs w:val="21"/>
          <w:color w:val="auto"/>
        </w:rPr>
      </w:pPr>
    </w:p>
    <w:p>
      <w:pPr>
        <w:ind w:firstLine="757"/>
        <w:spacing w:after="0" w:line="258" w:lineRule="auto"/>
        <w:tabs>
          <w:tab w:leader="none" w:pos="1018" w:val="left"/>
        </w:tabs>
        <w:numPr>
          <w:ilvl w:val="0"/>
          <w:numId w:val="1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Obligation to Continue as a Director</w:t>
      </w:r>
      <w:r>
        <w:rPr>
          <w:rFonts w:ascii="Times New Roman" w:cs="Times New Roman" w:eastAsia="Times New Roman" w:hAnsi="Times New Roman"/>
          <w:sz w:val="22"/>
          <w:szCs w:val="22"/>
          <w:color w:val="auto"/>
        </w:rPr>
        <w:t>. Neither the Plan nor this Stock Option confers upon the Optionee any rights with respect to continuance as a Director.</w:t>
      </w:r>
    </w:p>
    <w:p>
      <w:pPr>
        <w:spacing w:after="0" w:line="158" w:lineRule="exact"/>
        <w:rPr>
          <w:rFonts w:ascii="Times New Roman" w:cs="Times New Roman" w:eastAsia="Times New Roman" w:hAnsi="Times New Roman"/>
          <w:sz w:val="22"/>
          <w:szCs w:val="22"/>
          <w:color w:val="auto"/>
        </w:rPr>
      </w:pPr>
    </w:p>
    <w:p>
      <w:pPr>
        <w:ind w:right="280" w:firstLine="757"/>
        <w:spacing w:after="0" w:line="258" w:lineRule="auto"/>
        <w:tabs>
          <w:tab w:leader="none" w:pos="1018" w:val="left"/>
        </w:tabs>
        <w:numPr>
          <w:ilvl w:val="0"/>
          <w:numId w:val="1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Integration</w:t>
      </w:r>
      <w:r>
        <w:rPr>
          <w:rFonts w:ascii="Times New Roman" w:cs="Times New Roman" w:eastAsia="Times New Roman" w:hAnsi="Times New Roman"/>
          <w:sz w:val="22"/>
          <w:szCs w:val="22"/>
          <w:color w:val="auto"/>
        </w:rPr>
        <w:t>. This Agreement constitutes the entire agreement between the parties with respect to this Stock Option and supersedes all prior agreements and discussions between the parties concerning such subject matter.</w:t>
      </w: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69</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ACTIVE/72134752.4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8" w:right="359" w:bottom="1440" w:gutter="0" w:footer="0" w:header="0"/>
        </w:sectPr>
      </w:pPr>
    </w:p>
    <w:bookmarkStart w:id="173" w:name="page174"/>
    <w:bookmarkEnd w:id="173"/>
    <w:p>
      <w:pPr>
        <w:ind w:firstLine="757"/>
        <w:spacing w:after="0" w:line="234" w:lineRule="auto"/>
        <w:tabs>
          <w:tab w:leader="none" w:pos="1018" w:val="left"/>
        </w:tabs>
        <w:numPr>
          <w:ilvl w:val="0"/>
          <w:numId w:val="1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Data Privacy Consent</w:t>
      </w:r>
      <w:r>
        <w:rPr>
          <w:rFonts w:ascii="Times New Roman" w:cs="Times New Roman" w:eastAsia="Times New Roman" w:hAnsi="Times New Roman"/>
          <w:sz w:val="22"/>
          <w:szCs w:val="22"/>
          <w:color w:val="auto"/>
        </w:rPr>
        <w:t>. In order to administer the Plan and this Agreement and to implement or structure future equity grants, the Company, its subsidiaries and affiliates and certain agents thereof (together, the “Relevant Companies”) may process any and all personal or professional data, including but not limited to Social Security or other identification number, home address and telephone number, date of birth and other information that is necessary or desirable for the administration of the Plan and/or this Agreement (the “Relevant Information”). By entering into this Agreement, the Optionee (i) authorizes the Company to collect, process, register and transfer to the Relevant Companies all Relevant Information; (ii) waives any privacy rights the Optionee may have with respect to the Relevant Information; (iii) authorizes the Relevant Companies to store and transmit such information in electronic form; and (iv) authorizes the transfer of the Relevant Information to any jurisdiction in which the Relevant Companies consider appropriate. The Optionee shall have access to, and the right to change, the Relevant Information. Relevant Information will only be used in accordance with applicable law.</w:t>
      </w:r>
    </w:p>
    <w:p>
      <w:pPr>
        <w:spacing w:after="0" w:line="179" w:lineRule="exact"/>
        <w:rPr>
          <w:rFonts w:ascii="Times New Roman" w:cs="Times New Roman" w:eastAsia="Times New Roman" w:hAnsi="Times New Roman"/>
          <w:sz w:val="22"/>
          <w:szCs w:val="22"/>
          <w:color w:val="auto"/>
        </w:rPr>
      </w:pPr>
    </w:p>
    <w:p>
      <w:pPr>
        <w:ind w:firstLine="757"/>
        <w:spacing w:after="0" w:line="244" w:lineRule="auto"/>
        <w:tabs>
          <w:tab w:leader="none" w:pos="1018" w:val="left"/>
        </w:tabs>
        <w:numPr>
          <w:ilvl w:val="0"/>
          <w:numId w:val="1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Notices</w:t>
      </w:r>
      <w:r>
        <w:rPr>
          <w:rFonts w:ascii="Times New Roman" w:cs="Times New Roman" w:eastAsia="Times New Roman" w:hAnsi="Times New Roman"/>
          <w:sz w:val="22"/>
          <w:szCs w:val="22"/>
          <w:color w:val="auto"/>
        </w:rPr>
        <w:t>. Notices hereunder shall be mailed or delivered to the Company at its principal place of business and shall be mailed or delivered to the Optionee at the address on file with the Company or, in either case, at such other address as one party may subsequently furnish to the other party in writing.</w:t>
      </w:r>
    </w:p>
    <w:p>
      <w:pPr>
        <w:spacing w:after="0" w:line="210"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22"/>
          <w:szCs w:val="22"/>
          <w:b w:val="1"/>
          <w:bCs w:val="1"/>
          <w:color w:val="auto"/>
        </w:rPr>
        <w:t>HUBSPOT, INC.</w:t>
      </w:r>
    </w:p>
    <w:p>
      <w:pPr>
        <w:spacing w:after="0" w:line="291"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19685</wp:posOffset>
            </wp:positionV>
            <wp:extent cx="3068955" cy="825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65">
                      <a:extLst>
                        <a:ext uri="{28A0092B-C50C-407E-A947-70E740481C1C}"/>
                      </a:extLst>
                    </a:blip>
                    <a:srcRect/>
                    <a:stretch>
                      <a:fillRect/>
                    </a:stretch>
                  </pic:blipFill>
                  <pic:spPr bwMode="auto">
                    <a:xfrm>
                      <a:off x="0" y="0"/>
                      <a:ext cx="3068955" cy="8255"/>
                    </a:xfrm>
                    <a:prstGeom prst="rect">
                      <a:avLst/>
                    </a:prstGeom>
                    <a:noFill/>
                  </pic:spPr>
                </pic:pic>
              </a:graphicData>
            </a:graphic>
          </wp:anchor>
        </w:drawing>
      </w:r>
    </w:p>
    <w:p>
      <w:pPr>
        <w:spacing w:after="0" w:line="281"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19685</wp:posOffset>
            </wp:positionV>
            <wp:extent cx="3068955" cy="825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66">
                      <a:extLst>
                        <a:ext uri="{28A0092B-C50C-407E-A947-70E740481C1C}"/>
                      </a:extLst>
                    </a:blip>
                    <a:srcRect/>
                    <a:stretch>
                      <a:fillRect/>
                    </a:stretch>
                  </pic:blipFill>
                  <pic:spPr bwMode="auto">
                    <a:xfrm>
                      <a:off x="0" y="0"/>
                      <a:ext cx="3068955" cy="8255"/>
                    </a:xfrm>
                    <a:prstGeom prst="rect">
                      <a:avLst/>
                    </a:prstGeom>
                    <a:noFill/>
                  </pic:spPr>
                </pic:pic>
              </a:graphicData>
            </a:graphic>
          </wp:anchor>
        </w:drawing>
      </w:r>
    </w:p>
    <w:p>
      <w:pPr>
        <w:spacing w:after="0" w:line="200" w:lineRule="exact"/>
        <w:rPr>
          <w:sz w:val="20"/>
          <w:szCs w:val="20"/>
          <w:color w:val="auto"/>
        </w:rPr>
      </w:pPr>
    </w:p>
    <w:p>
      <w:pPr>
        <w:spacing w:after="0" w:line="310" w:lineRule="exact"/>
        <w:rPr>
          <w:sz w:val="20"/>
          <w:szCs w:val="20"/>
          <w:color w:val="auto"/>
        </w:rPr>
      </w:pPr>
    </w:p>
    <w:p>
      <w:pPr>
        <w:ind w:right="120" w:firstLine="749"/>
        <w:spacing w:after="0" w:line="244" w:lineRule="auto"/>
        <w:rPr>
          <w:sz w:val="20"/>
          <w:szCs w:val="20"/>
          <w:color w:val="auto"/>
        </w:rPr>
      </w:pPr>
      <w:r>
        <w:rPr>
          <w:rFonts w:ascii="Times New Roman" w:cs="Times New Roman" w:eastAsia="Times New Roman" w:hAnsi="Times New Roman"/>
          <w:sz w:val="22"/>
          <w:szCs w:val="22"/>
          <w:color w:val="auto"/>
        </w:rPr>
        <w:t>The foregoing Agreement is hereby accepted and the terms and conditions thereof hereby agreed to by the undersigned. Electronic acceptance of this Agreement pursuant to the Company’s instructions to the Grantee (including through an online acceptance process) is acceptable.</w:t>
      </w:r>
    </w:p>
    <w:p>
      <w:pPr>
        <w:spacing w:after="0" w:line="18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Dated:</w:t>
      </w:r>
    </w:p>
    <w:p>
      <w:pPr>
        <w:spacing w:after="0" w:line="31"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22"/>
          <w:szCs w:val="22"/>
          <w:color w:val="auto"/>
        </w:rPr>
        <w:t>Optionee’s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132320" cy="8890"/>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6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67"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22"/>
          <w:szCs w:val="22"/>
          <w:color w:val="auto"/>
        </w:rPr>
        <w:t>Optionee’s name and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362585</wp:posOffset>
            </wp:positionV>
            <wp:extent cx="3488690" cy="825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68">
                      <a:extLst>
                        <a:ext uri="{28A0092B-C50C-407E-A947-70E740481C1C}"/>
                      </a:extLst>
                    </a:blip>
                    <a:srcRect/>
                    <a:stretch>
                      <a:fillRect/>
                    </a:stretch>
                  </pic:blipFill>
                  <pic:spPr bwMode="auto">
                    <a:xfrm>
                      <a:off x="0" y="0"/>
                      <a:ext cx="3488690" cy="825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713740</wp:posOffset>
            </wp:positionV>
            <wp:extent cx="3488690" cy="825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69">
                      <a:extLst>
                        <a:ext uri="{28A0092B-C50C-407E-A947-70E740481C1C}"/>
                      </a:extLst>
                    </a:blip>
                    <a:srcRect/>
                    <a:stretch>
                      <a:fillRect/>
                    </a:stretch>
                  </pic:blipFill>
                  <pic:spPr bwMode="auto">
                    <a:xfrm>
                      <a:off x="0" y="0"/>
                      <a:ext cx="348869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70</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ACTIVE/72134752.4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8" w:right="359" w:bottom="1440" w:gutter="0" w:footer="0" w:header="0"/>
        </w:sectPr>
      </w:pPr>
    </w:p>
    <w:bookmarkStart w:id="174" w:name="page175"/>
    <w:bookmarkEnd w:id="174"/>
    <w:p>
      <w:pPr>
        <w:jc w:val="center"/>
        <w:ind w:left="380" w:right="2580"/>
        <w:spacing w:after="0" w:line="261" w:lineRule="auto"/>
        <w:rPr>
          <w:sz w:val="20"/>
          <w:szCs w:val="20"/>
          <w:color w:val="auto"/>
        </w:rPr>
      </w:pPr>
      <w:r>
        <w:rPr>
          <w:rFonts w:ascii="Times New Roman" w:cs="Times New Roman" w:eastAsia="Times New Roman" w:hAnsi="Times New Roman"/>
          <w:sz w:val="25"/>
          <w:szCs w:val="25"/>
          <w:b w:val="1"/>
          <w:bCs w:val="1"/>
          <w:color w:val="auto"/>
        </w:rPr>
        <w:t>RESTRICTED STOCK UNIT AWARD AGREEMENT FOR NON-EMPLOYEE DIRECTORS UNDER THE HUBSPOT, INC. 2014 STOCK OPTION AND INCENTIVE PLAN</w:t>
      </w:r>
    </w:p>
    <w:p>
      <w:pPr>
        <w:spacing w:after="0" w:line="38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Name of Grantee: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19685</wp:posOffset>
            </wp:positionV>
            <wp:extent cx="3488690" cy="825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71">
                      <a:extLst>
                        <a:ext uri="{28A0092B-C50C-407E-A947-70E740481C1C}"/>
                      </a:extLst>
                    </a:blip>
                    <a:srcRect/>
                    <a:stretch>
                      <a:fillRect/>
                    </a:stretch>
                  </pic:blipFill>
                  <pic:spPr bwMode="auto">
                    <a:xfrm>
                      <a:off x="0" y="0"/>
                      <a:ext cx="3488690" cy="8255"/>
                    </a:xfrm>
                    <a:prstGeom prst="rect">
                      <a:avLst/>
                    </a:prstGeom>
                    <a:noFill/>
                  </pic:spPr>
                </pic:pic>
              </a:graphicData>
            </a:graphic>
          </wp:anchor>
        </w:drawing>
      </w:r>
    </w:p>
    <w:p>
      <w:pPr>
        <w:spacing w:after="0" w:line="28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No. of Restricted Stock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19685</wp:posOffset>
            </wp:positionV>
            <wp:extent cx="3488690" cy="825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72">
                      <a:extLst>
                        <a:ext uri="{28A0092B-C50C-407E-A947-70E740481C1C}"/>
                      </a:extLst>
                    </a:blip>
                    <a:srcRect/>
                    <a:stretch>
                      <a:fillRect/>
                    </a:stretch>
                  </pic:blipFill>
                  <pic:spPr bwMode="auto">
                    <a:xfrm>
                      <a:off x="0" y="0"/>
                      <a:ext cx="3488690" cy="8255"/>
                    </a:xfrm>
                    <a:prstGeom prst="rect">
                      <a:avLst/>
                    </a:prstGeom>
                    <a:noFill/>
                  </pic:spPr>
                </pic:pic>
              </a:graphicData>
            </a:graphic>
          </wp:anchor>
        </w:drawing>
      </w:r>
    </w:p>
    <w:p>
      <w:pPr>
        <w:spacing w:after="0" w:line="28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Grant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19685</wp:posOffset>
            </wp:positionV>
            <wp:extent cx="3488690" cy="825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73">
                      <a:extLst>
                        <a:ext uri="{28A0092B-C50C-407E-A947-70E740481C1C}"/>
                      </a:extLst>
                    </a:blip>
                    <a:srcRect/>
                    <a:stretch>
                      <a:fillRect/>
                    </a:stretch>
                  </pic:blipFill>
                  <pic:spPr bwMode="auto">
                    <a:xfrm>
                      <a:off x="0" y="0"/>
                      <a:ext cx="3488690" cy="8255"/>
                    </a:xfrm>
                    <a:prstGeom prst="rect">
                      <a:avLst/>
                    </a:prstGeom>
                    <a:noFill/>
                  </pic:spPr>
                </pic:pic>
              </a:graphicData>
            </a:graphic>
          </wp:anchor>
        </w:drawing>
      </w:r>
    </w:p>
    <w:p>
      <w:pPr>
        <w:spacing w:after="0" w:line="28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Vesting Commencement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53975</wp:posOffset>
            </wp:positionV>
            <wp:extent cx="3488690" cy="825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74">
                      <a:extLst>
                        <a:ext uri="{28A0092B-C50C-407E-A947-70E740481C1C}"/>
                      </a:extLst>
                    </a:blip>
                    <a:srcRect/>
                    <a:stretch>
                      <a:fillRect/>
                    </a:stretch>
                  </pic:blipFill>
                  <pic:spPr bwMode="auto">
                    <a:xfrm>
                      <a:off x="0" y="0"/>
                      <a:ext cx="3488690" cy="8255"/>
                    </a:xfrm>
                    <a:prstGeom prst="rect">
                      <a:avLst/>
                    </a:prstGeom>
                    <a:noFill/>
                  </pic:spPr>
                </pic:pic>
              </a:graphicData>
            </a:graphic>
          </wp:anchor>
        </w:drawing>
      </w:r>
    </w:p>
    <w:p>
      <w:pPr>
        <w:spacing w:after="0" w:line="200" w:lineRule="exact"/>
        <w:rPr>
          <w:sz w:val="20"/>
          <w:szCs w:val="20"/>
          <w:color w:val="auto"/>
        </w:rPr>
      </w:pPr>
    </w:p>
    <w:p>
      <w:pPr>
        <w:spacing w:after="0" w:line="283" w:lineRule="exact"/>
        <w:rPr>
          <w:sz w:val="20"/>
          <w:szCs w:val="20"/>
          <w:color w:val="auto"/>
        </w:rPr>
      </w:pPr>
    </w:p>
    <w:p>
      <w:pPr>
        <w:ind w:right="20" w:firstLine="749"/>
        <w:spacing w:after="0" w:line="239" w:lineRule="auto"/>
        <w:rPr>
          <w:sz w:val="20"/>
          <w:szCs w:val="20"/>
          <w:color w:val="auto"/>
        </w:rPr>
      </w:pPr>
      <w:r>
        <w:rPr>
          <w:rFonts w:ascii="Times New Roman" w:cs="Times New Roman" w:eastAsia="Times New Roman" w:hAnsi="Times New Roman"/>
          <w:sz w:val="22"/>
          <w:szCs w:val="22"/>
          <w:color w:val="auto"/>
        </w:rPr>
        <w:t>Pursuant to the HubSpot, Inc. 2014 Stock Option and Incentive Plan as amended through the date hereof (the “Plan”), HubSpot, Inc. (the “Company”) hereby grants an award of the number of Restricted Stock Units listed above (an “Award”) to the Grantee named above. Each Restricted Stock Unit shall relate to one share of Common Stock, par value $0.001 per share (the “Stock”) of the Company.</w:t>
      </w:r>
    </w:p>
    <w:p>
      <w:pPr>
        <w:spacing w:after="0" w:line="180" w:lineRule="exact"/>
        <w:rPr>
          <w:sz w:val="20"/>
          <w:szCs w:val="20"/>
          <w:color w:val="auto"/>
        </w:rPr>
      </w:pPr>
    </w:p>
    <w:p>
      <w:pPr>
        <w:ind w:right="80" w:firstLine="757"/>
        <w:spacing w:after="0" w:line="238" w:lineRule="auto"/>
        <w:tabs>
          <w:tab w:leader="none" w:pos="1018" w:val="left"/>
        </w:tabs>
        <w:numPr>
          <w:ilvl w:val="0"/>
          <w:numId w:val="1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Restrictions on Transfer of Award</w:t>
      </w:r>
      <w:r>
        <w:rPr>
          <w:rFonts w:ascii="Times New Roman" w:cs="Times New Roman" w:eastAsia="Times New Roman" w:hAnsi="Times New Roman"/>
          <w:sz w:val="22"/>
          <w:szCs w:val="22"/>
          <w:color w:val="auto"/>
        </w:rPr>
        <w:t>. This Award may not be sold, transferred, pledged, assigned or otherwise encumbered or disposed of by the Grantee, and any shares of Stock issuable with respect to the Award may not be sold, transferred, pledged, assigned or otherwise encumbered or disposed of until (i) the Restricted Stock Units have vested as provided in Paragraph 2 of this Agreement and (ii) shares of Stock have been issued to the Grantee in accordance with the terms of the Plan and this Agreement.</w:t>
      </w:r>
    </w:p>
    <w:p>
      <w:pPr>
        <w:spacing w:after="0" w:line="176" w:lineRule="exact"/>
        <w:rPr>
          <w:rFonts w:ascii="Times New Roman" w:cs="Times New Roman" w:eastAsia="Times New Roman" w:hAnsi="Times New Roman"/>
          <w:sz w:val="22"/>
          <w:szCs w:val="22"/>
          <w:color w:val="auto"/>
        </w:rPr>
      </w:pPr>
    </w:p>
    <w:p>
      <w:pPr>
        <w:jc w:val="both"/>
        <w:ind w:right="200" w:firstLine="757"/>
        <w:spacing w:after="0" w:line="239" w:lineRule="auto"/>
        <w:tabs>
          <w:tab w:leader="none" w:pos="1018" w:val="left"/>
        </w:tabs>
        <w:numPr>
          <w:ilvl w:val="0"/>
          <w:numId w:val="1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Vesting of Restricted Stock Units</w:t>
      </w:r>
      <w:r>
        <w:rPr>
          <w:rFonts w:ascii="Times New Roman" w:cs="Times New Roman" w:eastAsia="Times New Roman" w:hAnsi="Times New Roman"/>
          <w:sz w:val="22"/>
          <w:szCs w:val="22"/>
          <w:color w:val="auto"/>
        </w:rPr>
        <w:t>. Except as set forth below, and subject to the discretion of the Administrator (as defined in Section 2 of the Plan) to accelerate the vesting schedule hereunder, the restrictions and conditions of Paragraph 1 of this Agreement shall lapse and such Restricted Stock Units shall vest on [ ]. The Administrator may at any time accelerate the vesting schedule specified in this Paragraph 2.</w:t>
      </w:r>
    </w:p>
    <w:p>
      <w:pPr>
        <w:spacing w:after="0" w:line="180"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22"/>
          <w:szCs w:val="22"/>
          <w:color w:val="auto"/>
        </w:rPr>
        <w:t>Notwithstanding the foregoing, in the event of a Sale Event (as defined in the Plan), the Restricted Stock Units shall be deemed vested and nonforfeitable upon the date on which the Grantee’s service relationship with the Company and any subsidiary or successor entity, as the case may be, ends if the end of such service relationship occurs within 12 months after such Sale Event or 90 days prior to such Sale Event.</w:t>
      </w:r>
    </w:p>
    <w:p>
      <w:pPr>
        <w:spacing w:after="0" w:line="180" w:lineRule="exact"/>
        <w:rPr>
          <w:sz w:val="20"/>
          <w:szCs w:val="20"/>
          <w:color w:val="auto"/>
        </w:rPr>
      </w:pPr>
    </w:p>
    <w:p>
      <w:pPr>
        <w:ind w:right="20" w:firstLine="757"/>
        <w:spacing w:after="0" w:line="238" w:lineRule="auto"/>
        <w:tabs>
          <w:tab w:leader="none" w:pos="1018" w:val="left"/>
        </w:tabs>
        <w:numPr>
          <w:ilvl w:val="0"/>
          <w:numId w:val="1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 of Service</w:t>
      </w:r>
      <w:r>
        <w:rPr>
          <w:rFonts w:ascii="Times New Roman" w:cs="Times New Roman" w:eastAsia="Times New Roman" w:hAnsi="Times New Roman"/>
          <w:sz w:val="22"/>
          <w:szCs w:val="22"/>
          <w:color w:val="auto"/>
        </w:rPr>
        <w:t>. If the Grantee’s service with the Company and its Subsidiaries terminates for any reason (including death or disability) prior to the satisfaction of the vesting conditions set forth in Paragraph 2 above, any Restricted Stock Units that have not vested as of such date shall automatically and without notice terminate and be forfeited, and neither the Grantee nor any of his or her successors, heirs, assigns, or personal representatives will thereafter have any further rights or interests in such unvested Restricted Stock Units.</w:t>
      </w:r>
    </w:p>
    <w:p>
      <w:pPr>
        <w:spacing w:after="0" w:line="200" w:lineRule="exact"/>
        <w:rPr>
          <w:sz w:val="20"/>
          <w:szCs w:val="20"/>
          <w:color w:val="auto"/>
        </w:rPr>
      </w:pPr>
    </w:p>
    <w:p>
      <w:pPr>
        <w:spacing w:after="0" w:line="23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71</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ACTIVE/72134752.4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07" w:right="399" w:bottom="1440" w:gutter="0" w:footer="0" w:header="0"/>
        </w:sectPr>
      </w:pPr>
    </w:p>
    <w:bookmarkStart w:id="175" w:name="page176"/>
    <w:bookmarkEnd w:id="175"/>
    <w:p>
      <w:pPr>
        <w:ind w:right="60" w:firstLine="757"/>
        <w:spacing w:after="0" w:line="238" w:lineRule="auto"/>
        <w:tabs>
          <w:tab w:leader="none" w:pos="1018" w:val="left"/>
        </w:tabs>
        <w:numPr>
          <w:ilvl w:val="0"/>
          <w:numId w:val="1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Issuance of Shares of Stock</w:t>
      </w:r>
      <w:r>
        <w:rPr>
          <w:rFonts w:ascii="Times New Roman" w:cs="Times New Roman" w:eastAsia="Times New Roman" w:hAnsi="Times New Roman"/>
          <w:sz w:val="22"/>
          <w:szCs w:val="22"/>
          <w:color w:val="auto"/>
        </w:rPr>
        <w:t>. As soon as practicable following each vesting date specified in Paragraph 2 (each such date, a “Vesting Date”) (but in no event later than two and one-half months after the end of the year in which the Vesting Date occurs), the Company shall issue to the Grantee the number of shares of Stock equal to the aggregate number of Restricted Stock Units that have vested pursuant to Paragraph 2 of this Agreement on such date and the Grantee shall thereafter have all the rights of a stockholder of the Company with respect to such shares.</w:t>
      </w:r>
    </w:p>
    <w:p>
      <w:pPr>
        <w:spacing w:after="0" w:line="176" w:lineRule="exact"/>
        <w:rPr>
          <w:rFonts w:ascii="Times New Roman" w:cs="Times New Roman" w:eastAsia="Times New Roman" w:hAnsi="Times New Roman"/>
          <w:sz w:val="22"/>
          <w:szCs w:val="22"/>
          <w:color w:val="auto"/>
        </w:rPr>
      </w:pPr>
    </w:p>
    <w:p>
      <w:pPr>
        <w:ind w:right="280" w:firstLine="757"/>
        <w:spacing w:after="0" w:line="239" w:lineRule="auto"/>
        <w:tabs>
          <w:tab w:leader="none" w:pos="1018" w:val="left"/>
        </w:tabs>
        <w:numPr>
          <w:ilvl w:val="0"/>
          <w:numId w:val="1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Incorporation of Plan</w:t>
      </w:r>
      <w:r>
        <w:rPr>
          <w:rFonts w:ascii="Times New Roman" w:cs="Times New Roman" w:eastAsia="Times New Roman" w:hAnsi="Times New Roman"/>
          <w:sz w:val="22"/>
          <w:szCs w:val="22"/>
          <w:color w:val="auto"/>
        </w:rPr>
        <w:t>. Notwithstanding anything herein to the contrary, this Agreement shall be subject to and governed by all the terms and conditions of the Plan, including the powers of the Administrator set forth in Section 2(b) of the Plan. Capitalized terms in this Agreement shall have the meaning specified in the Plan, unless a different meaning is specified herein.</w:t>
      </w:r>
    </w:p>
    <w:p>
      <w:pPr>
        <w:spacing w:after="0" w:line="180" w:lineRule="exact"/>
        <w:rPr>
          <w:rFonts w:ascii="Times New Roman" w:cs="Times New Roman" w:eastAsia="Times New Roman" w:hAnsi="Times New Roman"/>
          <w:sz w:val="22"/>
          <w:szCs w:val="22"/>
          <w:color w:val="auto"/>
        </w:rPr>
      </w:pPr>
    </w:p>
    <w:p>
      <w:pPr>
        <w:ind w:right="120" w:firstLine="757"/>
        <w:spacing w:after="0" w:line="244" w:lineRule="auto"/>
        <w:tabs>
          <w:tab w:leader="none" w:pos="1018" w:val="left"/>
        </w:tabs>
        <w:numPr>
          <w:ilvl w:val="0"/>
          <w:numId w:val="1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Section 409A of the Code.</w:t>
      </w:r>
      <w:r>
        <w:rPr>
          <w:rFonts w:ascii="Times New Roman" w:cs="Times New Roman" w:eastAsia="Times New Roman" w:hAnsi="Times New Roman"/>
          <w:sz w:val="22"/>
          <w:szCs w:val="22"/>
          <w:color w:val="auto"/>
        </w:rPr>
        <w:t xml:space="preserve"> This Agreement shall be interpreted in such a manner that all provisions relating to the settlement of the Award are exempt from the requirements of Section 409A of the Code as “short-term deferrals” as described in Section 409A of the Code.</w:t>
      </w:r>
    </w:p>
    <w:p>
      <w:pPr>
        <w:spacing w:after="0" w:line="173" w:lineRule="exact"/>
        <w:rPr>
          <w:rFonts w:ascii="Times New Roman" w:cs="Times New Roman" w:eastAsia="Times New Roman" w:hAnsi="Times New Roman"/>
          <w:sz w:val="22"/>
          <w:szCs w:val="22"/>
          <w:color w:val="auto"/>
        </w:rPr>
      </w:pPr>
    </w:p>
    <w:p>
      <w:pPr>
        <w:ind w:right="240" w:firstLine="757"/>
        <w:spacing w:after="0" w:line="258" w:lineRule="auto"/>
        <w:tabs>
          <w:tab w:leader="none" w:pos="1018" w:val="left"/>
        </w:tabs>
        <w:numPr>
          <w:ilvl w:val="0"/>
          <w:numId w:val="1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Obligation to Continue as a Director</w:t>
      </w:r>
      <w:r>
        <w:rPr>
          <w:rFonts w:ascii="Times New Roman" w:cs="Times New Roman" w:eastAsia="Times New Roman" w:hAnsi="Times New Roman"/>
          <w:sz w:val="22"/>
          <w:szCs w:val="22"/>
          <w:color w:val="auto"/>
        </w:rPr>
        <w:t>. Neither the Plan nor this Award confers upon the Grantee any rights with respect to continuance as a Director.</w:t>
      </w:r>
    </w:p>
    <w:p>
      <w:pPr>
        <w:spacing w:after="0" w:line="158" w:lineRule="exact"/>
        <w:rPr>
          <w:rFonts w:ascii="Times New Roman" w:cs="Times New Roman" w:eastAsia="Times New Roman" w:hAnsi="Times New Roman"/>
          <w:sz w:val="22"/>
          <w:szCs w:val="22"/>
          <w:color w:val="auto"/>
        </w:rPr>
      </w:pPr>
    </w:p>
    <w:p>
      <w:pPr>
        <w:ind w:right="500" w:firstLine="757"/>
        <w:spacing w:after="0" w:line="258" w:lineRule="auto"/>
        <w:tabs>
          <w:tab w:leader="none" w:pos="1018" w:val="left"/>
        </w:tabs>
        <w:numPr>
          <w:ilvl w:val="0"/>
          <w:numId w:val="1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Integration</w:t>
      </w:r>
      <w:r>
        <w:rPr>
          <w:rFonts w:ascii="Times New Roman" w:cs="Times New Roman" w:eastAsia="Times New Roman" w:hAnsi="Times New Roman"/>
          <w:sz w:val="22"/>
          <w:szCs w:val="22"/>
          <w:color w:val="auto"/>
        </w:rPr>
        <w:t>. This Agreement constitutes the entire agreement between the parties with respect to this Award and supersedes all prior agreements and discussions between the parties concerning such subject matter.</w:t>
      </w:r>
    </w:p>
    <w:p>
      <w:pPr>
        <w:spacing w:after="0" w:line="158" w:lineRule="exact"/>
        <w:rPr>
          <w:rFonts w:ascii="Times New Roman" w:cs="Times New Roman" w:eastAsia="Times New Roman" w:hAnsi="Times New Roman"/>
          <w:sz w:val="22"/>
          <w:szCs w:val="22"/>
          <w:color w:val="auto"/>
        </w:rPr>
      </w:pPr>
    </w:p>
    <w:p>
      <w:pPr>
        <w:ind w:firstLine="757"/>
        <w:spacing w:after="0" w:line="234" w:lineRule="auto"/>
        <w:tabs>
          <w:tab w:leader="none" w:pos="1018" w:val="left"/>
        </w:tabs>
        <w:numPr>
          <w:ilvl w:val="0"/>
          <w:numId w:val="1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Data Privacy Consent</w:t>
      </w:r>
      <w:r>
        <w:rPr>
          <w:rFonts w:ascii="Times New Roman" w:cs="Times New Roman" w:eastAsia="Times New Roman" w:hAnsi="Times New Roman"/>
          <w:sz w:val="22"/>
          <w:szCs w:val="22"/>
          <w:color w:val="auto"/>
        </w:rPr>
        <w:t>. In order to administer the Plan and this Agreement and to implement or structure future equity grants, the Company, its subsidiaries and affiliates and certain agents thereof (together, the “Relevant Companies”) may process any and all personal or professional data, including but not limited to Social Security or other identification number, home address and telephone number, date of birth and other information that is necessary or desirable for the administration of the Plan and/or this Agreement (the “Relevant Information”). By entering into this Agreement, the Grantee (i) authorizes the Company to collect, process, register and transfer to the Relevant Companies all Relevant Information; (ii) waives any privacy rights the Grantee may have with respect to the Relevant Information; (iii) authorizes the Relevant Companies to store and transmit such information in electronic form; and (iv) authorizes the transfer of the Relevant Information to any jurisdiction in which the Relevant Companies consider appropriate. The Grantee shall have access to, and the right to change, the Relevant Information. Relevant Information will only be used in accordance with applicable law.</w:t>
      </w: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72</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ACTIVE/72134752.4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8" w:right="359" w:bottom="1440" w:gutter="0" w:footer="0" w:header="0"/>
        </w:sectPr>
      </w:pPr>
    </w:p>
    <w:bookmarkStart w:id="176" w:name="page177"/>
    <w:bookmarkEnd w:id="176"/>
    <w:p>
      <w:pPr>
        <w:ind w:firstLine="749"/>
        <w:spacing w:after="0" w:line="244" w:lineRule="auto"/>
        <w:rPr>
          <w:sz w:val="20"/>
          <w:szCs w:val="20"/>
          <w:color w:val="auto"/>
        </w:rPr>
      </w:pPr>
      <w:r>
        <w:rPr>
          <w:rFonts w:ascii="Times New Roman" w:cs="Times New Roman" w:eastAsia="Times New Roman" w:hAnsi="Times New Roman"/>
          <w:sz w:val="22"/>
          <w:szCs w:val="22"/>
          <w:color w:val="auto"/>
        </w:rPr>
        <w:t>10.</w:t>
      </w:r>
      <w:r>
        <w:rPr>
          <w:rFonts w:ascii="Times New Roman" w:cs="Times New Roman" w:eastAsia="Times New Roman" w:hAnsi="Times New Roman"/>
          <w:sz w:val="22"/>
          <w:szCs w:val="22"/>
          <w:u w:val="single" w:color="auto"/>
          <w:color w:val="auto"/>
        </w:rPr>
        <w:t>Notices</w:t>
      </w:r>
      <w:r>
        <w:rPr>
          <w:rFonts w:ascii="Times New Roman" w:cs="Times New Roman" w:eastAsia="Times New Roman" w:hAnsi="Times New Roman"/>
          <w:sz w:val="22"/>
          <w:szCs w:val="22"/>
          <w:color w:val="auto"/>
        </w:rPr>
        <w:t>. Notices hereunder shall be mailed or delivered to the Company at its principal place of business and shall be mailed or delivered to the Grantee at the address on file with the Company or, in either case, at such other address as one party may subsequently furnish to the other party in writing.</w:t>
      </w:r>
    </w:p>
    <w:p>
      <w:pPr>
        <w:spacing w:after="0" w:line="210"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b w:val="1"/>
          <w:bCs w:val="1"/>
          <w:color w:val="auto"/>
        </w:rPr>
        <w:t>HUBSPOT, INC.</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3939540</wp:posOffset>
            </wp:positionH>
            <wp:positionV relativeFrom="paragraph">
              <wp:posOffset>10795</wp:posOffset>
            </wp:positionV>
            <wp:extent cx="3197225" cy="825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77">
                      <a:extLst>
                        <a:ext uri="{28A0092B-C50C-407E-A947-70E740481C1C}"/>
                      </a:extLst>
                    </a:blip>
                    <a:srcRect/>
                    <a:stretch>
                      <a:fillRect/>
                    </a:stretch>
                  </pic:blipFill>
                  <pic:spPr bwMode="auto">
                    <a:xfrm>
                      <a:off x="0" y="0"/>
                      <a:ext cx="3197225" cy="8255"/>
                    </a:xfrm>
                    <a:prstGeom prst="rect">
                      <a:avLst/>
                    </a:prstGeom>
                    <a:noFill/>
                  </pic:spPr>
                </pic:pic>
              </a:graphicData>
            </a:graphic>
          </wp:anchor>
        </w:drawing>
      </w:r>
    </w:p>
    <w:p>
      <w:pPr>
        <w:spacing w:after="0" w:line="105"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22"/>
          <w:szCs w:val="22"/>
          <w:color w:val="auto"/>
        </w:rPr>
        <w:t>Title:</w:t>
      </w:r>
    </w:p>
    <w:p>
      <w:pPr>
        <w:spacing w:after="0" w:line="247" w:lineRule="exact"/>
        <w:rPr>
          <w:sz w:val="20"/>
          <w:szCs w:val="20"/>
          <w:color w:val="auto"/>
        </w:rPr>
      </w:pPr>
    </w:p>
    <w:p>
      <w:pPr>
        <w:ind w:right="120" w:firstLine="749"/>
        <w:spacing w:after="0" w:line="244" w:lineRule="auto"/>
        <w:rPr>
          <w:sz w:val="20"/>
          <w:szCs w:val="20"/>
          <w:color w:val="auto"/>
        </w:rPr>
      </w:pPr>
      <w:r>
        <w:rPr>
          <w:rFonts w:ascii="Times New Roman" w:cs="Times New Roman" w:eastAsia="Times New Roman" w:hAnsi="Times New Roman"/>
          <w:sz w:val="22"/>
          <w:szCs w:val="22"/>
          <w:color w:val="auto"/>
        </w:rPr>
        <w:t>The foregoing Agreement is hereby accepted and the terms and conditions thereof hereby agreed to by the undersigned. Electronic acceptance of this Agreement pursuant to the Company’s instructions to the Grantee (including through an online acceptance process) is acceptable.</w:t>
      </w:r>
    </w:p>
    <w:p>
      <w:pPr>
        <w:spacing w:after="0" w:line="18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Dated:</w:t>
      </w:r>
    </w:p>
    <w:p>
      <w:pPr>
        <w:spacing w:after="0" w:line="31"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22"/>
          <w:szCs w:val="22"/>
          <w:color w:val="auto"/>
        </w:rPr>
        <w:t>Grantee’s Signature</w:t>
      </w:r>
    </w:p>
    <w:p>
      <w:pPr>
        <w:spacing w:after="0" w:line="287"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22"/>
          <w:szCs w:val="22"/>
          <w:color w:val="auto"/>
        </w:rPr>
        <w:t>Grantee’s name and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362585</wp:posOffset>
            </wp:positionV>
            <wp:extent cx="3488690" cy="825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78">
                      <a:extLst>
                        <a:ext uri="{28A0092B-C50C-407E-A947-70E740481C1C}"/>
                      </a:extLst>
                    </a:blip>
                    <a:srcRect/>
                    <a:stretch>
                      <a:fillRect/>
                    </a:stretch>
                  </pic:blipFill>
                  <pic:spPr bwMode="auto">
                    <a:xfrm>
                      <a:off x="0" y="0"/>
                      <a:ext cx="3488690" cy="825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713740</wp:posOffset>
            </wp:positionV>
            <wp:extent cx="3488690" cy="8890"/>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79">
                      <a:extLst>
                        <a:ext uri="{28A0092B-C50C-407E-A947-70E740481C1C}"/>
                      </a:extLst>
                    </a:blip>
                    <a:srcRect/>
                    <a:stretch>
                      <a:fillRect/>
                    </a:stretch>
                  </pic:blipFill>
                  <pic:spPr bwMode="auto">
                    <a:xfrm>
                      <a:off x="0" y="0"/>
                      <a:ext cx="348869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73</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ACTIVE/72134752.4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8" w:right="359" w:bottom="1440" w:gutter="0" w:footer="0" w:header="0"/>
        </w:sectPr>
      </w:pPr>
    </w:p>
    <w:bookmarkStart w:id="177" w:name="page178"/>
    <w:bookmarkEnd w:id="177"/>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RESTRICTED STOCK AWARD AGREEMENT</w:t>
      </w:r>
    </w:p>
    <w:p>
      <w:pPr>
        <w:spacing w:after="0" w:line="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UNDER THE HUBSPOT, INC.</w:t>
      </w:r>
    </w:p>
    <w:p>
      <w:pPr>
        <w:spacing w:after="0" w:line="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2014 STOCK OPTION AND INCENTIVE PLAN</w:t>
      </w:r>
    </w:p>
    <w:p>
      <w:pPr>
        <w:spacing w:after="0" w:line="200" w:lineRule="exact"/>
        <w:rPr>
          <w:sz w:val="20"/>
          <w:szCs w:val="20"/>
          <w:color w:val="auto"/>
        </w:rPr>
      </w:pPr>
    </w:p>
    <w:p>
      <w:pPr>
        <w:spacing w:after="0" w:line="2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Name of Grantee: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19685</wp:posOffset>
            </wp:positionV>
            <wp:extent cx="3488690" cy="8890"/>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81">
                      <a:extLst>
                        <a:ext uri="{28A0092B-C50C-407E-A947-70E740481C1C}"/>
                      </a:extLst>
                    </a:blip>
                    <a:srcRect/>
                    <a:stretch>
                      <a:fillRect/>
                    </a:stretch>
                  </pic:blipFill>
                  <pic:spPr bwMode="auto">
                    <a:xfrm>
                      <a:off x="0" y="0"/>
                      <a:ext cx="3488690" cy="8890"/>
                    </a:xfrm>
                    <a:prstGeom prst="rect">
                      <a:avLst/>
                    </a:prstGeom>
                    <a:noFill/>
                  </pic:spPr>
                </pic:pic>
              </a:graphicData>
            </a:graphic>
          </wp:anchor>
        </w:drawing>
      </w:r>
    </w:p>
    <w:p>
      <w:pPr>
        <w:spacing w:after="0" w:line="28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No. of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19685</wp:posOffset>
            </wp:positionV>
            <wp:extent cx="3488690" cy="8890"/>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82">
                      <a:extLst>
                        <a:ext uri="{28A0092B-C50C-407E-A947-70E740481C1C}"/>
                      </a:extLst>
                    </a:blip>
                    <a:srcRect/>
                    <a:stretch>
                      <a:fillRect/>
                    </a:stretch>
                  </pic:blipFill>
                  <pic:spPr bwMode="auto">
                    <a:xfrm>
                      <a:off x="0" y="0"/>
                      <a:ext cx="3488690" cy="8890"/>
                    </a:xfrm>
                    <a:prstGeom prst="rect">
                      <a:avLst/>
                    </a:prstGeom>
                    <a:noFill/>
                  </pic:spPr>
                </pic:pic>
              </a:graphicData>
            </a:graphic>
          </wp:anchor>
        </w:drawing>
      </w:r>
    </w:p>
    <w:p>
      <w:pPr>
        <w:spacing w:after="0" w:line="28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Grant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19685</wp:posOffset>
            </wp:positionV>
            <wp:extent cx="3488690" cy="8255"/>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83">
                      <a:extLst>
                        <a:ext uri="{28A0092B-C50C-407E-A947-70E740481C1C}"/>
                      </a:extLst>
                    </a:blip>
                    <a:srcRect/>
                    <a:stretch>
                      <a:fillRect/>
                    </a:stretch>
                  </pic:blipFill>
                  <pic:spPr bwMode="auto">
                    <a:xfrm>
                      <a:off x="0" y="0"/>
                      <a:ext cx="3488690" cy="8255"/>
                    </a:xfrm>
                    <a:prstGeom prst="rect">
                      <a:avLst/>
                    </a:prstGeom>
                    <a:noFill/>
                  </pic:spPr>
                </pic:pic>
              </a:graphicData>
            </a:graphic>
          </wp:anchor>
        </w:drawing>
      </w:r>
    </w:p>
    <w:p>
      <w:pPr>
        <w:spacing w:after="0" w:line="28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Vesting Commencement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62230</wp:posOffset>
            </wp:positionV>
            <wp:extent cx="3488690" cy="8255"/>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84">
                      <a:extLst>
                        <a:ext uri="{28A0092B-C50C-407E-A947-70E740481C1C}"/>
                      </a:extLst>
                    </a:blip>
                    <a:srcRect/>
                    <a:stretch>
                      <a:fillRect/>
                    </a:stretch>
                  </pic:blipFill>
                  <pic:spPr bwMode="auto">
                    <a:xfrm>
                      <a:off x="0" y="0"/>
                      <a:ext cx="3488690" cy="8255"/>
                    </a:xfrm>
                    <a:prstGeom prst="rect">
                      <a:avLst/>
                    </a:prstGeom>
                    <a:noFill/>
                  </pic:spPr>
                </pic:pic>
              </a:graphicData>
            </a:graphic>
          </wp:anchor>
        </w:drawing>
      </w:r>
    </w:p>
    <w:p>
      <w:pPr>
        <w:spacing w:after="0" w:line="281" w:lineRule="exact"/>
        <w:rPr>
          <w:sz w:val="20"/>
          <w:szCs w:val="20"/>
          <w:color w:val="auto"/>
        </w:rPr>
      </w:pPr>
    </w:p>
    <w:p>
      <w:pPr>
        <w:ind w:right="220" w:firstLine="749"/>
        <w:spacing w:after="0" w:line="235" w:lineRule="auto"/>
        <w:rPr>
          <w:sz w:val="20"/>
          <w:szCs w:val="20"/>
          <w:color w:val="auto"/>
        </w:rPr>
      </w:pPr>
      <w:r>
        <w:rPr>
          <w:rFonts w:ascii="Times New Roman" w:cs="Times New Roman" w:eastAsia="Times New Roman" w:hAnsi="Times New Roman"/>
          <w:sz w:val="22"/>
          <w:szCs w:val="22"/>
          <w:color w:val="auto"/>
        </w:rPr>
        <w:t>Pursuant to the HubSpot, Inc. 2014 Stock Option and Incentive Plan (the “Plan”) as amended through the date hereof, HubSpot, Inc. (the “Company”) hereby grants a Restricted Stock Award (an “Award”) to the Grantee named above. Upon acceptance of this Award, the Grantee shall receive the number of shares of Common Stock, par value $0.001 per share (the “Stock”) of the Company specified above, subject to the restrictions and conditions set forth herein and in the Plan. The Company acknowledges the receipt from the Grantee of consideration with respect to the par value of the Stock in the form of cash, past or future services rendered to the Company by the Grantee or such other form of consideration as is acceptable to the Administrator.</w:t>
      </w:r>
    </w:p>
    <w:p>
      <w:pPr>
        <w:spacing w:after="0" w:line="183" w:lineRule="exact"/>
        <w:rPr>
          <w:sz w:val="20"/>
          <w:szCs w:val="20"/>
          <w:color w:val="auto"/>
        </w:rPr>
      </w:pPr>
    </w:p>
    <w:p>
      <w:pPr>
        <w:ind w:firstLine="757"/>
        <w:spacing w:after="0" w:line="238" w:lineRule="auto"/>
        <w:tabs>
          <w:tab w:leader="none" w:pos="1018" w:val="left"/>
        </w:tabs>
        <w:numPr>
          <w:ilvl w:val="0"/>
          <w:numId w:val="1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Award</w:t>
      </w:r>
      <w:r>
        <w:rPr>
          <w:rFonts w:ascii="Times New Roman" w:cs="Times New Roman" w:eastAsia="Times New Roman" w:hAnsi="Times New Roman"/>
          <w:sz w:val="22"/>
          <w:szCs w:val="22"/>
          <w:color w:val="auto"/>
        </w:rPr>
        <w:t>. The shares of Restricted Stock awarded hereunder shall be issued and held by the Company’s transfer agent in book entry form, and the Grantee’s name shall be entered as the stockholder of record on the books of the Company. Thereupon, the Grantee shall have all the rights of a stockholder with respect to such shares, including voting and dividend rights, subject, however, to the restrictions and conditions specified in Paragraph 2 below. The Grantee shall (i) sign and deliver to the Company a copy of this Award Agreement and (ii) deliver to the Company a stock power endorsed in blank.</w:t>
      </w:r>
    </w:p>
    <w:p>
      <w:pPr>
        <w:spacing w:after="0" w:line="176" w:lineRule="exact"/>
        <w:rPr>
          <w:rFonts w:ascii="Times New Roman" w:cs="Times New Roman" w:eastAsia="Times New Roman" w:hAnsi="Times New Roman"/>
          <w:sz w:val="22"/>
          <w:szCs w:val="22"/>
          <w:color w:val="auto"/>
        </w:rPr>
      </w:pPr>
    </w:p>
    <w:p>
      <w:pPr>
        <w:ind w:left="1020" w:hanging="263"/>
        <w:spacing w:after="0"/>
        <w:tabs>
          <w:tab w:leader="none" w:pos="1020" w:val="left"/>
        </w:tabs>
        <w:numPr>
          <w:ilvl w:val="0"/>
          <w:numId w:val="1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Restrictions and Conditions</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ind w:right="240" w:firstLine="1505"/>
        <w:spacing w:after="0" w:line="244" w:lineRule="auto"/>
        <w:tabs>
          <w:tab w:leader="none" w:pos="2036" w:val="left"/>
        </w:tabs>
        <w:numPr>
          <w:ilvl w:val="1"/>
          <w:numId w:val="1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book entries for the shares of Restricted Stock granted herein shall bear an appropriate legend, as determined by the Administrator in its sole discretion, to the effect that such shares are subject to restrictions as set forth herein and in the Plan.</w:t>
      </w:r>
    </w:p>
    <w:p>
      <w:pPr>
        <w:spacing w:after="0" w:line="173" w:lineRule="exact"/>
        <w:rPr>
          <w:rFonts w:ascii="Times New Roman" w:cs="Times New Roman" w:eastAsia="Times New Roman" w:hAnsi="Times New Roman"/>
          <w:sz w:val="22"/>
          <w:szCs w:val="22"/>
          <w:color w:val="auto"/>
        </w:rPr>
      </w:pPr>
    </w:p>
    <w:p>
      <w:pPr>
        <w:ind w:right="380" w:firstLine="1505"/>
        <w:spacing w:after="0" w:line="258" w:lineRule="auto"/>
        <w:tabs>
          <w:tab w:leader="none" w:pos="2036" w:val="left"/>
        </w:tabs>
        <w:numPr>
          <w:ilvl w:val="1"/>
          <w:numId w:val="1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Shares of Restricted Stock granted herein may not be sold, assigned, transferred, pledged or otherwise encumbered or disposed of by the Grantee prior to vesting.</w:t>
      </w:r>
    </w:p>
    <w:p>
      <w:pPr>
        <w:spacing w:after="0" w:line="158" w:lineRule="exact"/>
        <w:rPr>
          <w:rFonts w:ascii="Times New Roman" w:cs="Times New Roman" w:eastAsia="Times New Roman" w:hAnsi="Times New Roman"/>
          <w:sz w:val="22"/>
          <w:szCs w:val="22"/>
          <w:color w:val="auto"/>
        </w:rPr>
      </w:pPr>
    </w:p>
    <w:p>
      <w:pPr>
        <w:ind w:right="20" w:firstLine="1505"/>
        <w:spacing w:after="0" w:line="239" w:lineRule="auto"/>
        <w:tabs>
          <w:tab w:leader="none" w:pos="2036" w:val="left"/>
        </w:tabs>
        <w:numPr>
          <w:ilvl w:val="1"/>
          <w:numId w:val="1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Grantee’s employment with the Company and its Subsidiaries is voluntarily or involuntarily terminated for any reason (including death) prior to vesting of shares of Restricted Stock granted herein (after giving effect to any accelerated vesting in Section 3 below), all shares of Restricted Stock shall immediately and automatically be forfeited and returned to the Company.</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74</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ACTIVE/72134752.4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178" w:name="page179"/>
    <w:bookmarkEnd w:id="178"/>
    <w:p>
      <w:pPr>
        <w:ind w:right="20" w:firstLine="757"/>
        <w:spacing w:after="0" w:line="238" w:lineRule="auto"/>
        <w:tabs>
          <w:tab w:leader="none" w:pos="1018" w:val="left"/>
        </w:tabs>
        <w:numPr>
          <w:ilvl w:val="0"/>
          <w:numId w:val="1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Vesting of Restricted Stock</w:t>
      </w:r>
      <w:r>
        <w:rPr>
          <w:rFonts w:ascii="Times New Roman" w:cs="Times New Roman" w:eastAsia="Times New Roman" w:hAnsi="Times New Roman"/>
          <w:sz w:val="22"/>
          <w:szCs w:val="22"/>
          <w:color w:val="auto"/>
        </w:rPr>
        <w:t>. The restrictions and conditions in Paragraph 2 of this Agreement shall lapse as to the Shares and such Shares shall vest [in [ ] installments] following the Vesting Commencement Date, provided that the Grantee remains an employee of the Company or a Subsidiary on such dates. Subsequent to such vesting date or dates, the shares of Stock on which all restrictions and conditions have lapsed shall no longer be deemed Restricted Stock. The Administrator may at any time accelerate the vesting schedule specified in this Paragraph 3.</w:t>
      </w:r>
    </w:p>
    <w:p>
      <w:pPr>
        <w:spacing w:after="0" w:line="177" w:lineRule="exact"/>
        <w:rPr>
          <w:sz w:val="20"/>
          <w:szCs w:val="20"/>
          <w:color w:val="auto"/>
        </w:rPr>
      </w:pPr>
    </w:p>
    <w:p>
      <w:pPr>
        <w:ind w:right="40" w:firstLine="749"/>
        <w:spacing w:after="0" w:line="251" w:lineRule="auto"/>
        <w:rPr>
          <w:sz w:val="20"/>
          <w:szCs w:val="20"/>
          <w:color w:val="auto"/>
        </w:rPr>
      </w:pPr>
      <w:r>
        <w:rPr>
          <w:rFonts w:ascii="Times New Roman" w:cs="Times New Roman" w:eastAsia="Times New Roman" w:hAnsi="Times New Roman"/>
          <w:sz w:val="21"/>
          <w:szCs w:val="21"/>
          <w:color w:val="auto"/>
        </w:rPr>
        <w:t>Notwithstanding the foregoing, in the event of a Sale Event (as defined in the Plan) in which this Award is continued or assumed by a successor to the Company, the Restricted Stock shall be deemed vested and exercisable upon the date on which the Grantee’s employment or service relationship with the Company and any subsidiary or successor entity, as the case may be, terminates if such termination occurs (i) within 12 months after such Sale Event or 90 days prior to such Sale Event, and (ii) such termination is by the Company or any subsidiary or successor entity without Cause or by the Grantee for Good Reason.</w:t>
      </w:r>
    </w:p>
    <w:p>
      <w:pPr>
        <w:spacing w:after="0" w:line="16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The following definitions shall apply:</w:t>
      </w:r>
    </w:p>
    <w:p>
      <w:pPr>
        <w:spacing w:after="0" w:line="202" w:lineRule="exact"/>
        <w:rPr>
          <w:sz w:val="20"/>
          <w:szCs w:val="20"/>
          <w:color w:val="auto"/>
        </w:rPr>
      </w:pPr>
    </w:p>
    <w:p>
      <w:pPr>
        <w:ind w:right="120" w:firstLine="749"/>
        <w:spacing w:after="0" w:line="25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Cause</w:t>
      </w:r>
      <w:r>
        <w:rPr>
          <w:rFonts w:ascii="Times New Roman" w:cs="Times New Roman" w:eastAsia="Times New Roman" w:hAnsi="Times New Roman"/>
          <w:sz w:val="21"/>
          <w:szCs w:val="21"/>
          <w:color w:val="auto"/>
        </w:rPr>
        <w:t>” shall mean (i) the Grantee’s dishonest statements or acts with respect to the Company or any affiliate of the Company, or any current or prospective customers, suppliers vendors or other third parties with which such entity does business;</w:t>
      </w:r>
    </w:p>
    <w:p>
      <w:pPr>
        <w:spacing w:after="0" w:line="1" w:lineRule="exact"/>
        <w:rPr>
          <w:sz w:val="20"/>
          <w:szCs w:val="20"/>
          <w:color w:val="auto"/>
        </w:rPr>
      </w:pPr>
    </w:p>
    <w:p>
      <w:pPr>
        <w:ind w:right="60" w:firstLine="8"/>
        <w:spacing w:after="0" w:line="244" w:lineRule="auto"/>
        <w:tabs>
          <w:tab w:leader="none" w:pos="318" w:val="left"/>
        </w:tabs>
        <w:numPr>
          <w:ilvl w:val="0"/>
          <w:numId w:val="13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Grantee’s commission of (A) a felony or (B) any misdemeanor involving moral turpitude, deceit, dishonesty or fraud; (iii) the Grantee’s failure to perform his assigned duties and responsibilities to the reasonable satisfaction of the Company which failure continues, in the reasonable judgment of the Company, after written notice given to the Grantee by the Company; (iv) the Grantee’s gross negligence, willful misconduct or insubordination with respect to the Company or any Affiliate of the Company (including, but not limited to, any violation of the Company’s code of conduct, insider trading, willful accounting improprieties or failure to cooperate with investigations); or (v) the Grantee’s material violation of any provision of any agreement(s) between the Grantee and the Company relating to noncompetition, nonsolicitation, nondisclosure and/or assignment of inventions.</w:t>
      </w:r>
    </w:p>
    <w:p>
      <w:pPr>
        <w:spacing w:after="0" w:line="170" w:lineRule="exact"/>
        <w:rPr>
          <w:sz w:val="20"/>
          <w:szCs w:val="20"/>
          <w:color w:val="auto"/>
        </w:rPr>
      </w:pPr>
    </w:p>
    <w:p>
      <w:pPr>
        <w:ind w:firstLine="749"/>
        <w:spacing w:after="0" w:line="238" w:lineRule="auto"/>
        <w:rPr>
          <w:sz w:val="20"/>
          <w:szCs w:val="20"/>
          <w:color w:val="auto"/>
        </w:rPr>
      </w:pPr>
      <w:r>
        <w:rPr>
          <w:rFonts w:ascii="Times New Roman" w:cs="Times New Roman" w:eastAsia="Times New Roman" w:hAnsi="Times New Roman"/>
          <w:sz w:val="22"/>
          <w:szCs w:val="22"/>
          <w:i w:val="1"/>
          <w:iCs w:val="1"/>
          <w:color w:val="auto"/>
        </w:rPr>
        <w:t xml:space="preserve">“Good Reason” </w:t>
      </w:r>
      <w:r>
        <w:rPr>
          <w:rFonts w:ascii="Times New Roman" w:cs="Times New Roman" w:eastAsia="Times New Roman" w:hAnsi="Times New Roman"/>
          <w:sz w:val="22"/>
          <w:szCs w:val="22"/>
          <w:color w:val="auto"/>
        </w:rPr>
        <w:t>shall mean (i) a material diminution in the Grantee’s base salary except for across-the-board salary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reductions similarly affecting all or substantially all similarly situated employees of the Company or (ii) a change of more than 50 miles in the geographic location at which the Grantee provides services to the Company, so long as the Grantee provides notice to the Company within at least 90 days following the initial occurrence of any such event and the Company fails to cure such event within 30 days of such notice.</w:t>
      </w:r>
    </w:p>
    <w:p>
      <w:pPr>
        <w:spacing w:after="0" w:line="181" w:lineRule="exact"/>
        <w:rPr>
          <w:sz w:val="20"/>
          <w:szCs w:val="20"/>
          <w:color w:val="auto"/>
        </w:rPr>
      </w:pPr>
    </w:p>
    <w:p>
      <w:pPr>
        <w:ind w:left="1020" w:hanging="263"/>
        <w:spacing w:after="0"/>
        <w:tabs>
          <w:tab w:leader="none" w:pos="1020" w:val="left"/>
        </w:tabs>
        <w:numPr>
          <w:ilvl w:val="0"/>
          <w:numId w:val="1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Dividends</w:t>
      </w:r>
      <w:r>
        <w:rPr>
          <w:rFonts w:ascii="Times New Roman" w:cs="Times New Roman" w:eastAsia="Times New Roman" w:hAnsi="Times New Roman"/>
          <w:sz w:val="22"/>
          <w:szCs w:val="22"/>
          <w:color w:val="auto"/>
        </w:rPr>
        <w:t>. Dividends on shares of Restricted Stock shall be paid currently to the Grantee.</w:t>
      </w:r>
    </w:p>
    <w:p>
      <w:pPr>
        <w:spacing w:after="0" w:line="206" w:lineRule="exact"/>
        <w:rPr>
          <w:rFonts w:ascii="Times New Roman" w:cs="Times New Roman" w:eastAsia="Times New Roman" w:hAnsi="Times New Roman"/>
          <w:sz w:val="22"/>
          <w:szCs w:val="22"/>
          <w:color w:val="auto"/>
        </w:rPr>
      </w:pPr>
    </w:p>
    <w:p>
      <w:pPr>
        <w:ind w:right="180" w:firstLine="757"/>
        <w:spacing w:after="0" w:line="261" w:lineRule="auto"/>
        <w:tabs>
          <w:tab w:leader="none" w:pos="1018" w:val="left"/>
        </w:tabs>
        <w:numPr>
          <w:ilvl w:val="0"/>
          <w:numId w:val="1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Incorporation of Plan</w:t>
      </w:r>
      <w:r>
        <w:rPr>
          <w:rFonts w:ascii="Times New Roman" w:cs="Times New Roman" w:eastAsia="Times New Roman" w:hAnsi="Times New Roman"/>
          <w:sz w:val="21"/>
          <w:szCs w:val="21"/>
          <w:color w:val="auto"/>
        </w:rPr>
        <w:t>. Notwithstanding anything herein to the contrary, this Award shall be subject to and governed by all the terms and conditions of the Plan, including the powers of the Administrator set forth in Section 2(b) of the Plan. Capitalized terms in this Agreement shall have the meaning specified in the Plan, unless a different meaning is specified herein.</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75</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ACTIVE/72134752.4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79" w:name="page180"/>
    <w:bookmarkEnd w:id="179"/>
    <w:p>
      <w:pPr>
        <w:ind w:right="200" w:firstLine="757"/>
        <w:spacing w:after="0" w:line="258" w:lineRule="auto"/>
        <w:tabs>
          <w:tab w:leader="none" w:pos="1018" w:val="left"/>
        </w:tabs>
        <w:numPr>
          <w:ilvl w:val="0"/>
          <w:numId w:val="1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Transferability</w:t>
      </w:r>
      <w:r>
        <w:rPr>
          <w:rFonts w:ascii="Times New Roman" w:cs="Times New Roman" w:eastAsia="Times New Roman" w:hAnsi="Times New Roman"/>
          <w:sz w:val="22"/>
          <w:szCs w:val="22"/>
          <w:color w:val="auto"/>
        </w:rPr>
        <w:t>. This Agreement is personal to the Grantee, is non-assignable and is not transferable in any manner, by operation of law or otherwise, other than by will or the laws of descent and distribution.</w:t>
      </w:r>
    </w:p>
    <w:p>
      <w:pPr>
        <w:spacing w:after="0" w:line="158" w:lineRule="exact"/>
        <w:rPr>
          <w:rFonts w:ascii="Times New Roman" w:cs="Times New Roman" w:eastAsia="Times New Roman" w:hAnsi="Times New Roman"/>
          <w:sz w:val="22"/>
          <w:szCs w:val="22"/>
          <w:color w:val="auto"/>
        </w:rPr>
      </w:pPr>
    </w:p>
    <w:p>
      <w:pPr>
        <w:ind w:right="120" w:firstLine="757"/>
        <w:spacing w:after="0" w:line="235" w:lineRule="auto"/>
        <w:tabs>
          <w:tab w:leader="none" w:pos="1018" w:val="left"/>
        </w:tabs>
        <w:numPr>
          <w:ilvl w:val="0"/>
          <w:numId w:val="1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Tax Withholding</w:t>
      </w:r>
      <w:r>
        <w:rPr>
          <w:rFonts w:ascii="Times New Roman" w:cs="Times New Roman" w:eastAsia="Times New Roman" w:hAnsi="Times New Roman"/>
          <w:sz w:val="22"/>
          <w:szCs w:val="22"/>
          <w:color w:val="auto"/>
        </w:rPr>
        <w:t>. The Grantee shall, not later than the date as of which the receipt of this Award becomes a taxable event for Federal income tax purposes, pay to the Company or make arrangements satisfactory to the Administrator for payment of any Federal, state, and local taxes required by law to be withheld on account of such taxable event. Except in the case where an election is made pursuant to Paragraph 8 below, the Company shall have the authority to cause the required minimum tax withholding obligation to be satisfied, in whole or in part, by withholding from shares of Stock to be issued or released by the transfer agent a number of shares of Stock with an aggregate Fair Market Value that would satisfy the minimum withholding amount due.</w:t>
      </w:r>
    </w:p>
    <w:p>
      <w:pPr>
        <w:spacing w:after="0" w:line="183" w:lineRule="exact"/>
        <w:rPr>
          <w:rFonts w:ascii="Times New Roman" w:cs="Times New Roman" w:eastAsia="Times New Roman" w:hAnsi="Times New Roman"/>
          <w:sz w:val="22"/>
          <w:szCs w:val="22"/>
          <w:color w:val="auto"/>
        </w:rPr>
      </w:pPr>
    </w:p>
    <w:p>
      <w:pPr>
        <w:ind w:right="40" w:firstLine="757"/>
        <w:spacing w:after="0" w:line="236" w:lineRule="auto"/>
        <w:tabs>
          <w:tab w:leader="none" w:pos="1018" w:val="left"/>
        </w:tabs>
        <w:numPr>
          <w:ilvl w:val="0"/>
          <w:numId w:val="1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Election Under Section 83(b)</w:t>
      </w:r>
      <w:r>
        <w:rPr>
          <w:rFonts w:ascii="Times New Roman" w:cs="Times New Roman" w:eastAsia="Times New Roman" w:hAnsi="Times New Roman"/>
          <w:sz w:val="22"/>
          <w:szCs w:val="22"/>
          <w:color w:val="auto"/>
        </w:rPr>
        <w:t>. The Grantee and the Company hereby agree that the Grantee may, within 30 days following the Grant Date of this Award, file with the Internal Revenue Service and the Company an election under Section 83(b) of the Internal Revenue Code. In the event the Grantee makes such an election, he or she agrees to provide a copy of the election to the Company. The Grantee acknowledges that he or she is responsible for obtaining the advice of his or her tax advisors with regard to the Section 83(b) election and that he or she is relying solely on such advisors and not on any statements or representations of the Company or any of its agents with regard to such election.</w:t>
      </w:r>
    </w:p>
    <w:p>
      <w:pPr>
        <w:spacing w:after="0" w:line="181" w:lineRule="exact"/>
        <w:rPr>
          <w:rFonts w:ascii="Times New Roman" w:cs="Times New Roman" w:eastAsia="Times New Roman" w:hAnsi="Times New Roman"/>
          <w:sz w:val="22"/>
          <w:szCs w:val="22"/>
          <w:color w:val="auto"/>
        </w:rPr>
      </w:pPr>
    </w:p>
    <w:p>
      <w:pPr>
        <w:ind w:right="140" w:firstLine="757"/>
        <w:spacing w:after="0" w:line="244" w:lineRule="auto"/>
        <w:tabs>
          <w:tab w:leader="none" w:pos="1018" w:val="left"/>
        </w:tabs>
        <w:numPr>
          <w:ilvl w:val="0"/>
          <w:numId w:val="1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Obligation to Continue Employment</w:t>
      </w:r>
      <w:r>
        <w:rPr>
          <w:rFonts w:ascii="Times New Roman" w:cs="Times New Roman" w:eastAsia="Times New Roman" w:hAnsi="Times New Roman"/>
          <w:sz w:val="22"/>
          <w:szCs w:val="22"/>
          <w:color w:val="auto"/>
        </w:rPr>
        <w:t>. Neither the Company nor any Subsidiary is obligated by or as a result of the Plan or this Agreement to continue the Grantee in employment and neither the Plan nor this Agreement shall interfere in any way with the right of the Company or any Subsidiary to terminate the employment of the Grantee at any time.</w:t>
      </w:r>
    </w:p>
    <w:p>
      <w:pPr>
        <w:spacing w:after="0" w:line="173" w:lineRule="exact"/>
        <w:rPr>
          <w:sz w:val="20"/>
          <w:szCs w:val="20"/>
          <w:color w:val="auto"/>
        </w:rPr>
      </w:pPr>
    </w:p>
    <w:p>
      <w:pPr>
        <w:ind w:right="500" w:firstLine="749"/>
        <w:spacing w:after="0" w:line="258" w:lineRule="auto"/>
        <w:rPr>
          <w:sz w:val="20"/>
          <w:szCs w:val="20"/>
          <w:color w:val="auto"/>
        </w:rPr>
      </w:pPr>
      <w:r>
        <w:rPr>
          <w:rFonts w:ascii="Times New Roman" w:cs="Times New Roman" w:eastAsia="Times New Roman" w:hAnsi="Times New Roman"/>
          <w:sz w:val="22"/>
          <w:szCs w:val="22"/>
          <w:color w:val="auto"/>
        </w:rPr>
        <w:t>10.</w:t>
      </w:r>
      <w:r>
        <w:rPr>
          <w:rFonts w:ascii="Times New Roman" w:cs="Times New Roman" w:eastAsia="Times New Roman" w:hAnsi="Times New Roman"/>
          <w:sz w:val="22"/>
          <w:szCs w:val="22"/>
          <w:u w:val="single" w:color="auto"/>
          <w:color w:val="auto"/>
        </w:rPr>
        <w:t>Integration</w:t>
      </w:r>
      <w:r>
        <w:rPr>
          <w:rFonts w:ascii="Times New Roman" w:cs="Times New Roman" w:eastAsia="Times New Roman" w:hAnsi="Times New Roman"/>
          <w:sz w:val="22"/>
          <w:szCs w:val="22"/>
          <w:color w:val="auto"/>
        </w:rPr>
        <w:t>. This Agreement constitutes the entire agreement between the parties with respect to this Award and supersedes all prior agreements and discussions between the parties concerning such subject matter.</w:t>
      </w:r>
    </w:p>
    <w:p>
      <w:pPr>
        <w:spacing w:after="0" w:line="158" w:lineRule="exact"/>
        <w:rPr>
          <w:sz w:val="20"/>
          <w:szCs w:val="20"/>
          <w:color w:val="auto"/>
        </w:rPr>
      </w:pPr>
    </w:p>
    <w:p>
      <w:pPr>
        <w:ind w:firstLine="749"/>
        <w:spacing w:after="0" w:line="234" w:lineRule="auto"/>
        <w:rPr>
          <w:sz w:val="20"/>
          <w:szCs w:val="20"/>
          <w:color w:val="auto"/>
        </w:rPr>
      </w:pPr>
      <w:r>
        <w:rPr>
          <w:rFonts w:ascii="Times New Roman" w:cs="Times New Roman" w:eastAsia="Times New Roman" w:hAnsi="Times New Roman"/>
          <w:sz w:val="22"/>
          <w:szCs w:val="22"/>
          <w:color w:val="auto"/>
        </w:rPr>
        <w:t>11.</w:t>
      </w:r>
      <w:r>
        <w:rPr>
          <w:rFonts w:ascii="Times New Roman" w:cs="Times New Roman" w:eastAsia="Times New Roman" w:hAnsi="Times New Roman"/>
          <w:sz w:val="22"/>
          <w:szCs w:val="22"/>
          <w:u w:val="single" w:color="auto"/>
          <w:color w:val="auto"/>
        </w:rPr>
        <w:t>Data Privacy Consent</w:t>
      </w:r>
      <w:r>
        <w:rPr>
          <w:rFonts w:ascii="Times New Roman" w:cs="Times New Roman" w:eastAsia="Times New Roman" w:hAnsi="Times New Roman"/>
          <w:sz w:val="22"/>
          <w:szCs w:val="22"/>
          <w:color w:val="auto"/>
        </w:rPr>
        <w:t>. In order to administer the Plan and this Agreement and to implement or structure future equity grants, the Company, its subsidiaries and affiliates and certain agents thereof (together, the “Relevant Companies”) may process any and all personal or professional data, including but not limited to Social Security or other identification number, home address and telephone number, date of birth and other information that is necessary or desirable for the administration of the Plan and/or this Agreement (the “Relevant Information”). By entering into this Agreement, the Grantee (i) authorizes the Company to collect, process, register and transfer to the Relevant Companies all Relevant Information; (ii) waives any privacy rights the Grantee may have with respect to the Relevant Information; (iii) authorizes the Relevant Companies to store and transmit such information in electronic form; and (iv) authorizes the transfer of the Relevant Information to any jurisdiction in which the Relevant Companies consider appropriate. The Grantee shall have access to, and the right to change, the Relevant Information. Relevant Information will only be used in accordance with applicable law.</w:t>
      </w: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76</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ACTIVE/72134752.4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8" w:right="359" w:bottom="1440" w:gutter="0" w:footer="0" w:header="0"/>
        </w:sectPr>
      </w:pPr>
    </w:p>
    <w:bookmarkStart w:id="180" w:name="page181"/>
    <w:bookmarkEnd w:id="180"/>
    <w:p>
      <w:pPr>
        <w:ind w:right="240" w:firstLine="749"/>
        <w:spacing w:after="0" w:line="239" w:lineRule="auto"/>
        <w:rPr>
          <w:sz w:val="20"/>
          <w:szCs w:val="20"/>
          <w:color w:val="auto"/>
        </w:rPr>
      </w:pPr>
      <w:r>
        <w:rPr>
          <w:rFonts w:ascii="Times New Roman" w:cs="Times New Roman" w:eastAsia="Times New Roman" w:hAnsi="Times New Roman"/>
          <w:sz w:val="22"/>
          <w:szCs w:val="22"/>
          <w:color w:val="auto"/>
        </w:rPr>
        <w:t>12.</w:t>
      </w:r>
      <w:r>
        <w:rPr>
          <w:rFonts w:ascii="Times New Roman" w:cs="Times New Roman" w:eastAsia="Times New Roman" w:hAnsi="Times New Roman"/>
          <w:sz w:val="22"/>
          <w:szCs w:val="22"/>
          <w:u w:val="single" w:color="auto"/>
          <w:color w:val="auto"/>
        </w:rPr>
        <w:t>[Incorporation of Policy for Recoupment of Incentive Compensation.</w:t>
      </w:r>
      <w:r>
        <w:rPr>
          <w:rFonts w:ascii="Times New Roman" w:cs="Times New Roman" w:eastAsia="Times New Roman" w:hAnsi="Times New Roman"/>
          <w:sz w:val="22"/>
          <w:szCs w:val="22"/>
          <w:color w:val="auto"/>
        </w:rPr>
        <w:t xml:space="preserve"> Notwithstanding anything herein to the contrary, this Restricted Stock Award shall be subject to and governed by all the terms and conditions of the Company’s Policy for Recoupment of Incentive Compensation, including the powers of the Company to recoup incentive compensation stated therein.]</w:t>
      </w:r>
    </w:p>
    <w:p>
      <w:pPr>
        <w:spacing w:after="0" w:line="180" w:lineRule="exact"/>
        <w:rPr>
          <w:sz w:val="20"/>
          <w:szCs w:val="20"/>
          <w:color w:val="auto"/>
        </w:rPr>
      </w:pPr>
    </w:p>
    <w:p>
      <w:pPr>
        <w:ind w:firstLine="749"/>
        <w:spacing w:after="0" w:line="244" w:lineRule="auto"/>
        <w:rPr>
          <w:sz w:val="20"/>
          <w:szCs w:val="20"/>
          <w:color w:val="auto"/>
        </w:rPr>
      </w:pPr>
      <w:r>
        <w:rPr>
          <w:rFonts w:ascii="Times New Roman" w:cs="Times New Roman" w:eastAsia="Times New Roman" w:hAnsi="Times New Roman"/>
          <w:sz w:val="22"/>
          <w:szCs w:val="22"/>
          <w:color w:val="auto"/>
        </w:rPr>
        <w:t>13.</w:t>
      </w:r>
      <w:r>
        <w:rPr>
          <w:rFonts w:ascii="Times New Roman" w:cs="Times New Roman" w:eastAsia="Times New Roman" w:hAnsi="Times New Roman"/>
          <w:sz w:val="22"/>
          <w:szCs w:val="22"/>
          <w:u w:val="single" w:color="auto"/>
          <w:color w:val="auto"/>
        </w:rPr>
        <w:t>Notices</w:t>
      </w:r>
      <w:r>
        <w:rPr>
          <w:rFonts w:ascii="Times New Roman" w:cs="Times New Roman" w:eastAsia="Times New Roman" w:hAnsi="Times New Roman"/>
          <w:sz w:val="22"/>
          <w:szCs w:val="22"/>
          <w:color w:val="auto"/>
        </w:rPr>
        <w:t>. Notices hereunder shall be mailed or delivered to the Company at its principal place of business and shall be mailed or delivered to the Grantee at the address on file with the Company or, in either case, at such other address as one party may subsequently furnish to the other party in writing.</w:t>
      </w:r>
    </w:p>
    <w:p>
      <w:pPr>
        <w:spacing w:after="0" w:line="210"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22"/>
          <w:szCs w:val="22"/>
          <w:b w:val="1"/>
          <w:bCs w:val="1"/>
          <w:color w:val="auto"/>
        </w:rPr>
        <w:t>HUBSPOT, INC.</w:t>
      </w:r>
    </w:p>
    <w:p>
      <w:pPr>
        <w:spacing w:after="0" w:line="291"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3519805</wp:posOffset>
            </wp:positionH>
            <wp:positionV relativeFrom="paragraph">
              <wp:posOffset>19685</wp:posOffset>
            </wp:positionV>
            <wp:extent cx="3000375" cy="825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88">
                      <a:extLst>
                        <a:ext uri="{28A0092B-C50C-407E-A947-70E740481C1C}"/>
                      </a:extLst>
                    </a:blip>
                    <a:srcRect/>
                    <a:stretch>
                      <a:fillRect/>
                    </a:stretch>
                  </pic:blipFill>
                  <pic:spPr bwMode="auto">
                    <a:xfrm>
                      <a:off x="0" y="0"/>
                      <a:ext cx="3000375" cy="8255"/>
                    </a:xfrm>
                    <a:prstGeom prst="rect">
                      <a:avLst/>
                    </a:prstGeom>
                    <a:noFill/>
                  </pic:spPr>
                </pic:pic>
              </a:graphicData>
            </a:graphic>
          </wp:anchor>
        </w:drawing>
      </w:r>
    </w:p>
    <w:p>
      <w:pPr>
        <w:spacing w:after="0" w:line="281"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3519805</wp:posOffset>
            </wp:positionH>
            <wp:positionV relativeFrom="paragraph">
              <wp:posOffset>19685</wp:posOffset>
            </wp:positionV>
            <wp:extent cx="3000375" cy="8255"/>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89">
                      <a:extLst>
                        <a:ext uri="{28A0092B-C50C-407E-A947-70E740481C1C}"/>
                      </a:extLst>
                    </a:blip>
                    <a:srcRect/>
                    <a:stretch>
                      <a:fillRect/>
                    </a:stretch>
                  </pic:blipFill>
                  <pic:spPr bwMode="auto">
                    <a:xfrm>
                      <a:off x="0" y="0"/>
                      <a:ext cx="3000375" cy="8255"/>
                    </a:xfrm>
                    <a:prstGeom prst="rect">
                      <a:avLst/>
                    </a:prstGeom>
                    <a:noFill/>
                  </pic:spPr>
                </pic:pic>
              </a:graphicData>
            </a:graphic>
          </wp:anchor>
        </w:drawing>
      </w:r>
    </w:p>
    <w:p>
      <w:pPr>
        <w:spacing w:after="0" w:line="200" w:lineRule="exact"/>
        <w:rPr>
          <w:sz w:val="20"/>
          <w:szCs w:val="20"/>
          <w:color w:val="auto"/>
        </w:rPr>
      </w:pPr>
    </w:p>
    <w:p>
      <w:pPr>
        <w:spacing w:after="0" w:line="310" w:lineRule="exact"/>
        <w:rPr>
          <w:sz w:val="20"/>
          <w:szCs w:val="20"/>
          <w:color w:val="auto"/>
        </w:rPr>
      </w:pPr>
    </w:p>
    <w:p>
      <w:pPr>
        <w:ind w:right="120" w:firstLine="749"/>
        <w:spacing w:after="0" w:line="244" w:lineRule="auto"/>
        <w:rPr>
          <w:sz w:val="20"/>
          <w:szCs w:val="20"/>
          <w:color w:val="auto"/>
        </w:rPr>
      </w:pPr>
      <w:r>
        <w:rPr>
          <w:rFonts w:ascii="Times New Roman" w:cs="Times New Roman" w:eastAsia="Times New Roman" w:hAnsi="Times New Roman"/>
          <w:sz w:val="22"/>
          <w:szCs w:val="22"/>
          <w:color w:val="auto"/>
        </w:rPr>
        <w:t>The foregoing Agreement is hereby accepted and the terms and conditions thereof hereby agreed to by the undersigned. Electronic acceptance of this Agreement pursuant to the Company’s instructions to the Grantee (including through an online acceptance process) is acceptable.</w:t>
      </w:r>
    </w:p>
    <w:p>
      <w:pPr>
        <w:spacing w:after="0" w:line="18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Dated:</w:t>
      </w:r>
    </w:p>
    <w:p>
      <w:pPr>
        <w:spacing w:after="0" w:line="3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22"/>
          <w:szCs w:val="22"/>
          <w:color w:val="auto"/>
        </w:rPr>
        <w:t>Grantee’s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132320" cy="8255"/>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9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6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22"/>
          <w:szCs w:val="22"/>
          <w:color w:val="auto"/>
        </w:rPr>
        <w:t>Grantee’s name and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3536950</wp:posOffset>
            </wp:positionH>
            <wp:positionV relativeFrom="paragraph">
              <wp:posOffset>362585</wp:posOffset>
            </wp:positionV>
            <wp:extent cx="3600450" cy="8890"/>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91">
                      <a:extLst>
                        <a:ext uri="{28A0092B-C50C-407E-A947-70E740481C1C}"/>
                      </a:extLst>
                    </a:blip>
                    <a:srcRect/>
                    <a:stretch>
                      <a:fillRect/>
                    </a:stretch>
                  </pic:blipFill>
                  <pic:spPr bwMode="auto">
                    <a:xfrm>
                      <a:off x="0" y="0"/>
                      <a:ext cx="3600450" cy="8890"/>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713740</wp:posOffset>
            </wp:positionV>
            <wp:extent cx="3600450" cy="8890"/>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92">
                      <a:extLst>
                        <a:ext uri="{28A0092B-C50C-407E-A947-70E740481C1C}"/>
                      </a:extLst>
                    </a:blip>
                    <a:srcRect/>
                    <a:stretch>
                      <a:fillRect/>
                    </a:stretch>
                  </pic:blipFill>
                  <pic:spPr bwMode="auto">
                    <a:xfrm>
                      <a:off x="0" y="0"/>
                      <a:ext cx="3600450" cy="8890"/>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1065530</wp:posOffset>
            </wp:positionV>
            <wp:extent cx="3600450" cy="8255"/>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93">
                      <a:extLst>
                        <a:ext uri="{28A0092B-C50C-407E-A947-70E740481C1C}"/>
                      </a:extLst>
                    </a:blip>
                    <a:srcRect/>
                    <a:stretch>
                      <a:fillRect/>
                    </a:stretch>
                  </pic:blipFill>
                  <pic:spPr bwMode="auto">
                    <a:xfrm>
                      <a:off x="0" y="0"/>
                      <a:ext cx="360045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77</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ACTIVE/72134752.4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8" w:right="359" w:bottom="1440" w:gutter="0" w:footer="0" w:header="0"/>
        </w:sectPr>
      </w:pPr>
    </w:p>
    <w:bookmarkStart w:id="181" w:name="page182"/>
    <w:bookmarkEnd w:id="181"/>
    <w:p>
      <w:pPr>
        <w:jc w:val="right"/>
        <w:spacing w:after="0"/>
        <w:rPr>
          <w:sz w:val="20"/>
          <w:szCs w:val="20"/>
          <w:color w:val="auto"/>
        </w:rPr>
      </w:pPr>
      <w:r>
        <w:rPr>
          <w:rFonts w:ascii="Times New Roman" w:cs="Times New Roman" w:eastAsia="Times New Roman" w:hAnsi="Times New Roman"/>
          <w:sz w:val="18"/>
          <w:szCs w:val="18"/>
          <w:b w:val="1"/>
          <w:bCs w:val="1"/>
          <w:color w:val="auto"/>
        </w:rPr>
        <w:t>Exhibit 21.1</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180" w:type="dxa"/>
            <w:vAlign w:val="bottom"/>
          </w:tcPr>
          <w:p>
            <w:pPr>
              <w:spacing w:after="0"/>
              <w:rPr>
                <w:sz w:val="20"/>
                <w:szCs w:val="20"/>
                <w:color w:val="auto"/>
              </w:rPr>
            </w:pPr>
          </w:p>
        </w:tc>
        <w:tc>
          <w:tcPr>
            <w:tcW w:w="7060" w:type="dxa"/>
            <w:vAlign w:val="bottom"/>
            <w:gridSpan w:val="3"/>
          </w:tcPr>
          <w:p>
            <w:pPr>
              <w:ind w:left="320"/>
              <w:spacing w:after="0"/>
              <w:rPr>
                <w:sz w:val="20"/>
                <w:szCs w:val="20"/>
                <w:color w:val="auto"/>
              </w:rPr>
            </w:pPr>
            <w:r>
              <w:rPr>
                <w:rFonts w:ascii="Times New Roman" w:cs="Times New Roman" w:eastAsia="Times New Roman" w:hAnsi="Times New Roman"/>
                <w:sz w:val="18"/>
                <w:szCs w:val="18"/>
                <w:b w:val="1"/>
                <w:bCs w:val="1"/>
                <w:color w:val="auto"/>
              </w:rPr>
              <w:t>Subsidiaries of HubSpot, Inc.</w:t>
            </w:r>
          </w:p>
        </w:tc>
      </w:tr>
      <w:tr>
        <w:trPr>
          <w:trHeight w:val="392"/>
        </w:trPr>
        <w:tc>
          <w:tcPr>
            <w:tcW w:w="4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Name of Subsidiary</w:t>
            </w:r>
          </w:p>
        </w:tc>
        <w:tc>
          <w:tcPr>
            <w:tcW w:w="14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Jurisdiction of Incorporation or Organization</w:t>
            </w:r>
          </w:p>
        </w:tc>
      </w:tr>
      <w:tr>
        <w:trPr>
          <w:trHeight w:val="205"/>
        </w:trPr>
        <w:tc>
          <w:tcPr>
            <w:tcW w:w="4180" w:type="dxa"/>
            <w:vAlign w:val="bottom"/>
          </w:tcPr>
          <w:p>
            <w:pPr>
              <w:ind w:left="20"/>
              <w:spacing w:after="0" w:line="205" w:lineRule="exact"/>
              <w:rPr>
                <w:sz w:val="20"/>
                <w:szCs w:val="20"/>
                <w:color w:val="auto"/>
              </w:rPr>
            </w:pPr>
            <w:r>
              <w:rPr>
                <w:rFonts w:ascii="Times New Roman" w:cs="Times New Roman" w:eastAsia="Times New Roman" w:hAnsi="Times New Roman"/>
                <w:sz w:val="18"/>
                <w:szCs w:val="18"/>
                <w:color w:val="auto"/>
              </w:rPr>
              <w:t>APIHub, Inc. d/b/a Clearbit</w:t>
            </w: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500" w:type="dxa"/>
            <w:vAlign w:val="bottom"/>
          </w:tcPr>
          <w:p>
            <w:pPr>
              <w:ind w:left="20"/>
              <w:spacing w:after="0" w:line="205" w:lineRule="exact"/>
              <w:rPr>
                <w:sz w:val="20"/>
                <w:szCs w:val="20"/>
                <w:color w:val="auto"/>
              </w:rPr>
            </w:pPr>
            <w:r>
              <w:rPr>
                <w:rFonts w:ascii="Times New Roman" w:cs="Times New Roman" w:eastAsia="Times New Roman" w:hAnsi="Times New Roman"/>
                <w:sz w:val="18"/>
                <w:szCs w:val="18"/>
                <w:color w:val="auto"/>
              </w:rPr>
              <w:t>State of Delaware, United States</w:t>
            </w:r>
          </w:p>
        </w:tc>
      </w:tr>
      <w:tr>
        <w:trPr>
          <w:trHeight w:val="234"/>
        </w:trPr>
        <w:tc>
          <w:tcPr>
            <w:tcW w:w="4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HubSpot Asia Pte. Ltd.</w:t>
            </w: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Singapore</w:t>
            </w:r>
          </w:p>
        </w:tc>
      </w:tr>
      <w:tr>
        <w:trPr>
          <w:trHeight w:val="225"/>
        </w:trPr>
        <w:tc>
          <w:tcPr>
            <w:tcW w:w="4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HubSpot Australia Pty Ltd</w:t>
            </w: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Australia</w:t>
            </w:r>
          </w:p>
        </w:tc>
      </w:tr>
      <w:tr>
        <w:trPr>
          <w:trHeight w:val="216"/>
        </w:trPr>
        <w:tc>
          <w:tcPr>
            <w:tcW w:w="4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HubSpot Belgium</w:t>
            </w: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Belgium</w:t>
            </w:r>
          </w:p>
        </w:tc>
      </w:tr>
      <w:tr>
        <w:trPr>
          <w:trHeight w:val="234"/>
        </w:trPr>
        <w:tc>
          <w:tcPr>
            <w:tcW w:w="4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HubSpot Canada Inc.</w:t>
            </w: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Canada</w:t>
            </w:r>
          </w:p>
        </w:tc>
      </w:tr>
      <w:tr>
        <w:trPr>
          <w:trHeight w:val="225"/>
        </w:trPr>
        <w:tc>
          <w:tcPr>
            <w:tcW w:w="4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HubSpot France S.A.S.</w:t>
            </w: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France</w:t>
            </w:r>
          </w:p>
        </w:tc>
      </w:tr>
      <w:tr>
        <w:trPr>
          <w:trHeight w:val="216"/>
        </w:trPr>
        <w:tc>
          <w:tcPr>
            <w:tcW w:w="4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HubSpot Germany GmbH</w:t>
            </w: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Germany</w:t>
            </w:r>
          </w:p>
        </w:tc>
      </w:tr>
      <w:tr>
        <w:trPr>
          <w:trHeight w:val="216"/>
        </w:trPr>
        <w:tc>
          <w:tcPr>
            <w:tcW w:w="4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HubSpot Ireland Limited</w:t>
            </w: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Ireland</w:t>
            </w:r>
          </w:p>
        </w:tc>
      </w:tr>
      <w:tr>
        <w:trPr>
          <w:trHeight w:val="216"/>
        </w:trPr>
        <w:tc>
          <w:tcPr>
            <w:tcW w:w="4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HubSpot Japan K.K.</w:t>
            </w: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Japan</w:t>
            </w:r>
          </w:p>
        </w:tc>
      </w:tr>
      <w:tr>
        <w:trPr>
          <w:trHeight w:val="216"/>
        </w:trPr>
        <w:tc>
          <w:tcPr>
            <w:tcW w:w="4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HubSpot Latin America S.A.S.</w:t>
            </w: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Colombia</w:t>
            </w:r>
          </w:p>
        </w:tc>
      </w:tr>
      <w:tr>
        <w:trPr>
          <w:trHeight w:val="216"/>
        </w:trPr>
        <w:tc>
          <w:tcPr>
            <w:tcW w:w="4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HubSpot Netherlands</w:t>
            </w: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Netherlands</w:t>
            </w:r>
          </w:p>
        </w:tc>
      </w:tr>
      <w:tr>
        <w:trPr>
          <w:trHeight w:val="216"/>
        </w:trPr>
        <w:tc>
          <w:tcPr>
            <w:tcW w:w="4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HubSpot Spain</w:t>
            </w: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Spain</w:t>
            </w:r>
          </w:p>
        </w:tc>
      </w:tr>
      <w:tr>
        <w:trPr>
          <w:trHeight w:val="216"/>
        </w:trPr>
        <w:tc>
          <w:tcPr>
            <w:tcW w:w="4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HubSpot Sweden, a filial of HubSpot Ireland Limited</w:t>
            </w: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Sweden</w:t>
            </w:r>
          </w:p>
        </w:tc>
      </w:tr>
      <w:tr>
        <w:trPr>
          <w:trHeight w:val="234"/>
        </w:trPr>
        <w:tc>
          <w:tcPr>
            <w:tcW w:w="4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HubSpot UK Holdings Limited</w:t>
            </w: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288"/>
        </w:trPr>
        <w:tc>
          <w:tcPr>
            <w:tcW w:w="418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5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9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9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82" w:name="page183"/>
    <w:bookmarkEnd w:id="182"/>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CONSENT OF INDEPENDENT REGISTERED PUBLIC ACCOUNTING FIRM</w:t>
      </w:r>
    </w:p>
    <w:p>
      <w:pPr>
        <w:spacing w:after="0" w:line="200" w:lineRule="exact"/>
        <w:rPr>
          <w:sz w:val="20"/>
          <w:szCs w:val="20"/>
          <w:color w:val="auto"/>
        </w:rPr>
      </w:pPr>
    </w:p>
    <w:p>
      <w:pPr>
        <w:spacing w:after="0" w:line="241"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We hereby consent to the incorporation by reference in the Registration Statements on Form S-8 (Nos. 333-262718, 333-253152, 333-236399, 333-229622, 333-223018, 333-216104, 333-209689, 333-202532, and 333-199225) of HubSpot, Inc. of our report dated February 14, 2024 relating to the financial statements and the effectiveness of internal control over financial reporting, which appears in this Form 10-K.</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PricewaterhouseCoopers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Boston, Massachusetts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14,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1021715</wp:posOffset>
            </wp:positionV>
            <wp:extent cx="7157720" cy="42545"/>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83" w:name="page184"/>
    <w:bookmarkEnd w:id="183"/>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Exchange Act Rules 13a-14(a) and 15d-14(a),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Yamini Rangan, certify that:</w:t>
      </w:r>
    </w:p>
    <w:p>
      <w:pPr>
        <w:spacing w:after="0" w:line="117" w:lineRule="exact"/>
        <w:rPr>
          <w:sz w:val="20"/>
          <w:szCs w:val="20"/>
          <w:color w:val="auto"/>
        </w:rPr>
      </w:pPr>
    </w:p>
    <w:p>
      <w:pPr>
        <w:ind w:left="520" w:hanging="512"/>
        <w:spacing w:after="0"/>
        <w:tabs>
          <w:tab w:leader="none" w:pos="52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HubSpot, Inc.;</w:t>
      </w:r>
    </w:p>
    <w:p>
      <w:pPr>
        <w:spacing w:after="0" w:line="117"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1"/>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020" w:right="320" w:hanging="503"/>
        <w:spacing w:after="0" w:line="266" w:lineRule="auto"/>
        <w:tabs>
          <w:tab w:leader="none" w:pos="1020" w:val="left"/>
        </w:tabs>
        <w:numPr>
          <w:ilvl w:val="1"/>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1020" w:right="480" w:hanging="503"/>
        <w:spacing w:after="0" w:line="282" w:lineRule="auto"/>
        <w:tabs>
          <w:tab w:leader="none" w:pos="1020" w:val="left"/>
        </w:tabs>
        <w:numPr>
          <w:ilvl w:val="1"/>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1"/>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020" w:right="740" w:hanging="503"/>
        <w:spacing w:after="0" w:line="282" w:lineRule="auto"/>
        <w:tabs>
          <w:tab w:leader="none" w:pos="1020" w:val="left"/>
        </w:tabs>
        <w:numPr>
          <w:ilvl w:val="1"/>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020" w:right="420" w:hanging="503"/>
        <w:spacing w:after="0" w:line="282" w:lineRule="auto"/>
        <w:tabs>
          <w:tab w:leader="none" w:pos="1020" w:val="left"/>
        </w:tabs>
        <w:numPr>
          <w:ilvl w:val="1"/>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7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February 14, 2024</w:t>
      </w:r>
    </w:p>
    <w:p>
      <w:pPr>
        <w:spacing w:after="0" w:line="30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Yamini Rangan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2846070" cy="8255"/>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98">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Yamini Rangan</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767715</wp:posOffset>
            </wp:positionV>
            <wp:extent cx="7157720" cy="42545"/>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84" w:name="page185"/>
    <w:bookmarkEnd w:id="184"/>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Exchange Act Rules 13a-14(a) and 15d-14(a),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Kate Bueker, certify that:</w:t>
      </w:r>
    </w:p>
    <w:p>
      <w:pPr>
        <w:spacing w:after="0" w:line="117" w:lineRule="exact"/>
        <w:rPr>
          <w:sz w:val="20"/>
          <w:szCs w:val="20"/>
          <w:color w:val="auto"/>
        </w:rPr>
      </w:pPr>
    </w:p>
    <w:p>
      <w:pPr>
        <w:ind w:left="520" w:hanging="512"/>
        <w:spacing w:after="0"/>
        <w:tabs>
          <w:tab w:leader="none" w:pos="52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HubSpot, Inc.;</w:t>
      </w:r>
    </w:p>
    <w:p>
      <w:pPr>
        <w:spacing w:after="0" w:line="117"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1"/>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020" w:right="320" w:hanging="503"/>
        <w:spacing w:after="0" w:line="266" w:lineRule="auto"/>
        <w:tabs>
          <w:tab w:leader="none" w:pos="1020" w:val="left"/>
        </w:tabs>
        <w:numPr>
          <w:ilvl w:val="1"/>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8" w:lineRule="exact"/>
        <w:rPr>
          <w:sz w:val="20"/>
          <w:szCs w:val="20"/>
          <w:color w:val="auto"/>
        </w:rPr>
      </w:pPr>
    </w:p>
    <w:p>
      <w:pPr>
        <w:jc w:val="both"/>
        <w:ind w:left="1020" w:right="480" w:hanging="503"/>
        <w:spacing w:after="0" w:line="282" w:lineRule="auto"/>
        <w:tabs>
          <w:tab w:leader="none" w:pos="1020" w:val="left"/>
        </w:tabs>
        <w:numPr>
          <w:ilvl w:val="1"/>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1"/>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020" w:right="740" w:hanging="503"/>
        <w:spacing w:after="0" w:line="282" w:lineRule="auto"/>
        <w:tabs>
          <w:tab w:leader="none" w:pos="1020" w:val="left"/>
        </w:tabs>
        <w:numPr>
          <w:ilvl w:val="1"/>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020" w:right="420" w:hanging="503"/>
        <w:spacing w:after="0" w:line="282" w:lineRule="auto"/>
        <w:tabs>
          <w:tab w:leader="none" w:pos="1020" w:val="left"/>
        </w:tabs>
        <w:numPr>
          <w:ilvl w:val="1"/>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7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February 14, 2024</w:t>
      </w:r>
    </w:p>
    <w:p>
      <w:pPr>
        <w:spacing w:after="0" w:line="30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Kate Bueker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2846070" cy="8255"/>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600">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Kate Bueker</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767715</wp:posOffset>
            </wp:positionV>
            <wp:extent cx="7157720" cy="42545"/>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6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85" w:name="page186"/>
    <w:bookmarkEnd w:id="185"/>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 of Chief Executive Officer and Chief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right="180" w:firstLine="509"/>
        <w:spacing w:after="0" w:line="261" w:lineRule="auto"/>
        <w:rPr>
          <w:sz w:val="20"/>
          <w:szCs w:val="20"/>
          <w:color w:val="auto"/>
        </w:rPr>
      </w:pPr>
      <w:r>
        <w:rPr>
          <w:rFonts w:ascii="Times New Roman" w:cs="Times New Roman" w:eastAsia="Times New Roman" w:hAnsi="Times New Roman"/>
          <w:sz w:val="18"/>
          <w:szCs w:val="18"/>
          <w:color w:val="auto"/>
        </w:rPr>
        <w:t>I, Yamini Rangan, certify, pursuant to 18 U.S.C. Section 1350, as adopted pursuant to Section 906 of the Sarbanes-Oxley Act of 2002, that, to my knowledge, the Annual Report on Form 10-K of HubSpot, Inc. for the period ended December 31, 2023 fully complies with the requirements of Section 13(a) or 15(d) of the Securities Exchange Act of 1934 and that information contained in such Annual Report on Form 10-K fairly presents, in all material respects, the financial condition and results of operations of HubSpot, Inc.</w:t>
      </w:r>
    </w:p>
    <w:p>
      <w:pPr>
        <w:spacing w:after="0" w:line="19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Yamini Rangan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2846070" cy="8255"/>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602">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Yamini Rangan</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February 14, 2024</w:t>
      </w:r>
    </w:p>
    <w:p>
      <w:pPr>
        <w:spacing w:after="0" w:line="200" w:lineRule="exact"/>
        <w:rPr>
          <w:sz w:val="20"/>
          <w:szCs w:val="20"/>
          <w:color w:val="auto"/>
        </w:rPr>
      </w:pPr>
    </w:p>
    <w:p>
      <w:pPr>
        <w:spacing w:after="0" w:line="295" w:lineRule="exact"/>
        <w:rPr>
          <w:sz w:val="20"/>
          <w:szCs w:val="20"/>
          <w:color w:val="auto"/>
        </w:rPr>
      </w:pPr>
    </w:p>
    <w:p>
      <w:pPr>
        <w:ind w:right="180" w:firstLine="509"/>
        <w:spacing w:after="0" w:line="261" w:lineRule="auto"/>
        <w:rPr>
          <w:sz w:val="20"/>
          <w:szCs w:val="20"/>
          <w:color w:val="auto"/>
        </w:rPr>
      </w:pPr>
      <w:r>
        <w:rPr>
          <w:rFonts w:ascii="Times New Roman" w:cs="Times New Roman" w:eastAsia="Times New Roman" w:hAnsi="Times New Roman"/>
          <w:sz w:val="18"/>
          <w:szCs w:val="18"/>
          <w:color w:val="auto"/>
        </w:rPr>
        <w:t>I, Kate Bueker, certify, pursuant to 18 U.S.C. Section 1350, as adopted pursuant to Section 906 of the Sarbanes-Oxley Act of 2002, that, to my knowledge, the Annual Report on Form 10-K of HubSpot, Inc. for the period ended December 31, 2023 fully complies with the requirements of Section 13(a) or 15(d) of the Securities Exchange Act of 1934 and that information contained in such Annual Report on Form 10-K fairly presents, in all material respects, the financial condition and results of operations of HubSpot, Inc.</w:t>
      </w:r>
    </w:p>
    <w:p>
      <w:pPr>
        <w:spacing w:after="0" w:line="19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Kate Bueker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2846070" cy="8255"/>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603">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Kate Bueker</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February 14, 2024</w:t>
      </w:r>
    </w:p>
    <w:p>
      <w:pPr>
        <w:spacing w:after="0" w:line="200" w:lineRule="exact"/>
        <w:rPr>
          <w:sz w:val="20"/>
          <w:szCs w:val="20"/>
          <w:color w:val="auto"/>
        </w:rPr>
      </w:pPr>
    </w:p>
    <w:p>
      <w:pPr>
        <w:spacing w:after="0" w:line="280" w:lineRule="exact"/>
        <w:rPr>
          <w:sz w:val="20"/>
          <w:szCs w:val="20"/>
          <w:color w:val="auto"/>
        </w:rPr>
      </w:pPr>
    </w:p>
    <w:p>
      <w:pPr>
        <w:ind w:right="80" w:firstLine="509"/>
        <w:spacing w:after="0" w:line="267" w:lineRule="auto"/>
        <w:rPr>
          <w:sz w:val="20"/>
          <w:szCs w:val="20"/>
          <w:color w:val="auto"/>
        </w:rPr>
      </w:pPr>
      <w:r>
        <w:rPr>
          <w:rFonts w:ascii="Times New Roman" w:cs="Times New Roman" w:eastAsia="Times New Roman" w:hAnsi="Times New Roman"/>
          <w:sz w:val="18"/>
          <w:szCs w:val="18"/>
          <w:i w:val="1"/>
          <w:iCs w:val="1"/>
          <w:color w:val="auto"/>
        </w:rPr>
        <w:t>The foregoing certifications are not deemed filed with the Securities and Exchange Commission for purposes of Section 18 of the Securities Exchange Act of 1934, as amended (Exchange Act), and are not to be incorporated by reference into any filing of HubSpot, Inc. under the Securities Act of 1933, as amended, or the Exchange Act, whether made before or after the date hereof, regardless of any general incorporation language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727710</wp:posOffset>
            </wp:positionV>
            <wp:extent cx="7157720" cy="42545"/>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6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86" w:name="page187"/>
    <w:bookmarkEnd w:id="186"/>
    <w:p>
      <w:pPr>
        <w:ind w:left="7552"/>
        <w:spacing w:after="0"/>
        <w:rPr>
          <w:sz w:val="20"/>
          <w:szCs w:val="20"/>
          <w:color w:val="auto"/>
        </w:rPr>
      </w:pPr>
      <w:r>
        <w:rPr>
          <w:rFonts w:ascii="Times New Roman" w:cs="Times New Roman" w:eastAsia="Times New Roman" w:hAnsi="Times New Roman"/>
          <w:sz w:val="18"/>
          <w:szCs w:val="18"/>
          <w:color w:val="auto"/>
        </w:rPr>
        <w:t>EXHIBIT 97</w:t>
      </w:r>
    </w:p>
    <w:p>
      <w:pPr>
        <w:spacing w:after="0" w:line="200" w:lineRule="exact"/>
        <w:rPr>
          <w:sz w:val="20"/>
          <w:szCs w:val="20"/>
          <w:color w:val="auto"/>
        </w:rPr>
      </w:pPr>
    </w:p>
    <w:p>
      <w:pPr>
        <w:spacing w:after="0" w:line="228" w:lineRule="exact"/>
        <w:rPr>
          <w:sz w:val="20"/>
          <w:szCs w:val="20"/>
          <w:color w:val="auto"/>
        </w:rPr>
      </w:pPr>
    </w:p>
    <w:p>
      <w:pPr>
        <w:jc w:val="center"/>
        <w:ind w:right="-151"/>
        <w:spacing w:after="0"/>
        <w:rPr>
          <w:sz w:val="20"/>
          <w:szCs w:val="20"/>
          <w:color w:val="auto"/>
        </w:rPr>
      </w:pPr>
      <w:r>
        <w:rPr>
          <w:rFonts w:ascii="Times New Roman" w:cs="Times New Roman" w:eastAsia="Times New Roman" w:hAnsi="Times New Roman"/>
          <w:sz w:val="22"/>
          <w:szCs w:val="22"/>
          <w:b w:val="1"/>
          <w:bCs w:val="1"/>
          <w:color w:val="auto"/>
        </w:rPr>
        <w:t>HUBSPOT, INC.</w:t>
      </w:r>
    </w:p>
    <w:p>
      <w:pPr>
        <w:spacing w:after="0" w:line="233" w:lineRule="exact"/>
        <w:rPr>
          <w:sz w:val="20"/>
          <w:szCs w:val="20"/>
          <w:color w:val="auto"/>
        </w:rPr>
      </w:pPr>
    </w:p>
    <w:p>
      <w:pPr>
        <w:jc w:val="center"/>
        <w:ind w:right="-131"/>
        <w:spacing w:after="0"/>
        <w:rPr>
          <w:sz w:val="20"/>
          <w:szCs w:val="20"/>
          <w:color w:val="auto"/>
        </w:rPr>
      </w:pPr>
      <w:r>
        <w:rPr>
          <w:rFonts w:ascii="Times New Roman" w:cs="Times New Roman" w:eastAsia="Times New Roman" w:hAnsi="Times New Roman"/>
          <w:sz w:val="22"/>
          <w:szCs w:val="22"/>
          <w:b w:val="1"/>
          <w:bCs w:val="1"/>
          <w:color w:val="auto"/>
        </w:rPr>
        <w:t>COMPENSATION RECOVERY POLICY</w:t>
      </w:r>
    </w:p>
    <w:p>
      <w:pPr>
        <w:spacing w:after="0" w:line="206" w:lineRule="exact"/>
        <w:rPr>
          <w:sz w:val="20"/>
          <w:szCs w:val="20"/>
          <w:color w:val="auto"/>
        </w:rPr>
      </w:pPr>
    </w:p>
    <w:p>
      <w:pPr>
        <w:jc w:val="center"/>
        <w:ind w:right="-131"/>
        <w:spacing w:after="0"/>
        <w:rPr>
          <w:sz w:val="20"/>
          <w:szCs w:val="20"/>
          <w:color w:val="auto"/>
        </w:rPr>
      </w:pPr>
      <w:r>
        <w:rPr>
          <w:rFonts w:ascii="Times New Roman" w:cs="Times New Roman" w:eastAsia="Times New Roman" w:hAnsi="Times New Roman"/>
          <w:sz w:val="22"/>
          <w:szCs w:val="22"/>
          <w:b w:val="1"/>
          <w:bCs w:val="1"/>
          <w:color w:val="auto"/>
        </w:rPr>
        <w:t>Adopted as of September 19, 2023</w:t>
      </w:r>
    </w:p>
    <w:p>
      <w:pPr>
        <w:spacing w:after="0" w:line="210" w:lineRule="exact"/>
        <w:rPr>
          <w:sz w:val="20"/>
          <w:szCs w:val="20"/>
          <w:color w:val="auto"/>
        </w:rPr>
      </w:pPr>
    </w:p>
    <w:p>
      <w:pPr>
        <w:ind w:left="12" w:right="120"/>
        <w:spacing w:after="0" w:line="239" w:lineRule="auto"/>
        <w:rPr>
          <w:sz w:val="20"/>
          <w:szCs w:val="20"/>
          <w:color w:val="auto"/>
        </w:rPr>
      </w:pPr>
      <w:r>
        <w:rPr>
          <w:rFonts w:ascii="Times New Roman" w:cs="Times New Roman" w:eastAsia="Times New Roman" w:hAnsi="Times New Roman"/>
          <w:sz w:val="22"/>
          <w:szCs w:val="22"/>
          <w:color w:val="auto"/>
        </w:rPr>
        <w:t>HubSpot, Inc., a Delaware corporation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has adopted a Compensation Recovery Policy (this “</w:t>
      </w:r>
      <w:r>
        <w:rPr>
          <w:rFonts w:ascii="Times New Roman" w:cs="Times New Roman" w:eastAsia="Times New Roman" w:hAnsi="Times New Roman"/>
          <w:sz w:val="22"/>
          <w:szCs w:val="22"/>
          <w:u w:val="single" w:color="auto"/>
          <w:color w:val="auto"/>
        </w:rPr>
        <w:t>Policy</w:t>
      </w:r>
      <w:r>
        <w:rPr>
          <w:rFonts w:ascii="Times New Roman" w:cs="Times New Roman" w:eastAsia="Times New Roman" w:hAnsi="Times New Roman"/>
          <w:sz w:val="22"/>
          <w:szCs w:val="22"/>
          <w:color w:val="auto"/>
        </w:rPr>
        <w:t>”) as described below. This Policy supersedes and replaces the Company’s Policy for Recoupment of Incentive Compensation, dated as of December 6, 2016 (the “</w:t>
      </w:r>
      <w:r>
        <w:rPr>
          <w:rFonts w:ascii="Times New Roman" w:cs="Times New Roman" w:eastAsia="Times New Roman" w:hAnsi="Times New Roman"/>
          <w:sz w:val="22"/>
          <w:szCs w:val="22"/>
          <w:u w:val="single" w:color="auto"/>
          <w:color w:val="auto"/>
        </w:rPr>
        <w:t>Prior Policy</w:t>
      </w:r>
      <w:r>
        <w:rPr>
          <w:rFonts w:ascii="Times New Roman" w:cs="Times New Roman" w:eastAsia="Times New Roman" w:hAnsi="Times New Roman"/>
          <w:sz w:val="22"/>
          <w:szCs w:val="22"/>
          <w:color w:val="auto"/>
        </w:rPr>
        <w:t>”), with respect to Incentive Compensation received after the Effective Date (as defined below).</w:t>
      </w:r>
    </w:p>
    <w:p>
      <w:pPr>
        <w:spacing w:after="0" w:line="176" w:lineRule="exact"/>
        <w:rPr>
          <w:sz w:val="20"/>
          <w:szCs w:val="20"/>
          <w:color w:val="auto"/>
        </w:rPr>
      </w:pPr>
    </w:p>
    <w:p>
      <w:pPr>
        <w:ind w:left="752" w:hanging="752"/>
        <w:spacing w:after="0"/>
        <w:tabs>
          <w:tab w:leader="none" w:pos="752" w:val="left"/>
        </w:tabs>
        <w:numPr>
          <w:ilvl w:val="0"/>
          <w:numId w:val="14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Overview</w:t>
      </w:r>
    </w:p>
    <w:p>
      <w:pPr>
        <w:spacing w:after="0" w:line="210" w:lineRule="exact"/>
        <w:rPr>
          <w:sz w:val="20"/>
          <w:szCs w:val="20"/>
          <w:color w:val="auto"/>
        </w:rPr>
      </w:pPr>
    </w:p>
    <w:p>
      <w:pPr>
        <w:ind w:left="12" w:right="160"/>
        <w:spacing w:after="0" w:line="238" w:lineRule="auto"/>
        <w:rPr>
          <w:sz w:val="20"/>
          <w:szCs w:val="20"/>
          <w:color w:val="auto"/>
        </w:rPr>
      </w:pPr>
      <w:r>
        <w:rPr>
          <w:rFonts w:ascii="Times New Roman" w:cs="Times New Roman" w:eastAsia="Times New Roman" w:hAnsi="Times New Roman"/>
          <w:sz w:val="22"/>
          <w:szCs w:val="22"/>
          <w:color w:val="auto"/>
        </w:rPr>
        <w:t>The Policy sets forth the circumstances and procedures under which the Company shall recover Erroneously Awarded Compensation from Covered Persons in accordance with rules issued by the United States Securities and Exchange Commission (the “</w:t>
      </w:r>
      <w:r>
        <w:rPr>
          <w:rFonts w:ascii="Times New Roman" w:cs="Times New Roman" w:eastAsia="Times New Roman" w:hAnsi="Times New Roman"/>
          <w:sz w:val="22"/>
          <w:szCs w:val="22"/>
          <w:u w:val="single" w:color="auto"/>
          <w:color w:val="auto"/>
        </w:rPr>
        <w:t>SEC</w:t>
      </w:r>
      <w:r>
        <w:rPr>
          <w:rFonts w:ascii="Times New Roman" w:cs="Times New Roman" w:eastAsia="Times New Roman" w:hAnsi="Times New Roman"/>
          <w:sz w:val="22"/>
          <w:szCs w:val="22"/>
          <w:color w:val="auto"/>
        </w:rPr>
        <w:t>”) under the Securities Exchange Act of 1934, as amended (the “</w:t>
      </w:r>
      <w:r>
        <w:rPr>
          <w:rFonts w:ascii="Times New Roman" w:cs="Times New Roman" w:eastAsia="Times New Roman" w:hAnsi="Times New Roman"/>
          <w:sz w:val="22"/>
          <w:szCs w:val="22"/>
          <w:u w:val="single" w:color="auto"/>
          <w:color w:val="auto"/>
        </w:rPr>
        <w:t>Exchange Act</w:t>
      </w:r>
      <w:r>
        <w:rPr>
          <w:rFonts w:ascii="Times New Roman" w:cs="Times New Roman" w:eastAsia="Times New Roman" w:hAnsi="Times New Roman"/>
          <w:sz w:val="22"/>
          <w:szCs w:val="22"/>
          <w:color w:val="auto"/>
        </w:rPr>
        <w:t>”), and the New York Stock Exchange. Capitalized terms used and not otherwise defined herein shall have the meanings given to such terms in Section 3 below.</w:t>
      </w:r>
    </w:p>
    <w:p>
      <w:pPr>
        <w:spacing w:after="0" w:line="173" w:lineRule="exact"/>
        <w:rPr>
          <w:sz w:val="20"/>
          <w:szCs w:val="20"/>
          <w:color w:val="auto"/>
        </w:rPr>
      </w:pPr>
    </w:p>
    <w:p>
      <w:pPr>
        <w:ind w:left="752" w:hanging="752"/>
        <w:spacing w:after="0"/>
        <w:tabs>
          <w:tab w:leader="none" w:pos="752" w:val="left"/>
        </w:tabs>
        <w:numPr>
          <w:ilvl w:val="0"/>
          <w:numId w:val="14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Compensation Recovery Requirement</w:t>
      </w:r>
    </w:p>
    <w:p>
      <w:pPr>
        <w:spacing w:after="0" w:line="210" w:lineRule="exact"/>
        <w:rPr>
          <w:sz w:val="20"/>
          <w:szCs w:val="20"/>
          <w:color w:val="auto"/>
        </w:rPr>
      </w:pPr>
    </w:p>
    <w:p>
      <w:pPr>
        <w:ind w:left="12" w:right="60"/>
        <w:spacing w:after="0" w:line="258" w:lineRule="auto"/>
        <w:rPr>
          <w:sz w:val="20"/>
          <w:szCs w:val="20"/>
          <w:color w:val="auto"/>
        </w:rPr>
      </w:pPr>
      <w:r>
        <w:rPr>
          <w:rFonts w:ascii="Times New Roman" w:cs="Times New Roman" w:eastAsia="Times New Roman" w:hAnsi="Times New Roman"/>
          <w:sz w:val="22"/>
          <w:szCs w:val="22"/>
          <w:color w:val="auto"/>
        </w:rPr>
        <w:t>In the event the Company is required to prepare a Financial Restatement, the Company shall recover reasonably promptly all Erroneously Awarded Compensation with respect to such Financial Restatement.</w:t>
      </w:r>
    </w:p>
    <w:p>
      <w:pPr>
        <w:spacing w:after="0" w:line="141" w:lineRule="exact"/>
        <w:rPr>
          <w:sz w:val="20"/>
          <w:szCs w:val="20"/>
          <w:color w:val="auto"/>
        </w:rPr>
      </w:pPr>
    </w:p>
    <w:p>
      <w:pPr>
        <w:ind w:left="752" w:hanging="752"/>
        <w:spacing w:after="0"/>
        <w:tabs>
          <w:tab w:leader="none" w:pos="752" w:val="left"/>
        </w:tabs>
        <w:numPr>
          <w:ilvl w:val="0"/>
          <w:numId w:val="14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Definitions</w:t>
      </w:r>
    </w:p>
    <w:p>
      <w:pPr>
        <w:spacing w:after="0" w:line="210" w:lineRule="exact"/>
        <w:rPr>
          <w:rFonts w:ascii="Times New Roman" w:cs="Times New Roman" w:eastAsia="Times New Roman" w:hAnsi="Times New Roman"/>
          <w:sz w:val="22"/>
          <w:szCs w:val="22"/>
          <w:b w:val="1"/>
          <w:bCs w:val="1"/>
          <w:color w:val="auto"/>
        </w:rPr>
      </w:pPr>
    </w:p>
    <w:p>
      <w:pPr>
        <w:ind w:left="1112" w:hanging="364"/>
        <w:spacing w:after="0" w:line="238" w:lineRule="auto"/>
        <w:tabs>
          <w:tab w:leader="none" w:pos="1112" w:val="left"/>
        </w:tabs>
        <w:numPr>
          <w:ilvl w:val="1"/>
          <w:numId w:val="1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Applicable Recovery Period</w:t>
      </w:r>
      <w:r>
        <w:rPr>
          <w:rFonts w:ascii="Times New Roman" w:cs="Times New Roman" w:eastAsia="Times New Roman" w:hAnsi="Times New Roman"/>
          <w:sz w:val="22"/>
          <w:szCs w:val="22"/>
          <w:color w:val="auto"/>
        </w:rPr>
        <w:t>” means the three completed fiscal years immediately preceding the Restatement Date for a Financial Restatement. In addition, in the event the Company has changed its fiscal year: (i) any transition period of less than nine months occurring within or immediately following such three completed fiscal years shall also be part of such Applicable Recovery Period and (ii) any transition period of nine to 12 months will be deemed to be a completed fiscal year.</w:t>
      </w:r>
    </w:p>
    <w:p>
      <w:pPr>
        <w:spacing w:after="0" w:line="176" w:lineRule="exact"/>
        <w:rPr>
          <w:rFonts w:ascii="Times New Roman" w:cs="Times New Roman" w:eastAsia="Times New Roman" w:hAnsi="Times New Roman"/>
          <w:sz w:val="22"/>
          <w:szCs w:val="22"/>
          <w:color w:val="auto"/>
        </w:rPr>
      </w:pPr>
    </w:p>
    <w:p>
      <w:pPr>
        <w:ind w:left="1112" w:right="180" w:hanging="364"/>
        <w:spacing w:after="0" w:line="244" w:lineRule="auto"/>
        <w:tabs>
          <w:tab w:leader="none" w:pos="1112" w:val="left"/>
        </w:tabs>
        <w:numPr>
          <w:ilvl w:val="1"/>
          <w:numId w:val="1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Applicable Rules</w:t>
      </w:r>
      <w:r>
        <w:rPr>
          <w:rFonts w:ascii="Times New Roman" w:cs="Times New Roman" w:eastAsia="Times New Roman" w:hAnsi="Times New Roman"/>
          <w:sz w:val="22"/>
          <w:szCs w:val="22"/>
          <w:color w:val="auto"/>
        </w:rPr>
        <w:t>” means any rules or regulations adopted by the Exchange pursuant to Rule 10D-1 under the Exchange Act and any applicable rules or regulations adopted by the SEC pursuant to Section 10D of the Exchange Act.</w:t>
      </w:r>
    </w:p>
    <w:p>
      <w:pPr>
        <w:spacing w:after="0" w:line="173" w:lineRule="exact"/>
        <w:rPr>
          <w:rFonts w:ascii="Times New Roman" w:cs="Times New Roman" w:eastAsia="Times New Roman" w:hAnsi="Times New Roman"/>
          <w:sz w:val="22"/>
          <w:szCs w:val="22"/>
          <w:color w:val="auto"/>
        </w:rPr>
      </w:pPr>
    </w:p>
    <w:p>
      <w:pPr>
        <w:ind w:left="1132" w:hanging="384"/>
        <w:spacing w:after="0"/>
        <w:tabs>
          <w:tab w:leader="none" w:pos="1132" w:val="left"/>
        </w:tabs>
        <w:numPr>
          <w:ilvl w:val="1"/>
          <w:numId w:val="1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Board</w:t>
      </w:r>
      <w:r>
        <w:rPr>
          <w:rFonts w:ascii="Times New Roman" w:cs="Times New Roman" w:eastAsia="Times New Roman" w:hAnsi="Times New Roman"/>
          <w:sz w:val="22"/>
          <w:szCs w:val="22"/>
          <w:color w:val="auto"/>
        </w:rPr>
        <w:t>” means the Board of Directors of the Company.</w:t>
      </w:r>
    </w:p>
    <w:p>
      <w:pPr>
        <w:spacing w:after="0" w:line="206" w:lineRule="exact"/>
        <w:rPr>
          <w:rFonts w:ascii="Times New Roman" w:cs="Times New Roman" w:eastAsia="Times New Roman" w:hAnsi="Times New Roman"/>
          <w:sz w:val="22"/>
          <w:szCs w:val="22"/>
          <w:color w:val="auto"/>
        </w:rPr>
      </w:pPr>
    </w:p>
    <w:p>
      <w:pPr>
        <w:ind w:left="1112" w:right="20" w:hanging="364"/>
        <w:spacing w:after="0" w:line="258" w:lineRule="auto"/>
        <w:tabs>
          <w:tab w:leader="none" w:pos="1112" w:val="left"/>
        </w:tabs>
        <w:numPr>
          <w:ilvl w:val="1"/>
          <w:numId w:val="1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Committee</w:t>
      </w:r>
      <w:r>
        <w:rPr>
          <w:rFonts w:ascii="Times New Roman" w:cs="Times New Roman" w:eastAsia="Times New Roman" w:hAnsi="Times New Roman"/>
          <w:sz w:val="22"/>
          <w:szCs w:val="22"/>
          <w:color w:val="auto"/>
        </w:rPr>
        <w:t>” means the Compensation Committee of the Board or, in the absence of such committee, a majority of independent directors serving on the Board.</w:t>
      </w:r>
    </w:p>
    <w:p>
      <w:pPr>
        <w:spacing w:after="0" w:line="158" w:lineRule="exact"/>
        <w:rPr>
          <w:rFonts w:ascii="Times New Roman" w:cs="Times New Roman" w:eastAsia="Times New Roman" w:hAnsi="Times New Roman"/>
          <w:sz w:val="22"/>
          <w:szCs w:val="22"/>
          <w:color w:val="auto"/>
        </w:rPr>
      </w:pPr>
    </w:p>
    <w:p>
      <w:pPr>
        <w:ind w:left="1112" w:right="80" w:hanging="364"/>
        <w:spacing w:after="0" w:line="244" w:lineRule="auto"/>
        <w:tabs>
          <w:tab w:leader="none" w:pos="1112" w:val="left"/>
        </w:tabs>
        <w:numPr>
          <w:ilvl w:val="1"/>
          <w:numId w:val="1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Covered Person</w:t>
      </w:r>
      <w:r>
        <w:rPr>
          <w:rFonts w:ascii="Times New Roman" w:cs="Times New Roman" w:eastAsia="Times New Roman" w:hAnsi="Times New Roman"/>
          <w:sz w:val="22"/>
          <w:szCs w:val="22"/>
          <w:color w:val="auto"/>
        </w:rPr>
        <w:t>” means any Executive Officer. A person’s status as a Covered Person with respect to Erroneously Awarded Compensation shall be determined as of the time of receipt of such Erroneously Awarded Compensation regardless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-88265</wp:posOffset>
            </wp:positionH>
            <wp:positionV relativeFrom="paragraph">
              <wp:posOffset>534670</wp:posOffset>
            </wp:positionV>
            <wp:extent cx="7157720" cy="42545"/>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6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-75565</wp:posOffset>
            </wp:positionH>
            <wp:positionV relativeFrom="paragraph">
              <wp:posOffset>67310</wp:posOffset>
            </wp:positionV>
            <wp:extent cx="1491615" cy="222885"/>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606">
                      <a:extLst>
                        <a:ext uri="{28A0092B-C50C-407E-A947-70E740481C1C}"/>
                      </a:extLst>
                    </a:blip>
                    <a:srcRect/>
                    <a:stretch>
                      <a:fillRect/>
                    </a:stretch>
                  </pic:blipFill>
                  <pic:spPr bwMode="auto">
                    <a:xfrm>
                      <a:off x="0" y="0"/>
                      <a:ext cx="1491615" cy="222885"/>
                    </a:xfrm>
                    <a:prstGeom prst="rect">
                      <a:avLst/>
                    </a:prstGeom>
                    <a:noFill/>
                  </pic:spPr>
                </pic:pic>
              </a:graphicData>
            </a:graphic>
          </wp:anchor>
        </w:drawing>
      </w:r>
    </w:p>
    <w:p>
      <w:pPr>
        <w:sectPr>
          <w:pgSz w:w="11900" w:h="16838" w:orient="portrait"/>
          <w:cols w:equalWidth="0" w:num="1">
            <w:col w:w="10852"/>
          </w:cols>
          <w:pgMar w:left="448" w:top="769" w:right="599" w:bottom="1440" w:gutter="0" w:footer="0" w:header="0"/>
        </w:sectPr>
      </w:pPr>
    </w:p>
    <w:bookmarkStart w:id="187" w:name="page188"/>
    <w:bookmarkEnd w:id="187"/>
    <w:p>
      <w:pPr>
        <w:ind w:left="1200" w:right="60"/>
        <w:spacing w:after="0" w:line="236" w:lineRule="auto"/>
        <w:rPr>
          <w:sz w:val="20"/>
          <w:szCs w:val="20"/>
          <w:color w:val="auto"/>
        </w:rPr>
      </w:pPr>
      <w:r>
        <w:rPr>
          <w:rFonts w:ascii="Times New Roman" w:cs="Times New Roman" w:eastAsia="Times New Roman" w:hAnsi="Times New Roman"/>
          <w:sz w:val="22"/>
          <w:szCs w:val="22"/>
          <w:color w:val="auto"/>
        </w:rPr>
        <w:t>person’s current role or status with the Company (e.g., if a person began service as an Executive Officer after the beginning of an Applicable Recovery Period, that person would not be considered a Covered Person with respect to Erroneously Awarded Compensation received before the person began service as an Executive Officer, but would be considered a Covered Person with respect to Erroneously Awarded Compensation received after the person began service as an Executive Officer where such person served as an Executive Officer at any time during the performance period for such Erroneously Awarded Compensation).</w:t>
      </w:r>
    </w:p>
    <w:p>
      <w:pPr>
        <w:spacing w:after="0" w:line="181" w:lineRule="exact"/>
        <w:rPr>
          <w:sz w:val="20"/>
          <w:szCs w:val="20"/>
          <w:color w:val="auto"/>
        </w:rPr>
      </w:pPr>
    </w:p>
    <w:p>
      <w:pPr>
        <w:ind w:left="1200" w:hanging="384"/>
        <w:spacing w:after="0"/>
        <w:tabs>
          <w:tab w:leader="none" w:pos="1200" w:val="left"/>
        </w:tabs>
        <w:numPr>
          <w:ilvl w:val="0"/>
          <w:numId w:val="1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Effective Date</w:t>
      </w:r>
      <w:r>
        <w:rPr>
          <w:rFonts w:ascii="Times New Roman" w:cs="Times New Roman" w:eastAsia="Times New Roman" w:hAnsi="Times New Roman"/>
          <w:sz w:val="22"/>
          <w:szCs w:val="22"/>
          <w:color w:val="auto"/>
        </w:rPr>
        <w:t>” means October 2, 2023.</w:t>
      </w:r>
    </w:p>
    <w:p>
      <w:pPr>
        <w:spacing w:after="0" w:line="206" w:lineRule="exact"/>
        <w:rPr>
          <w:rFonts w:ascii="Times New Roman" w:cs="Times New Roman" w:eastAsia="Times New Roman" w:hAnsi="Times New Roman"/>
          <w:sz w:val="22"/>
          <w:szCs w:val="22"/>
          <w:color w:val="auto"/>
        </w:rPr>
      </w:pPr>
    </w:p>
    <w:p>
      <w:pPr>
        <w:ind w:left="1180" w:hanging="364"/>
        <w:spacing w:after="0" w:line="233" w:lineRule="auto"/>
        <w:tabs>
          <w:tab w:leader="none" w:pos="1180" w:val="left"/>
        </w:tabs>
        <w:numPr>
          <w:ilvl w:val="0"/>
          <w:numId w:val="1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Erroneously Awarded Compensation</w:t>
      </w:r>
      <w:r>
        <w:rPr>
          <w:rFonts w:ascii="Times New Roman" w:cs="Times New Roman" w:eastAsia="Times New Roman" w:hAnsi="Times New Roman"/>
          <w:sz w:val="22"/>
          <w:szCs w:val="22"/>
          <w:color w:val="auto"/>
        </w:rPr>
        <w:t>” means the amount of any Incentive-Based Compensation received by a Covered Person on or after the Effective Date and during the Applicable Recovery Period that exceeds the amount that otherwise would have been received by the Covered Person had such compensation been determined based on the restated amounts in a Financial Restatement, computed without regard to any taxes paid. Calculation of Erroneously Awarded Compensation with respect to Incentive-Based Compensation based on stock price or total shareholder return, where the amount of Erroneously Awarded Compensation is not subject to mathematical recalculation directly from the information in a Financial Restatement, shall be based on a reasonable estimate of the effect of the Financial Restatement on the stock price or total shareholder return upon which the Incentive-Based Compensation was based, and the Company shall maintain documentation of the determination of such reasonable estimate and provide such documentation to the Exchange in accordance with the Applicable Rules. Incentive-Based Compensation is deemed received when the Financial Reporting Measure is attained, not when the actual payment, grant, or vesting occurs.</w:t>
      </w:r>
    </w:p>
    <w:p>
      <w:pPr>
        <w:spacing w:after="0" w:line="198" w:lineRule="exact"/>
        <w:rPr>
          <w:rFonts w:ascii="Times New Roman" w:cs="Times New Roman" w:eastAsia="Times New Roman" w:hAnsi="Times New Roman"/>
          <w:sz w:val="22"/>
          <w:szCs w:val="22"/>
          <w:color w:val="auto"/>
        </w:rPr>
      </w:pPr>
    </w:p>
    <w:p>
      <w:pPr>
        <w:ind w:left="1200" w:hanging="384"/>
        <w:spacing w:after="0"/>
        <w:tabs>
          <w:tab w:leader="none" w:pos="1200" w:val="left"/>
        </w:tabs>
        <w:numPr>
          <w:ilvl w:val="0"/>
          <w:numId w:val="1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Exchange</w:t>
      </w:r>
      <w:r>
        <w:rPr>
          <w:rFonts w:ascii="Times New Roman" w:cs="Times New Roman" w:eastAsia="Times New Roman" w:hAnsi="Times New Roman"/>
          <w:sz w:val="22"/>
          <w:szCs w:val="22"/>
          <w:color w:val="auto"/>
        </w:rPr>
        <w:t>” means the New York Stock Exchange.</w:t>
      </w:r>
    </w:p>
    <w:p>
      <w:pPr>
        <w:spacing w:after="0" w:line="206" w:lineRule="exact"/>
        <w:rPr>
          <w:rFonts w:ascii="Times New Roman" w:cs="Times New Roman" w:eastAsia="Times New Roman" w:hAnsi="Times New Roman"/>
          <w:sz w:val="22"/>
          <w:szCs w:val="22"/>
          <w:color w:val="auto"/>
        </w:rPr>
      </w:pPr>
    </w:p>
    <w:p>
      <w:pPr>
        <w:ind w:left="1160" w:right="1200" w:hanging="344"/>
        <w:spacing w:after="0" w:line="241" w:lineRule="auto"/>
        <w:tabs>
          <w:tab w:leader="none" w:pos="1160" w:val="left"/>
        </w:tabs>
        <w:numPr>
          <w:ilvl w:val="0"/>
          <w:numId w:val="1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Executive Officer</w:t>
      </w:r>
      <w:r>
        <w:rPr>
          <w:rFonts w:ascii="Times New Roman" w:cs="Times New Roman" w:eastAsia="Times New Roman" w:hAnsi="Times New Roman"/>
          <w:sz w:val="22"/>
          <w:szCs w:val="22"/>
          <w:color w:val="auto"/>
        </w:rPr>
        <w:t>” means any person who served the Company in any of the following roles at any time during the performance period applicable to</w:t>
      </w:r>
    </w:p>
    <w:p>
      <w:pPr>
        <w:spacing w:after="0" w:line="1" w:lineRule="exact"/>
        <w:rPr>
          <w:rFonts w:ascii="Times New Roman" w:cs="Times New Roman" w:eastAsia="Times New Roman" w:hAnsi="Times New Roman"/>
          <w:sz w:val="22"/>
          <w:szCs w:val="22"/>
          <w:color w:val="auto"/>
        </w:rPr>
      </w:pPr>
    </w:p>
    <w:p>
      <w:pPr>
        <w:ind w:left="1200"/>
        <w:spacing w:after="0" w:line="232"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Incentive-Based Compensation and received Incentive-Based Compensation after beginning service in any such role (regardless of whether such Incentive-Based Compensation was received during or after such person’s service in such role): the president, principal financial officer, principal accounting officer (or if there is no such accounting officer the controller), any vice president in charge of a principal business unit, division, or function (such as sales, administration, or finance), any other officer who performs a policy making function, or any other person who performs similar policy making functions for the Company. Executive officers of parents or subsidiaries of the Company may be deemed Executive Officers if they perform such policy making functions for the Company.</w:t>
      </w:r>
    </w:p>
    <w:p>
      <w:pPr>
        <w:spacing w:after="0" w:line="179" w:lineRule="exact"/>
        <w:rPr>
          <w:rFonts w:ascii="Times New Roman" w:cs="Times New Roman" w:eastAsia="Times New Roman" w:hAnsi="Times New Roman"/>
          <w:sz w:val="22"/>
          <w:szCs w:val="22"/>
          <w:color w:val="auto"/>
        </w:rPr>
      </w:pPr>
    </w:p>
    <w:p>
      <w:pPr>
        <w:jc w:val="both"/>
        <w:ind w:left="1180" w:right="40" w:hanging="364"/>
        <w:spacing w:after="0" w:line="244" w:lineRule="auto"/>
        <w:tabs>
          <w:tab w:leader="none" w:pos="1180" w:val="left"/>
        </w:tabs>
        <w:numPr>
          <w:ilvl w:val="0"/>
          <w:numId w:val="1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Financial Reporting Measures</w:t>
      </w:r>
      <w:r>
        <w:rPr>
          <w:rFonts w:ascii="Times New Roman" w:cs="Times New Roman" w:eastAsia="Times New Roman" w:hAnsi="Times New Roman"/>
          <w:sz w:val="22"/>
          <w:szCs w:val="22"/>
          <w:color w:val="auto"/>
        </w:rPr>
        <w:t>” mean measures that are determined and presented in accordance with the accounting principles used in preparing the Company’s financial statements, any measures that are derived wholly or in part from such measures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829945</wp:posOffset>
            </wp:positionV>
            <wp:extent cx="7157720" cy="42545"/>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6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80" w:top="1408" w:right="499" w:bottom="1440" w:gutter="0" w:footer="0" w:header="0"/>
        </w:sectPr>
      </w:pPr>
    </w:p>
    <w:bookmarkStart w:id="188" w:name="page189"/>
    <w:bookmarkEnd w:id="188"/>
    <w:p>
      <w:pPr>
        <w:ind w:left="1200"/>
        <w:spacing w:after="0"/>
        <w:rPr>
          <w:sz w:val="20"/>
          <w:szCs w:val="20"/>
          <w:color w:val="auto"/>
        </w:rPr>
      </w:pPr>
      <w:r>
        <w:rPr>
          <w:rFonts w:ascii="Times New Roman" w:cs="Times New Roman" w:eastAsia="Times New Roman" w:hAnsi="Times New Roman"/>
          <w:sz w:val="22"/>
          <w:szCs w:val="22"/>
          <w:color w:val="auto"/>
        </w:rPr>
        <w:t>(including, for example, a non-GAAP financial measure), and stock price and total shareholder return.</w:t>
      </w:r>
    </w:p>
    <w:p>
      <w:pPr>
        <w:spacing w:after="0" w:line="206" w:lineRule="exact"/>
        <w:rPr>
          <w:sz w:val="20"/>
          <w:szCs w:val="20"/>
          <w:color w:val="auto"/>
        </w:rPr>
      </w:pPr>
    </w:p>
    <w:p>
      <w:pPr>
        <w:ind w:left="1180" w:right="180" w:hanging="364"/>
        <w:spacing w:after="0" w:line="244" w:lineRule="auto"/>
        <w:tabs>
          <w:tab w:leader="none" w:pos="1180" w:val="left"/>
        </w:tabs>
        <w:numPr>
          <w:ilvl w:val="1"/>
          <w:numId w:val="1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Incentive-Based Compensation</w:t>
      </w:r>
      <w:r>
        <w:rPr>
          <w:rFonts w:ascii="Times New Roman" w:cs="Times New Roman" w:eastAsia="Times New Roman" w:hAnsi="Times New Roman"/>
          <w:sz w:val="22"/>
          <w:szCs w:val="22"/>
          <w:color w:val="auto"/>
        </w:rPr>
        <w:t>” means any compensation provided, directly or indirectly, by the Company or any of its subsidiaries that is granted, earned, or vested based, in whole or in part, upon the attainment of a Financial Reporting Measure.</w:t>
      </w:r>
    </w:p>
    <w:p>
      <w:pPr>
        <w:spacing w:after="0" w:line="173" w:lineRule="exact"/>
        <w:rPr>
          <w:rFonts w:ascii="Times New Roman" w:cs="Times New Roman" w:eastAsia="Times New Roman" w:hAnsi="Times New Roman"/>
          <w:sz w:val="22"/>
          <w:szCs w:val="22"/>
          <w:color w:val="auto"/>
        </w:rPr>
      </w:pPr>
    </w:p>
    <w:p>
      <w:pPr>
        <w:ind w:left="1180" w:right="120" w:hanging="364"/>
        <w:spacing w:after="0" w:line="238" w:lineRule="auto"/>
        <w:tabs>
          <w:tab w:leader="none" w:pos="1180" w:val="left"/>
        </w:tabs>
        <w:numPr>
          <w:ilvl w:val="1"/>
          <w:numId w:val="1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Financial Restatement</w:t>
      </w:r>
      <w:r>
        <w:rPr>
          <w:rFonts w:ascii="Times New Roman" w:cs="Times New Roman" w:eastAsia="Times New Roman" w:hAnsi="Times New Roman"/>
          <w:sz w:val="22"/>
          <w:szCs w:val="22"/>
          <w:color w:val="auto"/>
        </w:rPr>
        <w:t>” means a restatement of previously issued financial statements of the Company due to the material noncompliance of the Company with any financial reporting requirement under the securities laws, including any required restatement to correct an error in previously-issued financial statements that is material to the previously-issued financial statements or that would result in a material misstatement if the error were corrected in the current period or left uncorrected in the current period.</w:t>
      </w:r>
    </w:p>
    <w:p>
      <w:pPr>
        <w:spacing w:after="0" w:line="176" w:lineRule="exact"/>
        <w:rPr>
          <w:rFonts w:ascii="Times New Roman" w:cs="Times New Roman" w:eastAsia="Times New Roman" w:hAnsi="Times New Roman"/>
          <w:sz w:val="22"/>
          <w:szCs w:val="22"/>
          <w:color w:val="auto"/>
        </w:rPr>
      </w:pPr>
    </w:p>
    <w:p>
      <w:pPr>
        <w:ind w:left="1180" w:hanging="364"/>
        <w:spacing w:after="0" w:line="239" w:lineRule="auto"/>
        <w:tabs>
          <w:tab w:leader="none" w:pos="1180" w:val="left"/>
        </w:tabs>
        <w:numPr>
          <w:ilvl w:val="1"/>
          <w:numId w:val="1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Restatement Date</w:t>
      </w:r>
      <w:r>
        <w:rPr>
          <w:rFonts w:ascii="Times New Roman" w:cs="Times New Roman" w:eastAsia="Times New Roman" w:hAnsi="Times New Roman"/>
          <w:sz w:val="22"/>
          <w:szCs w:val="22"/>
          <w:color w:val="auto"/>
        </w:rPr>
        <w:t>” means, with respect to a Financial Restatement, the earlier to occur of: (i) the date the Board concludes, or reasonably should have concluded, that the Company is required to prepare the Financial Restatement or (ii) the date a court, regulator, or other legally authorized body directs the Company to prepare the Financial Restatement.</w:t>
      </w:r>
    </w:p>
    <w:p>
      <w:pPr>
        <w:spacing w:after="0" w:line="176" w:lineRule="exact"/>
        <w:rPr>
          <w:rFonts w:ascii="Times New Roman" w:cs="Times New Roman" w:eastAsia="Times New Roman" w:hAnsi="Times New Roman"/>
          <w:sz w:val="22"/>
          <w:szCs w:val="22"/>
          <w:color w:val="auto"/>
        </w:rPr>
      </w:pPr>
    </w:p>
    <w:p>
      <w:pPr>
        <w:ind w:left="820" w:hanging="752"/>
        <w:spacing w:after="0"/>
        <w:tabs>
          <w:tab w:leader="none" w:pos="820" w:val="left"/>
        </w:tabs>
        <w:numPr>
          <w:ilvl w:val="0"/>
          <w:numId w:val="14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Exception to Compensation Recovery Requirement</w:t>
      </w:r>
    </w:p>
    <w:p>
      <w:pPr>
        <w:spacing w:after="0" w:line="210" w:lineRule="exact"/>
        <w:rPr>
          <w:sz w:val="20"/>
          <w:szCs w:val="20"/>
          <w:color w:val="auto"/>
        </w:rPr>
      </w:pPr>
    </w:p>
    <w:p>
      <w:pPr>
        <w:ind w:left="80" w:right="60"/>
        <w:spacing w:after="0" w:line="236" w:lineRule="auto"/>
        <w:rPr>
          <w:sz w:val="20"/>
          <w:szCs w:val="20"/>
          <w:color w:val="auto"/>
        </w:rPr>
      </w:pPr>
      <w:r>
        <w:rPr>
          <w:rFonts w:ascii="Times New Roman" w:cs="Times New Roman" w:eastAsia="Times New Roman" w:hAnsi="Times New Roman"/>
          <w:sz w:val="22"/>
          <w:szCs w:val="22"/>
          <w:color w:val="auto"/>
        </w:rPr>
        <w:t>The Company may elect not to recover Erroneously Awarded Compensation pursuant to this Policy if the Committee determines that recovery would be impracticable, and one or more of the following conditions, together with any further requirements set forth in the Applicable Rules, are met: (i) the direct expense paid to a third party, including outside legal counsel, to assist in enforcing this Policy would exceed the amount to be recovered, and the Company has made a reasonable attempt to recover such Erroneously Awarded Compensation; or (ii) recovery would likely cause an otherwise tax-qualified retirement plan to fail to be so qualified under applicable regulations.</w:t>
      </w:r>
    </w:p>
    <w:p>
      <w:pPr>
        <w:spacing w:after="0" w:line="177" w:lineRule="exact"/>
        <w:rPr>
          <w:sz w:val="20"/>
          <w:szCs w:val="20"/>
          <w:color w:val="auto"/>
        </w:rPr>
      </w:pPr>
    </w:p>
    <w:p>
      <w:pPr>
        <w:ind w:left="820" w:hanging="752"/>
        <w:spacing w:after="0"/>
        <w:tabs>
          <w:tab w:leader="none" w:pos="820" w:val="left"/>
        </w:tabs>
        <w:numPr>
          <w:ilvl w:val="0"/>
          <w:numId w:val="14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Tax Considerations</w:t>
      </w:r>
    </w:p>
    <w:p>
      <w:pPr>
        <w:spacing w:after="0" w:line="210" w:lineRule="exact"/>
        <w:rPr>
          <w:sz w:val="20"/>
          <w:szCs w:val="20"/>
          <w:color w:val="auto"/>
        </w:rPr>
      </w:pPr>
    </w:p>
    <w:p>
      <w:pPr>
        <w:ind w:left="80" w:right="60"/>
        <w:spacing w:after="0" w:line="244" w:lineRule="auto"/>
        <w:rPr>
          <w:sz w:val="20"/>
          <w:szCs w:val="20"/>
          <w:color w:val="auto"/>
        </w:rPr>
      </w:pPr>
      <w:r>
        <w:rPr>
          <w:rFonts w:ascii="Times New Roman" w:cs="Times New Roman" w:eastAsia="Times New Roman" w:hAnsi="Times New Roman"/>
          <w:sz w:val="22"/>
          <w:szCs w:val="22"/>
          <w:color w:val="auto"/>
        </w:rPr>
        <w:t>To the extent that, pursuant to this Policy, the Company is entitled to recover any Erroneously Awarded Compensation that is received by a Covered Person, the gross amount received (i.e., the amount the Covered Person received, or was entitled to receive, before any deductions for tax withholding or other payments) shall be returned by the Covered Person.</w:t>
      </w:r>
    </w:p>
    <w:p>
      <w:pPr>
        <w:spacing w:after="0" w:line="169" w:lineRule="exact"/>
        <w:rPr>
          <w:sz w:val="20"/>
          <w:szCs w:val="20"/>
          <w:color w:val="auto"/>
        </w:rPr>
      </w:pPr>
    </w:p>
    <w:p>
      <w:pPr>
        <w:ind w:left="820" w:hanging="752"/>
        <w:spacing w:after="0"/>
        <w:tabs>
          <w:tab w:leader="none" w:pos="820" w:val="left"/>
        </w:tabs>
        <w:numPr>
          <w:ilvl w:val="0"/>
          <w:numId w:val="14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Method of Compensation Recovery</w:t>
      </w:r>
    </w:p>
    <w:p>
      <w:pPr>
        <w:spacing w:after="0" w:line="210" w:lineRule="exact"/>
        <w:rPr>
          <w:sz w:val="20"/>
          <w:szCs w:val="20"/>
          <w:color w:val="auto"/>
        </w:rPr>
      </w:pPr>
    </w:p>
    <w:p>
      <w:pPr>
        <w:ind w:left="80" w:right="700"/>
        <w:spacing w:after="0" w:line="258" w:lineRule="auto"/>
        <w:rPr>
          <w:sz w:val="20"/>
          <w:szCs w:val="20"/>
          <w:color w:val="auto"/>
        </w:rPr>
      </w:pPr>
      <w:r>
        <w:rPr>
          <w:rFonts w:ascii="Times New Roman" w:cs="Times New Roman" w:eastAsia="Times New Roman" w:hAnsi="Times New Roman"/>
          <w:sz w:val="22"/>
          <w:szCs w:val="22"/>
          <w:color w:val="auto"/>
        </w:rPr>
        <w:t>The Committee shall determine, in its sole discretion, the method for recovering Erroneously Awarded Compensation hereunder, which may include, without limitation, any one or more of the following:</w:t>
      </w:r>
    </w:p>
    <w:p>
      <w:pPr>
        <w:spacing w:after="0" w:line="158" w:lineRule="exact"/>
        <w:rPr>
          <w:sz w:val="20"/>
          <w:szCs w:val="20"/>
          <w:color w:val="auto"/>
        </w:rPr>
      </w:pPr>
    </w:p>
    <w:p>
      <w:pPr>
        <w:ind w:left="1560" w:hanging="369"/>
        <w:spacing w:after="0"/>
        <w:tabs>
          <w:tab w:leader="none" w:pos="1560" w:val="left"/>
        </w:tabs>
        <w:numPr>
          <w:ilvl w:val="0"/>
          <w:numId w:val="1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requiring reimbursement of cash Incentive-Based Compensation previously paid;</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829945</wp:posOffset>
            </wp:positionV>
            <wp:extent cx="7157720" cy="42545"/>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6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380" w:top="1408" w:right="579" w:bottom="1440" w:gutter="0" w:footer="0" w:header="0"/>
        </w:sectPr>
      </w:pPr>
    </w:p>
    <w:bookmarkStart w:id="189" w:name="page190"/>
    <w:bookmarkEnd w:id="189"/>
    <w:p>
      <w:pPr>
        <w:ind w:left="1540" w:right="239" w:hanging="349"/>
        <w:spacing w:after="0" w:line="258" w:lineRule="auto"/>
        <w:tabs>
          <w:tab w:leader="none" w:pos="1540" w:val="left"/>
        </w:tabs>
        <w:numPr>
          <w:ilvl w:val="0"/>
          <w:numId w:val="1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seeking recovery of any gain realized on the vesting, exercise, settlement, sale, transfer, or other disposition of any equity-based awards;</w:t>
      </w:r>
    </w:p>
    <w:p>
      <w:pPr>
        <w:spacing w:after="0" w:line="158" w:lineRule="exact"/>
        <w:rPr>
          <w:rFonts w:ascii="Times New Roman" w:cs="Times New Roman" w:eastAsia="Times New Roman" w:hAnsi="Times New Roman"/>
          <w:sz w:val="22"/>
          <w:szCs w:val="22"/>
          <w:color w:val="auto"/>
        </w:rPr>
      </w:pPr>
    </w:p>
    <w:p>
      <w:pPr>
        <w:ind w:left="1560" w:hanging="369"/>
        <w:spacing w:after="0"/>
        <w:tabs>
          <w:tab w:leader="none" w:pos="1560" w:val="left"/>
        </w:tabs>
        <w:numPr>
          <w:ilvl w:val="0"/>
          <w:numId w:val="1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cancelling or rescinding some or all outstanding vested or unvested equity-based awards;</w:t>
      </w:r>
    </w:p>
    <w:p>
      <w:pPr>
        <w:spacing w:after="0" w:line="206" w:lineRule="exact"/>
        <w:rPr>
          <w:rFonts w:ascii="Times New Roman" w:cs="Times New Roman" w:eastAsia="Times New Roman" w:hAnsi="Times New Roman"/>
          <w:sz w:val="22"/>
          <w:szCs w:val="22"/>
          <w:color w:val="auto"/>
        </w:rPr>
      </w:pPr>
    </w:p>
    <w:p>
      <w:pPr>
        <w:ind w:left="1560" w:hanging="369"/>
        <w:spacing w:after="0"/>
        <w:tabs>
          <w:tab w:leader="none" w:pos="1560" w:val="left"/>
        </w:tabs>
        <w:numPr>
          <w:ilvl w:val="0"/>
          <w:numId w:val="1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adjusting or withholding from unpaid compensation or other offset;</w:t>
      </w:r>
    </w:p>
    <w:p>
      <w:pPr>
        <w:spacing w:after="0" w:line="206" w:lineRule="exact"/>
        <w:rPr>
          <w:rFonts w:ascii="Times New Roman" w:cs="Times New Roman" w:eastAsia="Times New Roman" w:hAnsi="Times New Roman"/>
          <w:sz w:val="22"/>
          <w:szCs w:val="22"/>
          <w:color w:val="auto"/>
        </w:rPr>
      </w:pPr>
    </w:p>
    <w:p>
      <w:pPr>
        <w:ind w:left="1540" w:hanging="349"/>
        <w:spacing w:after="0"/>
        <w:tabs>
          <w:tab w:leader="none" w:pos="1540" w:val="left"/>
        </w:tabs>
        <w:numPr>
          <w:ilvl w:val="0"/>
          <w:numId w:val="1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cancelling or offsetting against planned future grants of equity-based awards; and/or</w:t>
      </w:r>
    </w:p>
    <w:p>
      <w:pPr>
        <w:spacing w:after="0" w:line="206" w:lineRule="exact"/>
        <w:rPr>
          <w:rFonts w:ascii="Times New Roman" w:cs="Times New Roman" w:eastAsia="Times New Roman" w:hAnsi="Times New Roman"/>
          <w:sz w:val="22"/>
          <w:szCs w:val="22"/>
          <w:color w:val="auto"/>
        </w:rPr>
      </w:pPr>
    </w:p>
    <w:p>
      <w:pPr>
        <w:ind w:left="1560" w:hanging="369"/>
        <w:spacing w:after="0"/>
        <w:tabs>
          <w:tab w:leader="none" w:pos="1560" w:val="left"/>
        </w:tabs>
        <w:numPr>
          <w:ilvl w:val="0"/>
          <w:numId w:val="1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other method permitted by applicable law or contract.</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829945</wp:posOffset>
            </wp:positionV>
            <wp:extent cx="7157720" cy="42545"/>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6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79"/>
          </w:cols>
          <w:pgMar w:left="380" w:top="1408" w:right="1440" w:bottom="1440" w:gutter="0" w:footer="0" w:header="0"/>
        </w:sectPr>
      </w:pPr>
    </w:p>
    <w:bookmarkStart w:id="190" w:name="page191"/>
    <w:bookmarkEnd w:id="190"/>
    <w:p>
      <w:pPr>
        <w:spacing w:after="0" w:line="131" w:lineRule="exact"/>
        <w:rPr>
          <w:sz w:val="20"/>
          <w:szCs w:val="20"/>
          <w:color w:val="auto"/>
        </w:rPr>
      </w:pPr>
    </w:p>
    <w:p>
      <w:pPr>
        <w:ind w:left="80" w:right="440"/>
        <w:spacing w:after="0" w:line="239" w:lineRule="auto"/>
        <w:rPr>
          <w:sz w:val="20"/>
          <w:szCs w:val="20"/>
          <w:color w:val="auto"/>
        </w:rPr>
      </w:pPr>
      <w:r>
        <w:rPr>
          <w:rFonts w:ascii="Times New Roman" w:cs="Times New Roman" w:eastAsia="Times New Roman" w:hAnsi="Times New Roman"/>
          <w:sz w:val="22"/>
          <w:szCs w:val="22"/>
          <w:color w:val="auto"/>
        </w:rPr>
        <w:t>Notwithstanding the foregoing, a Covered Person will be deemed to have satisfied such person’s obligation to return Erroneously Awarded Compensation to the Company if such Erroneously Awarded Compensation is returned in the exact same form in which it was received; provided that equity withheld to satisfy tax obligations will be deemed to have been received in cash in an amount equal to the tax withholding payment made.</w:t>
      </w:r>
    </w:p>
    <w:p>
      <w:pPr>
        <w:spacing w:after="0" w:line="176" w:lineRule="exact"/>
        <w:rPr>
          <w:sz w:val="20"/>
          <w:szCs w:val="20"/>
          <w:color w:val="auto"/>
        </w:rPr>
      </w:pPr>
    </w:p>
    <w:p>
      <w:pPr>
        <w:ind w:left="820" w:hanging="752"/>
        <w:spacing w:after="0"/>
        <w:tabs>
          <w:tab w:leader="none" w:pos="820" w:val="left"/>
        </w:tabs>
        <w:numPr>
          <w:ilvl w:val="0"/>
          <w:numId w:val="15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Policy Interpretation</w:t>
      </w:r>
    </w:p>
    <w:p>
      <w:pPr>
        <w:spacing w:after="0" w:line="210" w:lineRule="exact"/>
        <w:rPr>
          <w:sz w:val="20"/>
          <w:szCs w:val="20"/>
          <w:color w:val="auto"/>
        </w:rPr>
      </w:pPr>
    </w:p>
    <w:p>
      <w:pPr>
        <w:ind w:left="80" w:right="140"/>
        <w:spacing w:after="0" w:line="236" w:lineRule="auto"/>
        <w:rPr>
          <w:sz w:val="20"/>
          <w:szCs w:val="20"/>
          <w:color w:val="auto"/>
        </w:rPr>
      </w:pPr>
      <w:r>
        <w:rPr>
          <w:rFonts w:ascii="Times New Roman" w:cs="Times New Roman" w:eastAsia="Times New Roman" w:hAnsi="Times New Roman"/>
          <w:sz w:val="22"/>
          <w:szCs w:val="22"/>
          <w:color w:val="auto"/>
        </w:rPr>
        <w:t>This Policy shall be interpreted in a manner that is consistent with the Applicable Rules and any other applicable law. The Committee shall take into consideration any applicable interpretations and guidance of the SEC in interpreting this Policy, including, for example, in determining whether a financial restatement qualifies as a Financial Restatement hereunder. To the extent the Applicable Rules require recovery of Incentive-Based Compensation in additional circumstances besides those specified above, nothing in this Policy shall be deemed to limit or restrict the right or obligation of the Company to recover Incentive-Based Compensation to the fullest extent required by the Applicable Rules.</w:t>
      </w:r>
    </w:p>
    <w:p>
      <w:pPr>
        <w:spacing w:after="0" w:line="177" w:lineRule="exact"/>
        <w:rPr>
          <w:sz w:val="20"/>
          <w:szCs w:val="20"/>
          <w:color w:val="auto"/>
        </w:rPr>
      </w:pPr>
    </w:p>
    <w:p>
      <w:pPr>
        <w:ind w:left="820" w:hanging="752"/>
        <w:spacing w:after="0"/>
        <w:tabs>
          <w:tab w:leader="none" w:pos="820" w:val="left"/>
        </w:tabs>
        <w:numPr>
          <w:ilvl w:val="0"/>
          <w:numId w:val="15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Policy Administration</w:t>
      </w:r>
    </w:p>
    <w:p>
      <w:pPr>
        <w:spacing w:after="0" w:line="210" w:lineRule="exact"/>
        <w:rPr>
          <w:sz w:val="20"/>
          <w:szCs w:val="20"/>
          <w:color w:val="auto"/>
        </w:rPr>
      </w:pPr>
    </w:p>
    <w:p>
      <w:pPr>
        <w:ind w:left="80"/>
        <w:spacing w:after="0" w:line="246" w:lineRule="auto"/>
        <w:rPr>
          <w:sz w:val="20"/>
          <w:szCs w:val="20"/>
          <w:color w:val="auto"/>
        </w:rPr>
      </w:pPr>
      <w:r>
        <w:rPr>
          <w:rFonts w:ascii="Times New Roman" w:cs="Times New Roman" w:eastAsia="Times New Roman" w:hAnsi="Times New Roman"/>
          <w:sz w:val="21"/>
          <w:szCs w:val="21"/>
          <w:color w:val="auto"/>
        </w:rPr>
        <w:t>This Policy shall be administered by the Committee; provided, however, that the Board shall have exclusive authority to authorize the Company to prepare a Financial Restatement. In doing so, the Board may rely on a recommendation of the Audit Committee of the Board. The Committee shall have such powers and authorities related to the administration of this Policy as are consistent with the governing documents of the Company and applicable law. The Committee shall have full power and authority to take, or direct the taking of, all actions and to make all determinations required or provided for under this Policy and shall have full power and authority to take, or direct the taking of, all such other actions and make all such other determinations not inconsistent with the specific terms and provisions of this Policy that the Committee deems to be necessary or appropriate to the administration of this Policy. The interpretation and construction by the Committee of any provision of this Policy and all determinations made by the Committee under this policy shall be final, binding, and conclusive.</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829945</wp:posOffset>
            </wp:positionV>
            <wp:extent cx="7157720" cy="42545"/>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6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80" w:top="1440" w:right="499" w:bottom="1440" w:gutter="0" w:footer="0" w:header="0"/>
        </w:sectPr>
      </w:pPr>
    </w:p>
    <w:bookmarkStart w:id="191" w:name="page192"/>
    <w:bookmarkEnd w:id="191"/>
    <w:p>
      <w:pPr>
        <w:ind w:left="820" w:hanging="752"/>
        <w:spacing w:after="0"/>
        <w:tabs>
          <w:tab w:leader="none" w:pos="820" w:val="left"/>
        </w:tabs>
        <w:numPr>
          <w:ilvl w:val="0"/>
          <w:numId w:val="15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Compensation Recovery Repayments not Subject to Indemnification</w:t>
      </w:r>
    </w:p>
    <w:p>
      <w:pPr>
        <w:spacing w:after="0" w:line="210" w:lineRule="exact"/>
        <w:rPr>
          <w:sz w:val="20"/>
          <w:szCs w:val="20"/>
          <w:color w:val="auto"/>
        </w:rPr>
      </w:pPr>
    </w:p>
    <w:p>
      <w:pPr>
        <w:jc w:val="both"/>
        <w:ind w:left="80"/>
        <w:spacing w:after="0" w:line="244" w:lineRule="auto"/>
        <w:rPr>
          <w:sz w:val="20"/>
          <w:szCs w:val="20"/>
          <w:color w:val="auto"/>
        </w:rPr>
      </w:pPr>
      <w:r>
        <w:rPr>
          <w:rFonts w:ascii="Times New Roman" w:cs="Times New Roman" w:eastAsia="Times New Roman" w:hAnsi="Times New Roman"/>
          <w:sz w:val="22"/>
          <w:szCs w:val="22"/>
          <w:color w:val="auto"/>
        </w:rPr>
        <w:t>Notwithstanding anything to the contrary set forth in any agreement with, or the organizational documents of, the Company or any of its subsidiaries, Covered Persons are not entitled to indemnification for Erroneously Awarded Compensation or for any losses arising out of or in any way related to Erroneously Awarded Compensation recovered under this Policy.</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829945</wp:posOffset>
            </wp:positionV>
            <wp:extent cx="7157720" cy="42545"/>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6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380" w:top="1404" w:right="519" w:bottom="1440" w:gutter="0" w:footer="0" w:header="0"/>
        </w:sectPr>
      </w:pPr>
    </w:p>
    <w:bookmarkStart w:id="192" w:name="page193"/>
    <w:bookmarkEnd w:id="19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1447B73"/>
    <w:multiLevelType w:val="hybridMultilevel"/>
    <w:lvl w:ilvl="0">
      <w:lvlJc w:val="left"/>
      <w:lvlText w:val="☒"/>
      <w:numFmt w:val="bullet"/>
      <w:start w:val="1"/>
    </w:lvl>
  </w:abstractNum>
  <w:abstractNum w:abstractNumId="1">
    <w:nsid w:val="42963E5A"/>
    <w:multiLevelType w:val="hybridMultilevel"/>
    <w:lvl w:ilvl="0">
      <w:lvlJc w:val="left"/>
      <w:lvlText w:val="☐"/>
      <w:numFmt w:val="bullet"/>
      <w:start w:val="1"/>
    </w:lvl>
  </w:abstractNum>
  <w:abstractNum w:abstractNumId="2">
    <w:nsid w:val="A0382C5"/>
    <w:multiLevelType w:val="hybridMultilevel"/>
    <w:lvl w:ilvl="0">
      <w:lvlJc w:val="left"/>
      <w:lvlText w:val="☒"/>
      <w:numFmt w:val="bullet"/>
      <w:start w:val="1"/>
    </w:lvl>
  </w:abstractNum>
  <w:abstractNum w:abstractNumId="3">
    <w:nsid w:val="8F2B15E"/>
    <w:multiLevelType w:val="hybridMultilevel"/>
    <w:lvl w:ilvl="0">
      <w:lvlJc w:val="left"/>
      <w:lvlText w:val="•"/>
      <w:numFmt w:val="bullet"/>
      <w:start w:val="1"/>
    </w:lvl>
  </w:abstractNum>
  <w:abstractNum w:abstractNumId="4">
    <w:nsid w:val="1A32234B"/>
    <w:multiLevelType w:val="hybridMultilevel"/>
    <w:lvl w:ilvl="0">
      <w:lvlJc w:val="left"/>
      <w:lvlText w:val="•"/>
      <w:numFmt w:val="bullet"/>
      <w:start w:val="1"/>
    </w:lvl>
  </w:abstractNum>
  <w:abstractNum w:abstractNumId="5">
    <w:nsid w:val="3B0FD379"/>
    <w:multiLevelType w:val="hybridMultilevel"/>
    <w:lvl w:ilvl="0">
      <w:lvlJc w:val="left"/>
      <w:lvlText w:val="•"/>
      <w:numFmt w:val="bullet"/>
      <w:start w:val="1"/>
    </w:lvl>
  </w:abstractNum>
  <w:abstractNum w:abstractNumId="6">
    <w:nsid w:val="68EB2F63"/>
    <w:multiLevelType w:val="hybridMultilevel"/>
    <w:lvl w:ilvl="0">
      <w:lvlJc w:val="left"/>
      <w:lvlText w:val="•"/>
      <w:numFmt w:val="bullet"/>
      <w:start w:val="1"/>
    </w:lvl>
  </w:abstractNum>
  <w:abstractNum w:abstractNumId="7">
    <w:nsid w:val="4962813B"/>
    <w:multiLevelType w:val="hybridMultilevel"/>
    <w:lvl w:ilvl="0">
      <w:lvlJc w:val="left"/>
      <w:lvlText w:val="•"/>
      <w:numFmt w:val="bullet"/>
      <w:start w:val="1"/>
    </w:lvl>
  </w:abstractNum>
  <w:abstractNum w:abstractNumId="8">
    <w:nsid w:val="60B6DF70"/>
    <w:multiLevelType w:val="hybridMultilevel"/>
    <w:lvl w:ilvl="0">
      <w:lvlJc w:val="left"/>
      <w:lvlText w:val="•"/>
      <w:numFmt w:val="bullet"/>
      <w:start w:val="1"/>
    </w:lvl>
  </w:abstractNum>
  <w:abstractNum w:abstractNumId="9">
    <w:nsid w:val="6A5EE64"/>
    <w:multiLevelType w:val="hybridMultilevel"/>
    <w:lvl w:ilvl="0">
      <w:lvlJc w:val="left"/>
      <w:lvlText w:val="•"/>
      <w:numFmt w:val="bullet"/>
      <w:start w:val="1"/>
    </w:lvl>
  </w:abstractNum>
  <w:abstractNum w:abstractNumId="10">
    <w:nsid w:val="14330624"/>
    <w:multiLevelType w:val="hybridMultilevel"/>
    <w:lvl w:ilvl="0">
      <w:lvlJc w:val="left"/>
      <w:lvlText w:val="•"/>
      <w:numFmt w:val="bullet"/>
      <w:start w:val="1"/>
    </w:lvl>
  </w:abstractNum>
  <w:abstractNum w:abstractNumId="11">
    <w:nsid w:val="7FFFCA11"/>
    <w:multiLevelType w:val="hybridMultilevel"/>
    <w:lvl w:ilvl="0">
      <w:lvlJc w:val="left"/>
      <w:lvlText w:val="•"/>
      <w:numFmt w:val="bullet"/>
      <w:start w:val="1"/>
    </w:lvl>
  </w:abstractNum>
  <w:abstractNum w:abstractNumId="12">
    <w:nsid w:val="1A27709E"/>
    <w:multiLevelType w:val="hybridMultilevel"/>
    <w:lvl w:ilvl="0">
      <w:lvlJc w:val="left"/>
      <w:lvlText w:val="•"/>
      <w:numFmt w:val="bullet"/>
      <w:start w:val="1"/>
    </w:lvl>
  </w:abstractNum>
  <w:abstractNum w:abstractNumId="13">
    <w:nsid w:val="71EA1109"/>
    <w:multiLevelType w:val="hybridMultilevel"/>
    <w:lvl w:ilvl="0">
      <w:lvlJc w:val="left"/>
      <w:lvlText w:val="•"/>
      <w:numFmt w:val="bullet"/>
      <w:start w:val="1"/>
    </w:lvl>
  </w:abstractNum>
  <w:abstractNum w:abstractNumId="14">
    <w:nsid w:val="100F59DC"/>
    <w:multiLevelType w:val="hybridMultilevel"/>
    <w:lvl w:ilvl="0">
      <w:lvlJc w:val="left"/>
      <w:lvlText w:val="•"/>
      <w:numFmt w:val="bullet"/>
      <w:start w:val="1"/>
    </w:lvl>
  </w:abstractNum>
  <w:abstractNum w:abstractNumId="15">
    <w:nsid w:val="7FB7E0AA"/>
    <w:multiLevelType w:val="hybridMultilevel"/>
    <w:lvl w:ilvl="0">
      <w:lvlJc w:val="left"/>
      <w:lvlText w:val="•"/>
      <w:numFmt w:val="bullet"/>
      <w:start w:val="1"/>
    </w:lvl>
  </w:abstractNum>
  <w:abstractNum w:abstractNumId="16">
    <w:nsid w:val="6EB5BD4"/>
    <w:multiLevelType w:val="hybridMultilevel"/>
    <w:lvl w:ilvl="0">
      <w:lvlJc w:val="left"/>
      <w:lvlText w:val="•"/>
      <w:numFmt w:val="bullet"/>
      <w:start w:val="1"/>
    </w:lvl>
  </w:abstractNum>
  <w:abstractNum w:abstractNumId="17">
    <w:nsid w:val="6F6DD9AC"/>
    <w:multiLevelType w:val="hybridMultilevel"/>
    <w:lvl w:ilvl="0">
      <w:lvlJc w:val="left"/>
      <w:lvlText w:val="•"/>
      <w:numFmt w:val="bullet"/>
      <w:start w:val="1"/>
    </w:lvl>
  </w:abstractNum>
  <w:abstractNum w:abstractNumId="18">
    <w:nsid w:val="94211F2"/>
    <w:multiLevelType w:val="hybridMultilevel"/>
    <w:lvl w:ilvl="0">
      <w:lvlJc w:val="left"/>
      <w:lvlText w:val="•"/>
      <w:numFmt w:val="bullet"/>
      <w:start w:val="1"/>
    </w:lvl>
  </w:abstractNum>
  <w:abstractNum w:abstractNumId="19">
    <w:nsid w:val="885E1B"/>
    <w:multiLevelType w:val="hybridMultilevel"/>
    <w:lvl w:ilvl="0">
      <w:lvlJc w:val="left"/>
      <w:lvlText w:val="•"/>
      <w:numFmt w:val="bullet"/>
      <w:start w:val="1"/>
    </w:lvl>
  </w:abstractNum>
  <w:abstractNum w:abstractNumId="20">
    <w:nsid w:val="76272110"/>
    <w:multiLevelType w:val="hybridMultilevel"/>
    <w:lvl w:ilvl="0">
      <w:lvlJc w:val="left"/>
      <w:lvlText w:val="&amp;"/>
      <w:numFmt w:val="bullet"/>
      <w:start w:val="1"/>
    </w:lvl>
  </w:abstractNum>
  <w:abstractNum w:abstractNumId="21">
    <w:nsid w:val="4C04A8AF"/>
    <w:multiLevelType w:val="hybridMultilevel"/>
    <w:lvl w:ilvl="0">
      <w:lvlJc w:val="left"/>
      <w:lvlText w:val="$"/>
      <w:numFmt w:val="bullet"/>
      <w:start w:val="1"/>
    </w:lvl>
  </w:abstractNum>
  <w:abstractNum w:abstractNumId="22">
    <w:nsid w:val="1716703B"/>
    <w:multiLevelType w:val="hybridMultilevel"/>
    <w:lvl w:ilvl="0">
      <w:lvlJc w:val="left"/>
      <w:lvlText w:val="$"/>
      <w:numFmt w:val="bullet"/>
      <w:start w:val="1"/>
    </w:lvl>
  </w:abstractNum>
  <w:abstractNum w:abstractNumId="23">
    <w:nsid w:val="14E17E33"/>
    <w:multiLevelType w:val="hybridMultilevel"/>
    <w:lvl w:ilvl="0">
      <w:lvlJc w:val="left"/>
      <w:lvlText w:val="$"/>
      <w:numFmt w:val="bullet"/>
      <w:start w:val="1"/>
    </w:lvl>
  </w:abstractNum>
  <w:abstractNum w:abstractNumId="24">
    <w:nsid w:val="3222E7CD"/>
    <w:multiLevelType w:val="hybridMultilevel"/>
    <w:lvl w:ilvl="0">
      <w:lvlJc w:val="left"/>
      <w:lvlText w:val="$"/>
      <w:numFmt w:val="bullet"/>
      <w:start w:val="1"/>
    </w:lvl>
  </w:abstractNum>
  <w:abstractNum w:abstractNumId="25">
    <w:nsid w:val="74DE0EE3"/>
    <w:multiLevelType w:val="hybridMultilevel"/>
    <w:lvl w:ilvl="0">
      <w:lvlJc w:val="left"/>
      <w:lvlText w:val="$"/>
      <w:numFmt w:val="bullet"/>
      <w:start w:val="1"/>
    </w:lvl>
  </w:abstractNum>
  <w:abstractNum w:abstractNumId="26">
    <w:nsid w:val="68EBC550"/>
    <w:multiLevelType w:val="hybridMultilevel"/>
    <w:lvl w:ilvl="0">
      <w:lvlJc w:val="left"/>
      <w:lvlText w:val="•"/>
      <w:numFmt w:val="bullet"/>
      <w:start w:val="1"/>
    </w:lvl>
  </w:abstractNum>
  <w:abstractNum w:abstractNumId="27">
    <w:nsid w:val="2DF6D648"/>
    <w:multiLevelType w:val="hybridMultilevel"/>
    <w:lvl w:ilvl="0">
      <w:lvlJc w:val="left"/>
      <w:lvlText w:val="%1."/>
      <w:numFmt w:val="decimal"/>
      <w:start w:val="8"/>
    </w:lvl>
  </w:abstractNum>
  <w:abstractNum w:abstractNumId="28">
    <w:nsid w:val="46B7D447"/>
    <w:multiLevelType w:val="hybridMultilevel"/>
    <w:lvl w:ilvl="0">
      <w:lvlJc w:val="left"/>
      <w:lvlText w:val="%1."/>
      <w:numFmt w:val="decimal"/>
      <w:start w:val="11"/>
    </w:lvl>
  </w:abstractNum>
  <w:abstractNum w:abstractNumId="29">
    <w:nsid w:val="4A2AC315"/>
    <w:multiLevelType w:val="hybridMultilevel"/>
    <w:lvl w:ilvl="0">
      <w:lvlJc w:val="left"/>
      <w:lvlText w:val="(%1)"/>
      <w:numFmt w:val="lowerLetter"/>
      <w:start w:val="1"/>
    </w:lvl>
  </w:abstractNum>
  <w:abstractNum w:abstractNumId="30">
    <w:nsid w:val="39EE015C"/>
    <w:multiLevelType w:val="hybridMultilevel"/>
    <w:lvl w:ilvl="0">
      <w:lvlJc w:val="left"/>
      <w:lvlText w:val="(%1)"/>
      <w:numFmt w:val="lowerLetter"/>
      <w:start w:val="2"/>
    </w:lvl>
  </w:abstractNum>
  <w:abstractNum w:abstractNumId="31">
    <w:nsid w:val="57FC4FBB"/>
    <w:multiLevelType w:val="hybridMultilevel"/>
    <w:lvl w:ilvl="0">
      <w:lvlJc w:val="left"/>
      <w:lvlText w:val="•"/>
      <w:numFmt w:val="bullet"/>
      <w:start w:val="1"/>
    </w:lvl>
  </w:abstractNum>
  <w:abstractNum w:abstractNumId="32">
    <w:nsid w:val="CC1016F"/>
    <w:multiLevelType w:val="hybridMultilevel"/>
    <w:lvl w:ilvl="0">
      <w:lvlJc w:val="left"/>
      <w:lvlText w:val="%1."/>
      <w:numFmt w:val="decimal"/>
      <w:start w:val="1"/>
    </w:lvl>
    <w:lvl w:ilvl="1">
      <w:lvlJc w:val="left"/>
      <w:lvlText w:val="•"/>
      <w:numFmt w:val="bullet"/>
      <w:start w:val="1"/>
    </w:lvl>
  </w:abstractNum>
  <w:abstractNum w:abstractNumId="33">
    <w:nsid w:val="43F18422"/>
    <w:multiLevelType w:val="hybridMultilevel"/>
    <w:lvl w:ilvl="0">
      <w:lvlJc w:val="left"/>
      <w:lvlText w:val="%1."/>
      <w:numFmt w:val="decimal"/>
      <w:start w:val="3"/>
    </w:lvl>
  </w:abstractNum>
  <w:abstractNum w:abstractNumId="34">
    <w:nsid w:val="60EF0119"/>
    <w:multiLevelType w:val="hybridMultilevel"/>
    <w:lvl w:ilvl="0">
      <w:lvlJc w:val="left"/>
      <w:lvlText w:val="#"/>
      <w:numFmt w:val="bullet"/>
      <w:start w:val="1"/>
    </w:lvl>
    <w:lvl w:ilvl="1">
      <w:lvlJc w:val="left"/>
      <w:lvlText w:val="%2"/>
      <w:numFmt w:val="decimal"/>
      <w:start w:val="104"/>
    </w:lvl>
  </w:abstractNum>
  <w:abstractNum w:abstractNumId="35">
    <w:nsid w:val="26F324BA"/>
    <w:multiLevelType w:val="hybridMultilevel"/>
    <w:lvl w:ilvl="0">
      <w:lvlJc w:val="left"/>
      <w:lvlText w:val="Ÿ"/>
      <w:numFmt w:val="bullet"/>
      <w:start w:val="1"/>
    </w:lvl>
    <w:lvl w:ilvl="1">
      <w:lvlJc w:val="left"/>
      <w:lvlText w:val="(%2)"/>
      <w:numFmt w:val="decimal"/>
      <w:start w:val="1"/>
    </w:lvl>
  </w:abstractNum>
  <w:abstractNum w:abstractNumId="36">
    <w:nsid w:val="7F01579B"/>
    <w:multiLevelType w:val="hybridMultilevel"/>
    <w:lvl w:ilvl="0">
      <w:lvlJc w:val="left"/>
      <w:lvlText w:val="%1."/>
      <w:numFmt w:val="decimal"/>
      <w:start w:val="1"/>
    </w:lvl>
  </w:abstractNum>
  <w:abstractNum w:abstractNumId="37">
    <w:nsid w:val="49DA307D"/>
    <w:multiLevelType w:val="hybridMultilevel"/>
    <w:lvl w:ilvl="0">
      <w:lvlJc w:val="left"/>
      <w:lvlText w:val="%1."/>
      <w:numFmt w:val="decimal"/>
      <w:start w:val="2"/>
    </w:lvl>
    <w:lvl w:ilvl="1">
      <w:lvlJc w:val="left"/>
      <w:lvlText w:val="%2."/>
      <w:numFmt w:val="lowerLetter"/>
      <w:start w:val="1"/>
    </w:lvl>
  </w:abstractNum>
  <w:abstractNum w:abstractNumId="38">
    <w:nsid w:val="7055A5F5"/>
    <w:multiLevelType w:val="hybridMultilevel"/>
    <w:lvl w:ilvl="0">
      <w:lvlJc w:val="left"/>
      <w:lvlText w:val="%1."/>
      <w:numFmt w:val="lowerLetter"/>
      <w:start w:val="3"/>
    </w:lvl>
  </w:abstractNum>
  <w:abstractNum w:abstractNumId="39">
    <w:nsid w:val="5FB8370B"/>
    <w:multiLevelType w:val="hybridMultilevel"/>
    <w:lvl w:ilvl="0">
      <w:lvlJc w:val="left"/>
      <w:lvlText w:val="%1"/>
      <w:numFmt w:val="lowerRoman"/>
      <w:start w:val="1"/>
    </w:lvl>
    <w:lvl w:ilvl="1">
      <w:lvlJc w:val="left"/>
      <w:lvlText w:val="%2."/>
      <w:numFmt w:val="lowerLetter"/>
      <w:start w:val="5"/>
    </w:lvl>
  </w:abstractNum>
  <w:abstractNum w:abstractNumId="40">
    <w:nsid w:val="50801EE1"/>
    <w:multiLevelType w:val="hybridMultilevel"/>
    <w:lvl w:ilvl="0">
      <w:lvlJc w:val="left"/>
      <w:lvlText w:val="(%1)"/>
      <w:numFmt w:val="lowerRoman"/>
      <w:start w:val="4"/>
    </w:lvl>
    <w:lvl w:ilvl="1">
      <w:lvlJc w:val="left"/>
      <w:lvlText w:val="%2"/>
      <w:numFmt w:val="lowerLetter"/>
      <w:start w:val="1"/>
    </w:lvl>
  </w:abstractNum>
  <w:abstractNum w:abstractNumId="41">
    <w:nsid w:val="488AC1A"/>
    <w:multiLevelType w:val="hybridMultilevel"/>
    <w:lvl w:ilvl="0">
      <w:lvlJc w:val="left"/>
      <w:lvlText w:val="%1."/>
      <w:numFmt w:val="decimal"/>
      <w:start w:val="3"/>
    </w:lvl>
    <w:lvl w:ilvl="1">
      <w:lvlJc w:val="left"/>
      <w:lvlText w:val="%2"/>
      <w:numFmt w:val="lowerLetter"/>
      <w:start w:val="1"/>
    </w:lvl>
  </w:abstractNum>
  <w:abstractNum w:abstractNumId="42">
    <w:nsid w:val="5FB8011C"/>
    <w:multiLevelType w:val="hybridMultilevel"/>
    <w:lvl w:ilvl="0">
      <w:lvlJc w:val="left"/>
      <w:lvlText w:val="%1."/>
      <w:numFmt w:val="lowerLetter"/>
      <w:start w:val="2"/>
    </w:lvl>
  </w:abstractNum>
  <w:abstractNum w:abstractNumId="43">
    <w:nsid w:val="6AA78F7F"/>
    <w:multiLevelType w:val="hybridMultilevel"/>
    <w:lvl w:ilvl="0">
      <w:lvlJc w:val="left"/>
      <w:lvlText w:val="%1"/>
      <w:numFmt w:val="decimal"/>
      <w:start w:val="1"/>
    </w:lvl>
    <w:lvl w:ilvl="1">
      <w:lvlJc w:val="left"/>
      <w:lvlText w:val="%2."/>
      <w:numFmt w:val="lowerLetter"/>
      <w:start w:val="5"/>
    </w:lvl>
  </w:abstractNum>
  <w:abstractNum w:abstractNumId="44">
    <w:nsid w:val="7672BD23"/>
    <w:multiLevelType w:val="hybridMultilevel"/>
    <w:lvl w:ilvl="0">
      <w:lvlJc w:val="left"/>
      <w:lvlText w:val="%1."/>
      <w:numFmt w:val="decimal"/>
      <w:start w:val="4"/>
    </w:lvl>
    <w:lvl w:ilvl="1">
      <w:lvlJc w:val="left"/>
      <w:lvlText w:val="%2"/>
      <w:numFmt w:val="lowerLetter"/>
      <w:start w:val="1"/>
    </w:lvl>
  </w:abstractNum>
  <w:abstractNum w:abstractNumId="45">
    <w:nsid w:val="6FC75AF8"/>
    <w:multiLevelType w:val="hybridMultilevel"/>
    <w:lvl w:ilvl="0">
      <w:lvlJc w:val="left"/>
      <w:lvlText w:val="%1."/>
      <w:numFmt w:val="decimal"/>
      <w:start w:val="5"/>
    </w:lvl>
    <w:lvl w:ilvl="1">
      <w:lvlJc w:val="left"/>
      <w:lvlText w:val="%2"/>
      <w:numFmt w:val="lowerLetter"/>
      <w:start w:val="1"/>
    </w:lvl>
  </w:abstractNum>
  <w:abstractNum w:abstractNumId="46">
    <w:nsid w:val="6A5F7029"/>
    <w:multiLevelType w:val="hybridMultilevel"/>
    <w:lvl w:ilvl="0">
      <w:lvlJc w:val="left"/>
      <w:lvlText w:val="%1."/>
      <w:numFmt w:val="lowerLetter"/>
      <w:start w:val="2"/>
    </w:lvl>
  </w:abstractNum>
  <w:abstractNum w:abstractNumId="47">
    <w:nsid w:val="7D5E18F8"/>
    <w:multiLevelType w:val="hybridMultilevel"/>
    <w:lvl w:ilvl="0">
      <w:lvlJc w:val="left"/>
      <w:lvlText w:val="%1"/>
      <w:numFmt w:val="decimal"/>
      <w:start w:val="1"/>
    </w:lvl>
    <w:lvl w:ilvl="1">
      <w:lvlJc w:val="left"/>
      <w:lvlText w:val="%2."/>
      <w:numFmt w:val="lowerLetter"/>
      <w:start w:val="6"/>
    </w:lvl>
  </w:abstractNum>
  <w:abstractNum w:abstractNumId="48">
    <w:nsid w:val="5F3534A4"/>
    <w:multiLevelType w:val="hybridMultilevel"/>
    <w:lvl w:ilvl="0">
      <w:lvlJc w:val="left"/>
      <w:lvlText w:val="%1."/>
      <w:numFmt w:val="decimal"/>
      <w:start w:val="6"/>
    </w:lvl>
    <w:lvl w:ilvl="1">
      <w:lvlJc w:val="left"/>
      <w:lvlText w:val="%2."/>
      <w:numFmt w:val="lowerLetter"/>
      <w:start w:val="1"/>
    </w:lvl>
  </w:abstractNum>
  <w:abstractNum w:abstractNumId="49">
    <w:nsid w:val="73A1821B"/>
    <w:multiLevelType w:val="hybridMultilevel"/>
    <w:lvl w:ilvl="0">
      <w:lvlJc w:val="left"/>
      <w:lvlText w:val="%1"/>
      <w:numFmt w:val="decimal"/>
      <w:start w:val="100"/>
    </w:lvl>
    <w:lvl w:ilvl="1">
      <w:lvlJc w:val="left"/>
      <w:lvlText w:val="%2."/>
      <w:numFmt w:val="lowerLetter"/>
      <w:start w:val="3"/>
    </w:lvl>
  </w:abstractNum>
  <w:abstractNum w:abstractNumId="50">
    <w:nsid w:val="7DE67713"/>
    <w:multiLevelType w:val="hybridMultilevel"/>
    <w:lvl w:ilvl="0">
      <w:lvlJc w:val="left"/>
      <w:lvlText w:val="%1."/>
      <w:numFmt w:val="decimal"/>
      <w:start w:val="7"/>
    </w:lvl>
    <w:lvl w:ilvl="1">
      <w:lvlJc w:val="left"/>
      <w:lvlText w:val="%2."/>
      <w:numFmt w:val="lowerLetter"/>
      <w:start w:val="1"/>
    </w:lvl>
  </w:abstractNum>
  <w:abstractNum w:abstractNumId="51">
    <w:nsid w:val="555C55B5"/>
    <w:multiLevelType w:val="hybridMultilevel"/>
    <w:lvl w:ilvl="0">
      <w:lvlJc w:val="left"/>
      <w:lvlText w:val="%1"/>
      <w:numFmt w:val="lowerRoman"/>
      <w:start w:val="1"/>
    </w:lvl>
    <w:lvl w:ilvl="1">
      <w:lvlJc w:val="left"/>
      <w:lvlText w:val="%2."/>
      <w:numFmt w:val="lowerLetter"/>
      <w:start w:val="2"/>
    </w:lvl>
  </w:abstractNum>
  <w:abstractNum w:abstractNumId="52">
    <w:nsid w:val="3FA62ACA"/>
    <w:multiLevelType w:val="hybridMultilevel"/>
    <w:lvl w:ilvl="0">
      <w:lvlJc w:val="left"/>
      <w:lvlText w:val="(%1)"/>
      <w:numFmt w:val="lowerRoman"/>
      <w:start w:val="2"/>
    </w:lvl>
    <w:lvl w:ilvl="1">
      <w:lvlJc w:val="left"/>
      <w:lvlText w:val="%2."/>
      <w:numFmt w:val="lowerLetter"/>
      <w:start w:val="3"/>
    </w:lvl>
  </w:abstractNum>
  <w:abstractNum w:abstractNumId="53">
    <w:nsid w:val="14FCE74E"/>
    <w:multiLevelType w:val="hybridMultilevel"/>
    <w:lvl w:ilvl="0">
      <w:lvlJc w:val="left"/>
      <w:lvlText w:val="%1."/>
      <w:numFmt w:val="decimal"/>
      <w:start w:val="8"/>
    </w:lvl>
    <w:lvl w:ilvl="1">
      <w:lvlJc w:val="left"/>
      <w:lvlText w:val="%2."/>
      <w:numFmt w:val="lowerLetter"/>
      <w:start w:val="1"/>
    </w:lvl>
  </w:abstractNum>
  <w:abstractNum w:abstractNumId="54">
    <w:nsid w:val="6A3DD3E8"/>
    <w:multiLevelType w:val="hybridMultilevel"/>
    <w:lvl w:ilvl="0">
      <w:lvlJc w:val="left"/>
      <w:lvlText w:val="%1."/>
      <w:numFmt w:val="decimal"/>
      <w:start w:val="9"/>
    </w:lvl>
  </w:abstractNum>
  <w:abstractNum w:abstractNumId="55">
    <w:nsid w:val="71C91298"/>
    <w:multiLevelType w:val="hybridMultilevel"/>
    <w:lvl w:ilvl="0">
      <w:lvlJc w:val="left"/>
      <w:lvlText w:val="%1."/>
      <w:numFmt w:val="decimal"/>
      <w:start w:val="10"/>
    </w:lvl>
  </w:abstractNum>
  <w:abstractNum w:abstractNumId="56">
    <w:nsid w:val="9DAF632"/>
    <w:multiLevelType w:val="hybridMultilevel"/>
    <w:lvl w:ilvl="0">
      <w:lvlJc w:val="left"/>
      <w:lvlText w:val="%1."/>
      <w:numFmt w:val="decimal"/>
      <w:start w:val="11"/>
    </w:lvl>
    <w:lvl w:ilvl="1">
      <w:lvlJc w:val="left"/>
      <w:lvlText w:val="%2."/>
      <w:numFmt w:val="lowerLetter"/>
      <w:start w:val="1"/>
    </w:lvl>
  </w:abstractNum>
  <w:abstractNum w:abstractNumId="57">
    <w:nsid w:val="53299938"/>
    <w:multiLevelType w:val="hybridMultilevel"/>
    <w:lvl w:ilvl="0">
      <w:lvlJc w:val="left"/>
      <w:lvlText w:val="%1."/>
      <w:numFmt w:val="decimal"/>
      <w:start w:val="12"/>
    </w:lvl>
    <w:lvl w:ilvl="1">
      <w:lvlJc w:val="left"/>
      <w:lvlText w:val="%2."/>
      <w:numFmt w:val="lowerLetter"/>
      <w:start w:val="1"/>
    </w:lvl>
  </w:abstractNum>
  <w:abstractNum w:abstractNumId="58">
    <w:nsid w:val="1FBFE8E0"/>
    <w:multiLevelType w:val="hybridMultilevel"/>
    <w:lvl w:ilvl="0">
      <w:lvlJc w:val="left"/>
      <w:lvlText w:val="%1"/>
      <w:numFmt w:val="decimal"/>
      <w:start w:val="1"/>
    </w:lvl>
    <w:lvl w:ilvl="1">
      <w:lvlJc w:val="left"/>
      <w:lvlText w:val="%2."/>
      <w:numFmt w:val="lowerLetter"/>
      <w:start w:val="2"/>
    </w:lvl>
  </w:abstractNum>
  <w:abstractNum w:abstractNumId="59">
    <w:nsid w:val="5092CA79"/>
    <w:multiLevelType w:val="hybridMultilevel"/>
    <w:lvl w:ilvl="0">
      <w:lvlJc w:val="left"/>
      <w:lvlText w:val="%1."/>
      <w:numFmt w:val="decimal"/>
      <w:start w:val="14"/>
    </w:lvl>
    <w:lvl w:ilvl="1">
      <w:lvlJc w:val="left"/>
      <w:lvlText w:val="%2."/>
      <w:numFmt w:val="lowerLetter"/>
      <w:start w:val="1"/>
    </w:lvl>
  </w:abstractNum>
  <w:abstractNum w:abstractNumId="60">
    <w:nsid w:val="1D545C4D"/>
    <w:multiLevelType w:val="hybridMultilevel"/>
    <w:lvl w:ilvl="0">
      <w:lvlJc w:val="left"/>
      <w:lvlText w:val="%1"/>
      <w:numFmt w:val="decimal"/>
      <w:start w:val="1"/>
    </w:lvl>
    <w:lvl w:ilvl="1">
      <w:lvlJc w:val="left"/>
      <w:lvlText w:val="%2."/>
      <w:numFmt w:val="lowerLetter"/>
      <w:start w:val="4"/>
    </w:lvl>
  </w:abstractNum>
  <w:abstractNum w:abstractNumId="61">
    <w:nsid w:val="59ADEA3D"/>
    <w:multiLevelType w:val="hybridMultilevel"/>
    <w:lvl w:ilvl="0">
      <w:lvlJc w:val="left"/>
      <w:lvlText w:val="%1."/>
      <w:numFmt w:val="decimal"/>
      <w:start w:val="15"/>
    </w:lvl>
    <w:lvl w:ilvl="1">
      <w:lvlJc w:val="left"/>
      <w:lvlText w:val="%2."/>
      <w:numFmt w:val="lowerLetter"/>
      <w:start w:val="1"/>
    </w:lvl>
  </w:abstractNum>
  <w:abstractNum w:abstractNumId="62">
    <w:nsid w:val="288F1A34"/>
    <w:multiLevelType w:val="hybridMultilevel"/>
    <w:lvl w:ilvl="0">
      <w:lvlJc w:val="left"/>
      <w:lvlText w:val="%1."/>
      <w:numFmt w:val="decimal"/>
      <w:start w:val="17"/>
    </w:lvl>
    <w:lvl w:ilvl="1">
      <w:lvlJc w:val="left"/>
      <w:lvlText w:val="%2"/>
      <w:numFmt w:val="lowerLetter"/>
      <w:start w:val="1"/>
    </w:lvl>
  </w:abstractNum>
  <w:abstractNum w:abstractNumId="63">
    <w:nsid w:val="2A155DBC"/>
    <w:multiLevelType w:val="hybridMultilevel"/>
    <w:lvl w:ilvl="0">
      <w:lvlJc w:val="left"/>
      <w:lvlText w:val="%1."/>
      <w:numFmt w:val="lowerLetter"/>
      <w:start w:val="2"/>
    </w:lvl>
  </w:abstractNum>
  <w:abstractNum w:abstractNumId="64">
    <w:nsid w:val="1D9F6E5F"/>
    <w:multiLevelType w:val="hybridMultilevel"/>
    <w:lvl w:ilvl="0">
      <w:lvlJc w:val="left"/>
      <w:lvlText w:val="%1."/>
      <w:numFmt w:val="decimal"/>
      <w:start w:val="18"/>
    </w:lvl>
  </w:abstractNum>
  <w:abstractNum w:abstractNumId="65">
    <w:nsid w:val="97E1B4E"/>
    <w:multiLevelType w:val="hybridMultilevel"/>
    <w:lvl w:ilvl="0">
      <w:lvlJc w:val="left"/>
      <w:lvlText w:val="%1."/>
      <w:numFmt w:val="decimal"/>
      <w:start w:val="19"/>
    </w:lvl>
  </w:abstractNum>
  <w:abstractNum w:abstractNumId="66">
    <w:nsid w:val="51088277"/>
    <w:multiLevelType w:val="hybridMultilevel"/>
    <w:lvl w:ilvl="0">
      <w:lvlJc w:val="left"/>
      <w:lvlText w:val="%1."/>
      <w:numFmt w:val="decimal"/>
      <w:start w:val="20"/>
    </w:lvl>
    <w:lvl w:ilvl="1">
      <w:lvlJc w:val="left"/>
      <w:lvlText w:val="%2."/>
      <w:numFmt w:val="lowerLetter"/>
      <w:start w:val="1"/>
    </w:lvl>
  </w:abstractNum>
  <w:abstractNum w:abstractNumId="67">
    <w:nsid w:val="1CA0C5FA"/>
    <w:multiLevelType w:val="hybridMultilevel"/>
    <w:lvl w:ilvl="0">
      <w:lvlJc w:val="left"/>
      <w:lvlText w:val="%1."/>
      <w:numFmt w:val="lowerLetter"/>
      <w:start w:val="5"/>
    </w:lvl>
  </w:abstractNum>
  <w:abstractNum w:abstractNumId="68">
    <w:nsid w:val="53584BCB"/>
    <w:multiLevelType w:val="hybridMultilevel"/>
    <w:lvl w:ilvl="0">
      <w:lvlJc w:val="left"/>
      <w:lvlText w:val="%1."/>
      <w:numFmt w:val="decimal"/>
      <w:start w:val="21"/>
    </w:lvl>
  </w:abstractNum>
  <w:abstractNum w:abstractNumId="69">
    <w:nsid w:val="415E286C"/>
    <w:multiLevelType w:val="hybridMultilevel"/>
    <w:lvl w:ilvl="0">
      <w:lvlJc w:val="left"/>
      <w:lvlText w:val="%1."/>
      <w:numFmt w:val="decimal"/>
      <w:start w:val="22"/>
    </w:lvl>
  </w:abstractNum>
  <w:abstractNum w:abstractNumId="70">
    <w:nsid w:val="7C58FD05"/>
    <w:multiLevelType w:val="hybridMultilevel"/>
    <w:lvl w:ilvl="0">
      <w:lvlJc w:val="left"/>
      <w:lvlText w:val="%1."/>
      <w:numFmt w:val="decimal"/>
      <w:start w:val="1"/>
    </w:lvl>
  </w:abstractNum>
  <w:abstractNum w:abstractNumId="71">
    <w:nsid w:val="23D86AAC"/>
    <w:multiLevelType w:val="hybridMultilevel"/>
    <w:lvl w:ilvl="0">
      <w:lvlJc w:val="left"/>
      <w:lvlText w:val="%1."/>
      <w:numFmt w:val="decimal"/>
      <w:start w:val="2"/>
    </w:lvl>
  </w:abstractNum>
  <w:abstractNum w:abstractNumId="72">
    <w:nsid w:val="45E6D486"/>
    <w:multiLevelType w:val="hybridMultilevel"/>
    <w:lvl w:ilvl="0">
      <w:lvlJc w:val="left"/>
      <w:lvlText w:val="%1."/>
      <w:numFmt w:val="decimal"/>
      <w:start w:val="1"/>
    </w:lvl>
  </w:abstractNum>
  <w:abstractNum w:abstractNumId="73">
    <w:nsid w:val="5C10FE21"/>
    <w:multiLevelType w:val="hybridMultilevel"/>
    <w:lvl w:ilvl="0">
      <w:lvlJc w:val="left"/>
      <w:lvlText w:val="(%1)"/>
      <w:numFmt w:val="lowerRoman"/>
      <w:start w:val="2"/>
    </w:lvl>
  </w:abstractNum>
  <w:abstractNum w:abstractNumId="74">
    <w:nsid w:val="E7FFA2B"/>
    <w:multiLevelType w:val="hybridMultilevel"/>
    <w:lvl w:ilvl="0">
      <w:lvlJc w:val="left"/>
      <w:lvlText w:val="%1."/>
      <w:numFmt w:val="decimal"/>
      <w:start w:val="2"/>
    </w:lvl>
    <w:lvl w:ilvl="1">
      <w:lvlJc w:val="left"/>
      <w:lvlText w:val="(%2)"/>
      <w:numFmt w:val="lowerLetter"/>
      <w:start w:val="1"/>
    </w:lvl>
  </w:abstractNum>
  <w:abstractNum w:abstractNumId="75">
    <w:nsid w:val="3C5991AA"/>
    <w:multiLevelType w:val="hybridMultilevel"/>
    <w:lvl w:ilvl="0">
      <w:lvlJc w:val="left"/>
      <w:lvlText w:val="(%1)"/>
      <w:numFmt w:val="lowerRoman"/>
      <w:start w:val="2"/>
    </w:lvl>
    <w:lvl w:ilvl="1">
      <w:lvlJc w:val="left"/>
      <w:lvlText w:val="%2."/>
      <w:numFmt w:val="decimal"/>
      <w:start w:val="2"/>
    </w:lvl>
    <w:lvl w:ilvl="2">
      <w:lvlJc w:val="left"/>
      <w:lvlText w:val="(%3)"/>
      <w:numFmt w:val="lowerLetter"/>
      <w:start w:val="2"/>
    </w:lvl>
  </w:abstractNum>
  <w:abstractNum w:abstractNumId="76">
    <w:nsid w:val="4BD8591A"/>
    <w:multiLevelType w:val="hybridMultilevel"/>
    <w:lvl w:ilvl="0">
      <w:lvlJc w:val="left"/>
      <w:lvlText w:val="(%1)"/>
      <w:numFmt w:val="lowerLetter"/>
      <w:start w:val="1"/>
    </w:lvl>
  </w:abstractNum>
  <w:abstractNum w:abstractNumId="77">
    <w:nsid w:val="78DF6A55"/>
    <w:multiLevelType w:val="hybridMultilevel"/>
    <w:lvl w:ilvl="0">
      <w:lvlJc w:val="left"/>
      <w:lvlText w:val="%1."/>
      <w:numFmt w:val="decimal"/>
      <w:start w:val="4"/>
    </w:lvl>
  </w:abstractNum>
  <w:abstractNum w:abstractNumId="78">
    <w:nsid w:val="39B7AAA2"/>
    <w:multiLevelType w:val="hybridMultilevel"/>
    <w:lvl w:ilvl="0">
      <w:lvlJc w:val="left"/>
      <w:lvlText w:val="%1."/>
      <w:numFmt w:val="decimal"/>
      <w:start w:val="7"/>
    </w:lvl>
    <w:lvl w:ilvl="1">
      <w:lvlJc w:val="left"/>
      <w:lvlText w:val="(%2)"/>
      <w:numFmt w:val="lowerLetter"/>
      <w:start w:val="1"/>
    </w:lvl>
  </w:abstractNum>
  <w:abstractNum w:abstractNumId="79">
    <w:nsid w:val="2B0D8DBE"/>
    <w:multiLevelType w:val="hybridMultilevel"/>
    <w:lvl w:ilvl="0">
      <w:lvlJc w:val="left"/>
      <w:lvlText w:val="%1"/>
      <w:numFmt w:val="decimal"/>
      <w:start w:val="1"/>
    </w:lvl>
    <w:lvl w:ilvl="1">
      <w:lvlJc w:val="left"/>
      <w:lvlText w:val="(%2)"/>
      <w:numFmt w:val="lowerLetter"/>
      <w:start w:val="3"/>
    </w:lvl>
  </w:abstractNum>
  <w:abstractNum w:abstractNumId="80">
    <w:nsid w:val="6C80EC70"/>
    <w:multiLevelType w:val="hybridMultilevel"/>
    <w:lvl w:ilvl="0">
      <w:lvlJc w:val="left"/>
      <w:lvlText w:val="%1."/>
      <w:numFmt w:val="decimal"/>
      <w:start w:val="8"/>
    </w:lvl>
    <w:lvl w:ilvl="1">
      <w:lvlJc w:val="left"/>
      <w:lvlText w:val="(%2)"/>
      <w:numFmt w:val="lowerLetter"/>
      <w:start w:val="1"/>
    </w:lvl>
  </w:abstractNum>
  <w:abstractNum w:abstractNumId="81">
    <w:nsid w:val="379E21B5"/>
    <w:multiLevelType w:val="hybridMultilevel"/>
    <w:lvl w:ilvl="0">
      <w:lvlJc w:val="left"/>
      <w:lvlText w:val="%1"/>
      <w:numFmt w:val="decimal"/>
      <w:start w:val="1"/>
    </w:lvl>
    <w:lvl w:ilvl="1">
      <w:lvlJc w:val="left"/>
      <w:lvlText w:val="(%2)"/>
      <w:numFmt w:val="lowerLetter"/>
      <w:start w:val="6"/>
    </w:lvl>
    <w:lvl w:ilvl="2">
      <w:lvlJc w:val="left"/>
      <w:lvlText w:val="(%3)"/>
      <w:numFmt w:val="lowerRoman"/>
      <w:start w:val="1"/>
    </w:lvl>
  </w:abstractNum>
  <w:abstractNum w:abstractNumId="82">
    <w:nsid w:val="69E373"/>
    <w:multiLevelType w:val="hybridMultilevel"/>
    <w:lvl w:ilvl="0">
      <w:lvlJc w:val="left"/>
      <w:lvlText w:val="%1."/>
      <w:numFmt w:val="decimal"/>
      <w:start w:val="11"/>
    </w:lvl>
    <w:lvl w:ilvl="1">
      <w:lvlJc w:val="left"/>
      <w:lvlText w:val="%2"/>
      <w:numFmt w:val="lowerLetter"/>
      <w:start w:val="1"/>
    </w:lvl>
    <w:lvl w:ilvl="2">
      <w:lvlJc w:val="left"/>
      <w:lvlText w:val="%3"/>
      <w:numFmt w:val="lowerRoman"/>
      <w:start w:val="1"/>
    </w:lvl>
  </w:abstractNum>
  <w:abstractNum w:abstractNumId="83">
    <w:nsid w:val="2C27173B"/>
    <w:multiLevelType w:val="hybridMultilevel"/>
    <w:lvl w:ilvl="0">
      <w:lvlJc w:val="left"/>
      <w:lvlText w:val="%1."/>
      <w:numFmt w:val="decimal"/>
      <w:start w:val="12"/>
    </w:lvl>
  </w:abstractNum>
  <w:abstractNum w:abstractNumId="84">
    <w:nsid w:val="4C9B0904"/>
    <w:multiLevelType w:val="hybridMultilevel"/>
    <w:lvl w:ilvl="0">
      <w:lvlJc w:val="left"/>
      <w:lvlText w:val="%1."/>
      <w:numFmt w:val="decimal"/>
      <w:start w:val="20"/>
    </w:lvl>
  </w:abstractNum>
  <w:abstractNum w:abstractNumId="85">
    <w:nsid w:val="6AA7B75C"/>
    <w:multiLevelType w:val="hybridMultilevel"/>
    <w:lvl w:ilvl="0">
      <w:lvlJc w:val="left"/>
      <w:lvlText w:val="%1."/>
      <w:numFmt w:val="decimal"/>
      <w:start w:val="23"/>
    </w:lvl>
  </w:abstractNum>
  <w:abstractNum w:abstractNumId="86">
    <w:nsid w:val="1DF029D3"/>
    <w:multiLevelType w:val="hybridMultilevel"/>
    <w:lvl w:ilvl="0">
      <w:lvlJc w:val="left"/>
      <w:lvlText w:val="(%1)"/>
      <w:numFmt w:val="lowerLetter"/>
      <w:start w:val="1"/>
    </w:lvl>
  </w:abstractNum>
  <w:abstractNum w:abstractNumId="87">
    <w:nsid w:val="5675FF36"/>
    <w:multiLevelType w:val="hybridMultilevel"/>
    <w:lvl w:ilvl="0">
      <w:lvlJc w:val="left"/>
      <w:lvlText w:val="(%1)"/>
      <w:numFmt w:val="lowerLetter"/>
      <w:start w:val="4"/>
    </w:lvl>
  </w:abstractNum>
  <w:abstractNum w:abstractNumId="88">
    <w:nsid w:val="3DD15094"/>
    <w:multiLevelType w:val="hybridMultilevel"/>
    <w:lvl w:ilvl="0">
      <w:lvlJc w:val="left"/>
      <w:lvlText w:val="[%1]"/>
      <w:numFmt w:val="decimal"/>
      <w:start w:val="1"/>
    </w:lvl>
  </w:abstractNum>
  <w:abstractNum w:abstractNumId="89">
    <w:nsid w:val="3DB012B3"/>
    <w:multiLevelType w:val="hybridMultilevel"/>
    <w:lvl w:ilvl="0">
      <w:lvlJc w:val="left"/>
      <w:lvlText w:val="%1."/>
      <w:numFmt w:val="decimal"/>
      <w:start w:val="1"/>
    </w:lvl>
  </w:abstractNum>
  <w:abstractNum w:abstractNumId="90">
    <w:nsid w:val="2708C9AF"/>
    <w:multiLevelType w:val="hybridMultilevel"/>
    <w:lvl w:ilvl="0">
      <w:lvlJc w:val="left"/>
      <w:lvlText w:val="(%1)"/>
      <w:numFmt w:val="lowerRoman"/>
      <w:start w:val="2"/>
    </w:lvl>
  </w:abstractNum>
  <w:abstractNum w:abstractNumId="91">
    <w:nsid w:val="5B25ACE2"/>
    <w:multiLevelType w:val="hybridMultilevel"/>
    <w:lvl w:ilvl="0">
      <w:lvlJc w:val="left"/>
      <w:lvlText w:val="%1."/>
      <w:numFmt w:val="decimal"/>
      <w:start w:val="2"/>
    </w:lvl>
    <w:lvl w:ilvl="1">
      <w:lvlJc w:val="left"/>
      <w:lvlText w:val="(%2)"/>
      <w:numFmt w:val="lowerLetter"/>
      <w:start w:val="1"/>
    </w:lvl>
  </w:abstractNum>
  <w:abstractNum w:abstractNumId="92">
    <w:nsid w:val="175DFCF0"/>
    <w:multiLevelType w:val="hybridMultilevel"/>
    <w:lvl w:ilvl="0">
      <w:lvlJc w:val="left"/>
      <w:lvlText w:val="(%1)"/>
      <w:numFmt w:val="lowerRoman"/>
      <w:start w:val="2"/>
    </w:lvl>
    <w:lvl w:ilvl="1">
      <w:lvlJc w:val="left"/>
      <w:lvlText w:val="(%2)"/>
      <w:numFmt w:val="lowerLetter"/>
      <w:start w:val="2"/>
    </w:lvl>
  </w:abstractNum>
  <w:abstractNum w:abstractNumId="93">
    <w:nsid w:val="4F97E3E4"/>
    <w:multiLevelType w:val="hybridMultilevel"/>
    <w:lvl w:ilvl="0">
      <w:lvlJc w:val="left"/>
      <w:lvlText w:val="%1."/>
      <w:numFmt w:val="decimal"/>
      <w:start w:val="3"/>
    </w:lvl>
    <w:lvl w:ilvl="1">
      <w:lvlJc w:val="left"/>
      <w:lvlText w:val="(%2)"/>
      <w:numFmt w:val="lowerLetter"/>
      <w:start w:val="1"/>
    </w:lvl>
  </w:abstractNum>
  <w:abstractNum w:abstractNumId="94">
    <w:nsid w:val="53B0A9E"/>
    <w:multiLevelType w:val="hybridMultilevel"/>
    <w:lvl w:ilvl="0">
      <w:lvlJc w:val="left"/>
      <w:lvlText w:val="%1."/>
      <w:numFmt w:val="decimal"/>
      <w:start w:val="4"/>
    </w:lvl>
  </w:abstractNum>
  <w:abstractNum w:abstractNumId="95">
    <w:nsid w:val="34FD6B4F"/>
    <w:multiLevelType w:val="hybridMultilevel"/>
    <w:lvl w:ilvl="0">
      <w:lvlJc w:val="left"/>
      <w:lvlText w:val="%1."/>
      <w:numFmt w:val="decimal"/>
      <w:start w:val="5"/>
    </w:lvl>
    <w:lvl w:ilvl="1">
      <w:lvlJc w:val="left"/>
      <w:lvlText w:val="(%2)"/>
      <w:numFmt w:val="lowerLetter"/>
      <w:start w:val="1"/>
    </w:lvl>
  </w:abstractNum>
  <w:abstractNum w:abstractNumId="96">
    <w:nsid w:val="5915FF32"/>
    <w:multiLevelType w:val="hybridMultilevel"/>
    <w:lvl w:ilvl="0">
      <w:lvlJc w:val="left"/>
      <w:lvlText w:val="%1"/>
      <w:numFmt w:val="decimal"/>
      <w:start w:val="1"/>
    </w:lvl>
    <w:lvl w:ilvl="1">
      <w:lvlJc w:val="left"/>
      <w:lvlText w:val="(%2)"/>
      <w:numFmt w:val="lowerLetter"/>
      <w:start w:val="4"/>
    </w:lvl>
    <w:lvl w:ilvl="2">
      <w:lvlJc w:val="left"/>
      <w:lvlText w:val="%3"/>
      <w:numFmt w:val="lowerLetter"/>
      <w:start w:val="1"/>
    </w:lvl>
  </w:abstractNum>
  <w:abstractNum w:abstractNumId="97">
    <w:nsid w:val="56438D15"/>
    <w:multiLevelType w:val="hybridMultilevel"/>
    <w:lvl w:ilvl="0">
      <w:lvlJc w:val="left"/>
      <w:lvlText w:val="%1."/>
      <w:numFmt w:val="decimal"/>
      <w:start w:val="7"/>
    </w:lvl>
    <w:lvl w:ilvl="1">
      <w:lvlJc w:val="left"/>
      <w:lvlText w:val="%2"/>
      <w:numFmt w:val="lowerLetter"/>
      <w:start w:val="1"/>
    </w:lvl>
    <w:lvl w:ilvl="2">
      <w:lvlJc w:val="left"/>
      <w:lvlText w:val="(%3)"/>
      <w:numFmt w:val="lowerLetter"/>
      <w:start w:val="1"/>
    </w:lvl>
  </w:abstractNum>
  <w:abstractNum w:abstractNumId="98">
    <w:nsid w:val="519E3149"/>
    <w:multiLevelType w:val="hybridMultilevel"/>
    <w:lvl w:ilvl="0">
      <w:lvlJc w:val="left"/>
      <w:lvlText w:val="%1"/>
      <w:numFmt w:val="decimal"/>
      <w:start w:val="1"/>
    </w:lvl>
    <w:lvl w:ilvl="1">
      <w:lvlJc w:val="left"/>
      <w:lvlText w:val="(%2)"/>
      <w:numFmt w:val="lowerLetter"/>
      <w:start w:val="7"/>
    </w:lvl>
    <w:lvl w:ilvl="2">
      <w:lvlJc w:val="left"/>
      <w:lvlText w:val="(%3)"/>
      <w:numFmt w:val="lowerRoman"/>
      <w:start w:val="1"/>
    </w:lvl>
  </w:abstractNum>
  <w:abstractNum w:abstractNumId="99">
    <w:nsid w:val="2C6E4AFD"/>
    <w:multiLevelType w:val="hybridMultilevel"/>
    <w:lvl w:ilvl="0">
      <w:lvlJc w:val="left"/>
      <w:lvlText w:val="%1."/>
      <w:numFmt w:val="decimal"/>
      <w:start w:val="10"/>
    </w:lvl>
    <w:lvl w:ilvl="1">
      <w:lvlJc w:val="left"/>
      <w:lvlText w:val="%2"/>
      <w:numFmt w:val="lowerLetter"/>
      <w:start w:val="1"/>
    </w:lvl>
    <w:lvl w:ilvl="2">
      <w:lvlJc w:val="left"/>
      <w:lvlText w:val="%3"/>
      <w:numFmt w:val="lowerRoman"/>
      <w:start w:val="1"/>
    </w:lvl>
  </w:abstractNum>
  <w:abstractNum w:abstractNumId="100">
    <w:nsid w:val="17A1B582"/>
    <w:multiLevelType w:val="hybridMultilevel"/>
    <w:lvl w:ilvl="0">
      <w:lvlJc w:val="left"/>
      <w:lvlText w:val="%1."/>
      <w:numFmt w:val="decimal"/>
      <w:start w:val="11"/>
    </w:lvl>
  </w:abstractNum>
  <w:abstractNum w:abstractNumId="101">
    <w:nsid w:val="4DF72E4E"/>
    <w:multiLevelType w:val="hybridMultilevel"/>
    <w:lvl w:ilvl="0">
      <w:lvlJc w:val="left"/>
      <w:lvlText w:val="%1."/>
      <w:numFmt w:val="decimal"/>
      <w:start w:val="20"/>
    </w:lvl>
  </w:abstractNum>
  <w:abstractNum w:abstractNumId="102">
    <w:nsid w:val="5046B5A9"/>
    <w:multiLevelType w:val="hybridMultilevel"/>
    <w:lvl w:ilvl="0">
      <w:lvlJc w:val="left"/>
      <w:lvlText w:val="%1."/>
      <w:numFmt w:val="decimal"/>
      <w:start w:val="22"/>
    </w:lvl>
  </w:abstractNum>
  <w:abstractNum w:abstractNumId="103">
    <w:nsid w:val="5D888A08"/>
    <w:multiLevelType w:val="hybridMultilevel"/>
    <w:lvl w:ilvl="0">
      <w:lvlJc w:val="left"/>
      <w:lvlText w:val="(%1)"/>
      <w:numFmt w:val="lowerLetter"/>
      <w:start w:val="1"/>
    </w:lvl>
  </w:abstractNum>
  <w:abstractNum w:abstractNumId="104">
    <w:nsid w:val="2A082C70"/>
    <w:multiLevelType w:val="hybridMultilevel"/>
    <w:lvl w:ilvl="0">
      <w:lvlJc w:val="left"/>
      <w:lvlText w:val="(%1)"/>
      <w:numFmt w:val="lowerLetter"/>
      <w:start w:val="4"/>
    </w:lvl>
  </w:abstractNum>
  <w:abstractNum w:abstractNumId="105">
    <w:nsid w:val="5EC6AFD4"/>
    <w:multiLevelType w:val="hybridMultilevel"/>
    <w:lvl w:ilvl="0">
      <w:lvlJc w:val="left"/>
      <w:lvlText w:val="[%1]"/>
      <w:numFmt w:val="decimal"/>
      <w:start w:val="1"/>
    </w:lvl>
  </w:abstractNum>
  <w:abstractNum w:abstractNumId="106">
    <w:nsid w:val="19E21BB2"/>
    <w:multiLevelType w:val="hybridMultilevel"/>
    <w:lvl w:ilvl="0">
      <w:lvlJc w:val="left"/>
      <w:lvlText w:val="%1."/>
      <w:numFmt w:val="decimal"/>
      <w:start w:val="1"/>
    </w:lvl>
  </w:abstractNum>
  <w:abstractNum w:abstractNumId="107">
    <w:nsid w:val="75E0858A"/>
    <w:multiLevelType w:val="hybridMultilevel"/>
    <w:lvl w:ilvl="0">
      <w:lvlJc w:val="left"/>
      <w:lvlText w:val="(%1)"/>
      <w:numFmt w:val="lowerRoman"/>
      <w:start w:val="1"/>
    </w:lvl>
  </w:abstractNum>
  <w:abstractNum w:abstractNumId="108">
    <w:nsid w:val="57A61A29"/>
    <w:multiLevelType w:val="hybridMultilevel"/>
    <w:lvl w:ilvl="0">
      <w:lvlJc w:val="left"/>
      <w:lvlText w:val="%1."/>
      <w:numFmt w:val="decimal"/>
      <w:start w:val="3"/>
    </w:lvl>
  </w:abstractNum>
  <w:abstractNum w:abstractNumId="109">
    <w:nsid w:val="5399C654"/>
    <w:multiLevelType w:val="hybridMultilevel"/>
    <w:lvl w:ilvl="0">
      <w:lvlJc w:val="left"/>
      <w:lvlText w:val="%1."/>
      <w:numFmt w:val="decimal"/>
      <w:start w:val="5"/>
    </w:lvl>
    <w:lvl w:ilvl="1">
      <w:lvlJc w:val="left"/>
      <w:lvlText w:val="(%2)"/>
      <w:numFmt w:val="lowerLetter"/>
      <w:start w:val="1"/>
    </w:lvl>
  </w:abstractNum>
  <w:abstractNum w:abstractNumId="110">
    <w:nsid w:val="20EE1348"/>
    <w:multiLevelType w:val="hybridMultilevel"/>
    <w:lvl w:ilvl="0">
      <w:lvlJc w:val="left"/>
      <w:lvlText w:val="%1"/>
      <w:numFmt w:val="decimal"/>
      <w:start w:val="1"/>
    </w:lvl>
    <w:lvl w:ilvl="1">
      <w:lvlJc w:val="left"/>
      <w:lvlText w:val="(%2)"/>
      <w:numFmt w:val="lowerLetter"/>
      <w:start w:val="3"/>
    </w:lvl>
  </w:abstractNum>
  <w:abstractNum w:abstractNumId="111">
    <w:nsid w:val="4427069A"/>
    <w:multiLevelType w:val="hybridMultilevel"/>
    <w:lvl w:ilvl="0">
      <w:lvlJc w:val="left"/>
      <w:lvlText w:val="%1."/>
      <w:numFmt w:val="decimal"/>
      <w:start w:val="7"/>
    </w:lvl>
    <w:lvl w:ilvl="1">
      <w:lvlJc w:val="left"/>
      <w:lvlText w:val="(%2)"/>
      <w:numFmt w:val="lowerLetter"/>
      <w:start w:val="1"/>
    </w:lvl>
  </w:abstractNum>
  <w:abstractNum w:abstractNumId="112">
    <w:nsid w:val="B37E80A"/>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1"/>
    </w:lvl>
  </w:abstractNum>
  <w:abstractNum w:abstractNumId="113">
    <w:nsid w:val="2157F6BC"/>
    <w:multiLevelType w:val="hybridMultilevel"/>
    <w:lvl w:ilvl="0">
      <w:lvlJc w:val="left"/>
      <w:lvlText w:val="%1."/>
      <w:numFmt w:val="decimal"/>
      <w:start w:val="11"/>
    </w:lvl>
    <w:lvl w:ilvl="1">
      <w:lvlJc w:val="left"/>
      <w:lvlText w:val="%2"/>
      <w:numFmt w:val="lowerLetter"/>
      <w:start w:val="1"/>
    </w:lvl>
    <w:lvl w:ilvl="2">
      <w:lvlJc w:val="left"/>
      <w:lvlText w:val="%3"/>
      <w:numFmt w:val="lowerRoman"/>
      <w:start w:val="1"/>
    </w:lvl>
  </w:abstractNum>
  <w:abstractNum w:abstractNumId="114">
    <w:nsid w:val="704E1DD5"/>
    <w:multiLevelType w:val="hybridMultilevel"/>
    <w:lvl w:ilvl="0">
      <w:lvlJc w:val="left"/>
      <w:lvlText w:val="%1."/>
      <w:numFmt w:val="decimal"/>
      <w:start w:val="12"/>
    </w:lvl>
  </w:abstractNum>
  <w:abstractNum w:abstractNumId="115">
    <w:nsid w:val="57D2F10E"/>
    <w:multiLevelType w:val="hybridMultilevel"/>
    <w:lvl w:ilvl="0">
      <w:lvlJc w:val="left"/>
      <w:lvlText w:val="%1."/>
      <w:numFmt w:val="decimal"/>
      <w:start w:val="20"/>
    </w:lvl>
  </w:abstractNum>
  <w:abstractNum w:abstractNumId="116">
    <w:nsid w:val="BFFAE18"/>
    <w:multiLevelType w:val="hybridMultilevel"/>
    <w:lvl w:ilvl="0">
      <w:lvlJc w:val="left"/>
      <w:lvlText w:val="%1."/>
      <w:numFmt w:val="decimal"/>
      <w:start w:val="23"/>
    </w:lvl>
  </w:abstractNum>
  <w:abstractNum w:abstractNumId="117">
    <w:nsid w:val="E3E47A8"/>
    <w:multiLevelType w:val="hybridMultilevel"/>
    <w:lvl w:ilvl="0">
      <w:lvlJc w:val="left"/>
      <w:lvlText w:val="(%1)"/>
      <w:numFmt w:val="lowerLetter"/>
      <w:start w:val="1"/>
    </w:lvl>
  </w:abstractNum>
  <w:abstractNum w:abstractNumId="118">
    <w:nsid w:val="2E48F044"/>
    <w:multiLevelType w:val="hybridMultilevel"/>
    <w:lvl w:ilvl="0">
      <w:lvlJc w:val="left"/>
      <w:lvlText w:val="(%1)"/>
      <w:numFmt w:val="lowerLetter"/>
      <w:start w:val="4"/>
    </w:lvl>
  </w:abstractNum>
  <w:abstractNum w:abstractNumId="119">
    <w:nsid w:val="49D0FEAC"/>
    <w:multiLevelType w:val="hybridMultilevel"/>
    <w:lvl w:ilvl="0">
      <w:lvlJc w:val="left"/>
      <w:lvlText w:val="[%1]"/>
      <w:numFmt w:val="decimal"/>
      <w:start w:val="1"/>
    </w:lvl>
  </w:abstractNum>
  <w:abstractNum w:abstractNumId="120">
    <w:nsid w:val="4BEE5A5B"/>
    <w:multiLevelType w:val="hybridMultilevel"/>
    <w:lvl w:ilvl="0">
      <w:lvlJc w:val="left"/>
      <w:lvlText w:val="[%1]"/>
      <w:numFmt w:val="decimal"/>
      <w:start w:val="2"/>
    </w:lvl>
  </w:abstractNum>
  <w:abstractNum w:abstractNumId="121">
    <w:nsid w:val="5551B9F3"/>
    <w:multiLevelType w:val="hybridMultilevel"/>
    <w:lvl w:ilvl="0">
      <w:lvlJc w:val="left"/>
      <w:lvlText w:val="%1."/>
      <w:numFmt w:val="decimal"/>
      <w:start w:val="1"/>
    </w:lvl>
  </w:abstractNum>
  <w:abstractNum w:abstractNumId="122">
    <w:nsid w:val="24F6AB8E"/>
    <w:multiLevelType w:val="hybridMultilevel"/>
    <w:lvl w:ilvl="0">
      <w:lvlJc w:val="left"/>
      <w:lvlText w:val="%1."/>
      <w:numFmt w:val="decimal"/>
      <w:start w:val="2"/>
    </w:lvl>
    <w:lvl w:ilvl="1">
      <w:lvlJc w:val="left"/>
      <w:lvlText w:val="(%2)"/>
      <w:numFmt w:val="lowerLetter"/>
      <w:start w:val="1"/>
    </w:lvl>
  </w:abstractNum>
  <w:abstractNum w:abstractNumId="123">
    <w:nsid w:val="634C574C"/>
    <w:multiLevelType w:val="hybridMultilevel"/>
    <w:lvl w:ilvl="0">
      <w:lvlJc w:val="left"/>
      <w:lvlText w:val="(%1)"/>
      <w:numFmt w:val="lowerRoman"/>
      <w:start w:val="2"/>
    </w:lvl>
    <w:lvl w:ilvl="1">
      <w:lvlJc w:val="left"/>
      <w:lvlText w:val="(%2)"/>
      <w:numFmt w:val="lowerLetter"/>
      <w:start w:val="2"/>
    </w:lvl>
  </w:abstractNum>
  <w:abstractNum w:abstractNumId="124">
    <w:nsid w:val="24E99DD7"/>
    <w:multiLevelType w:val="hybridMultilevel"/>
    <w:lvl w:ilvl="0">
      <w:lvlJc w:val="left"/>
      <w:lvlText w:val="%1"/>
      <w:numFmt w:val="decimal"/>
      <w:start w:val="1"/>
    </w:lvl>
    <w:lvl w:ilvl="1">
      <w:lvlJc w:val="left"/>
      <w:lvlText w:val="(%2)"/>
      <w:numFmt w:val="lowerLetter"/>
      <w:start w:val="3"/>
    </w:lvl>
  </w:abstractNum>
  <w:abstractNum w:abstractNumId="125">
    <w:nsid w:val="2A31B62D"/>
    <w:multiLevelType w:val="hybridMultilevel"/>
    <w:lvl w:ilvl="0">
      <w:lvlJc w:val="left"/>
      <w:lvlText w:val="%1."/>
      <w:numFmt w:val="decimal"/>
      <w:start w:val="3"/>
    </w:lvl>
    <w:lvl w:ilvl="1">
      <w:lvlJc w:val="left"/>
      <w:lvlText w:val="(%2)"/>
      <w:numFmt w:val="lowerLetter"/>
      <w:start w:val="1"/>
    </w:lvl>
  </w:abstractNum>
  <w:abstractNum w:abstractNumId="126">
    <w:nsid w:val="1849C29B"/>
    <w:multiLevelType w:val="hybridMultilevel"/>
    <w:lvl w:ilvl="0">
      <w:lvlJc w:val="left"/>
      <w:lvlText w:val="%1."/>
      <w:numFmt w:val="decimal"/>
      <w:start w:val="4"/>
    </w:lvl>
  </w:abstractNum>
  <w:abstractNum w:abstractNumId="127">
    <w:nsid w:val="7DFF9D09"/>
    <w:multiLevelType w:val="hybridMultilevel"/>
    <w:lvl w:ilvl="0">
      <w:lvlJc w:val="left"/>
      <w:lvlText w:val="%1."/>
      <w:numFmt w:val="decimal"/>
      <w:start w:val="8"/>
    </w:lvl>
  </w:abstractNum>
  <w:abstractNum w:abstractNumId="128">
    <w:nsid w:val="754342"/>
    <w:multiLevelType w:val="hybridMultilevel"/>
    <w:lvl w:ilvl="0">
      <w:lvlJc w:val="left"/>
      <w:lvlText w:val="%1."/>
      <w:numFmt w:val="decimal"/>
      <w:start w:val="1"/>
    </w:lvl>
  </w:abstractNum>
  <w:abstractNum w:abstractNumId="129">
    <w:nsid w:val="69E7F3E5"/>
    <w:multiLevelType w:val="hybridMultilevel"/>
    <w:lvl w:ilvl="0">
      <w:lvlJc w:val="left"/>
      <w:lvlText w:val="%1."/>
      <w:numFmt w:val="decimal"/>
      <w:start w:val="3"/>
    </w:lvl>
  </w:abstractNum>
  <w:abstractNum w:abstractNumId="130">
    <w:nsid w:val="2A6DE806"/>
    <w:multiLevelType w:val="hybridMultilevel"/>
    <w:lvl w:ilvl="0">
      <w:lvlJc w:val="left"/>
      <w:lvlText w:val="%1."/>
      <w:numFmt w:val="decimal"/>
      <w:start w:val="4"/>
    </w:lvl>
  </w:abstractNum>
  <w:abstractNum w:abstractNumId="131">
    <w:nsid w:val="1816F8C4"/>
    <w:multiLevelType w:val="hybridMultilevel"/>
    <w:lvl w:ilvl="0">
      <w:lvlJc w:val="left"/>
      <w:lvlText w:val="%1."/>
      <w:numFmt w:val="decimal"/>
      <w:start w:val="1"/>
    </w:lvl>
    <w:lvl w:ilvl="1">
      <w:lvlJc w:val="left"/>
      <w:lvlText w:val="(%2)"/>
      <w:numFmt w:val="lowerLetter"/>
      <w:start w:val="1"/>
    </w:lvl>
  </w:abstractNum>
  <w:abstractNum w:abstractNumId="132">
    <w:nsid w:val="37DF2233"/>
    <w:multiLevelType w:val="hybridMultilevel"/>
    <w:lvl w:ilvl="0">
      <w:lvlJc w:val="left"/>
      <w:lvlText w:val="%1."/>
      <w:numFmt w:val="decimal"/>
      <w:start w:val="3"/>
    </w:lvl>
  </w:abstractNum>
  <w:abstractNum w:abstractNumId="133">
    <w:nsid w:val="7AB49DAF"/>
    <w:multiLevelType w:val="hybridMultilevel"/>
    <w:lvl w:ilvl="0">
      <w:lvlJc w:val="left"/>
      <w:lvlText w:val="(%1)"/>
      <w:numFmt w:val="lowerRoman"/>
      <w:start w:val="2"/>
    </w:lvl>
  </w:abstractNum>
  <w:abstractNum w:abstractNumId="134">
    <w:nsid w:val="759F82CD"/>
    <w:multiLevelType w:val="hybridMultilevel"/>
    <w:lvl w:ilvl="0">
      <w:lvlJc w:val="left"/>
      <w:lvlText w:val="%1."/>
      <w:numFmt w:val="decimal"/>
      <w:start w:val="4"/>
    </w:lvl>
  </w:abstractNum>
  <w:abstractNum w:abstractNumId="135">
    <w:nsid w:val="61E74EA3"/>
    <w:multiLevelType w:val="hybridMultilevel"/>
    <w:lvl w:ilvl="0">
      <w:lvlJc w:val="left"/>
      <w:lvlText w:val="%1."/>
      <w:numFmt w:val="decimal"/>
      <w:start w:val="6"/>
    </w:lvl>
  </w:abstractNum>
  <w:abstractNum w:abstractNumId="136">
    <w:nsid w:val="597B4D84"/>
    <w:multiLevelType w:val="hybridMultilevel"/>
    <w:lvl w:ilvl="0">
      <w:lvlJc w:val="left"/>
      <w:lvlText w:val="%1."/>
      <w:numFmt w:val="decimal"/>
      <w:start w:val="1"/>
    </w:lvl>
    <w:lvl w:ilvl="1">
      <w:lvlJc w:val="left"/>
      <w:lvlText w:val="(%2)"/>
      <w:numFmt w:val="lowerLetter"/>
      <w:start w:val="1"/>
    </w:lvl>
  </w:abstractNum>
  <w:abstractNum w:abstractNumId="137">
    <w:nsid w:val="F819E7F"/>
    <w:multiLevelType w:val="hybridMultilevel"/>
    <w:lvl w:ilvl="0">
      <w:lvlJc w:val="left"/>
      <w:lvlText w:val="%1."/>
      <w:numFmt w:val="decimal"/>
      <w:start w:val="1"/>
    </w:lvl>
    <w:lvl w:ilvl="1">
      <w:lvlJc w:val="left"/>
      <w:lvlText w:val="(%2)"/>
      <w:numFmt w:val="lowerLetter"/>
      <w:start w:val="1"/>
    </w:lvl>
  </w:abstractNum>
  <w:abstractNum w:abstractNumId="138">
    <w:nsid w:val="57C7D42D"/>
    <w:multiLevelType w:val="hybridMultilevel"/>
    <w:lvl w:ilvl="0">
      <w:lvlJc w:val="left"/>
      <w:lvlText w:val="%1"/>
      <w:numFmt w:val="decimal"/>
      <w:start w:val="1"/>
    </w:lvl>
    <w:lvl w:ilvl="1">
      <w:lvlJc w:val="left"/>
      <w:lvlText w:val="(%2)"/>
      <w:numFmt w:val="lowerLetter"/>
      <w:start w:val="1"/>
    </w:lvl>
  </w:abstractNum>
  <w:abstractNum w:abstractNumId="139">
    <w:nsid w:val="312167AD"/>
    <w:multiLevelType w:val="hybridMultilevel"/>
    <w:lvl w:ilvl="0">
      <w:lvlJc w:val="left"/>
      <w:lvlText w:val="%1."/>
      <w:numFmt w:val="decimal"/>
      <w:start w:val="5"/>
    </w:lvl>
    <w:lvl w:ilvl="1">
      <w:lvlJc w:val="left"/>
      <w:lvlText w:val="(%2)"/>
      <w:numFmt w:val="lowerLetter"/>
      <w:start w:val="1"/>
    </w:lvl>
  </w:abstractNum>
  <w:abstractNum w:abstractNumId="140">
    <w:nsid w:val="631B64D4"/>
    <w:multiLevelType w:val="hybridMultilevel"/>
    <w:lvl w:ilvl="0">
      <w:lvlJc w:val="left"/>
      <w:lvlText w:val="%1."/>
      <w:numFmt w:val="decimal"/>
      <w:start w:val="1"/>
    </w:lvl>
  </w:abstractNum>
  <w:abstractNum w:abstractNumId="141">
    <w:nsid w:val="78B5E776"/>
    <w:multiLevelType w:val="hybridMultilevel"/>
    <w:lvl w:ilvl="0">
      <w:lvlJc w:val="left"/>
      <w:lvlText w:val="%1."/>
      <w:numFmt w:val="decimal"/>
      <w:start w:val="2"/>
    </w:lvl>
  </w:abstractNum>
  <w:abstractNum w:abstractNumId="142">
    <w:nsid w:val="75486E47"/>
    <w:multiLevelType w:val="hybridMultilevel"/>
    <w:lvl w:ilvl="0">
      <w:lvlJc w:val="left"/>
      <w:lvlText w:val="%1."/>
      <w:numFmt w:val="decimal"/>
      <w:start w:val="3"/>
    </w:lvl>
    <w:lvl w:ilvl="1">
      <w:lvlJc w:val="left"/>
      <w:lvlText w:val="%2."/>
      <w:numFmt w:val="lowerLetter"/>
      <w:start w:val="1"/>
    </w:lvl>
  </w:abstractNum>
  <w:abstractNum w:abstractNumId="143">
    <w:nsid w:val="6E534CDE"/>
    <w:multiLevelType w:val="hybridMultilevel"/>
    <w:lvl w:ilvl="0">
      <w:lvlJc w:val="left"/>
      <w:lvlText w:val="%1."/>
      <w:numFmt w:val="lowerLetter"/>
      <w:start w:val="6"/>
    </w:lvl>
  </w:abstractNum>
  <w:abstractNum w:abstractNumId="144">
    <w:nsid w:val="1A0DDE32"/>
    <w:multiLevelType w:val="hybridMultilevel"/>
    <w:lvl w:ilvl="0">
      <w:lvlJc w:val="left"/>
      <w:lvlText w:val="%1"/>
      <w:numFmt w:val="decimal"/>
      <w:start w:val="1"/>
    </w:lvl>
    <w:lvl w:ilvl="1">
      <w:lvlJc w:val="left"/>
      <w:lvlText w:val="%2."/>
      <w:numFmt w:val="lowerLetter"/>
      <w:start w:val="11"/>
    </w:lvl>
  </w:abstractNum>
  <w:abstractNum w:abstractNumId="145">
    <w:nsid w:val="65968C1C"/>
    <w:multiLevelType w:val="hybridMultilevel"/>
    <w:lvl w:ilvl="0">
      <w:lvlJc w:val="left"/>
      <w:lvlText w:val="%1."/>
      <w:numFmt w:val="decimal"/>
      <w:start w:val="4"/>
    </w:lvl>
    <w:lvl w:ilvl="1">
      <w:lvlJc w:val="left"/>
      <w:lvlText w:val="%2"/>
      <w:numFmt w:val="lowerLetter"/>
      <w:start w:val="1"/>
    </w:lvl>
  </w:abstractNum>
  <w:abstractNum w:abstractNumId="146">
    <w:nsid w:val="46263DEC"/>
    <w:multiLevelType w:val="hybridMultilevel"/>
    <w:lvl w:ilvl="0">
      <w:lvlJc w:val="left"/>
      <w:lvlText w:val="%1."/>
      <w:numFmt w:val="decimal"/>
      <w:start w:val="5"/>
    </w:lvl>
  </w:abstractNum>
  <w:abstractNum w:abstractNumId="147">
    <w:nsid w:val="260D8C4A"/>
    <w:multiLevelType w:val="hybridMultilevel"/>
    <w:lvl w:ilvl="0">
      <w:lvlJc w:val="left"/>
      <w:lvlText w:val="%1."/>
      <w:numFmt w:val="decimal"/>
      <w:start w:val="6"/>
    </w:lvl>
  </w:abstractNum>
  <w:abstractNum w:abstractNumId="148">
    <w:nsid w:val="73D4D3C4"/>
    <w:multiLevelType w:val="hybridMultilevel"/>
    <w:lvl w:ilvl="0">
      <w:lvlJc w:val="left"/>
      <w:lvlText w:val="%1."/>
      <w:numFmt w:val="lowerLetter"/>
      <w:start w:val="1"/>
    </w:lvl>
  </w:abstractNum>
  <w:abstractNum w:abstractNumId="149">
    <w:nsid w:val="746F2E30"/>
    <w:multiLevelType w:val="hybridMultilevel"/>
    <w:lvl w:ilvl="0">
      <w:lvlJc w:val="left"/>
      <w:lvlText w:val="%1."/>
      <w:numFmt w:val="lowerLetter"/>
      <w:start w:val="2"/>
    </w:lvl>
  </w:abstractNum>
  <w:abstractNum w:abstractNumId="150">
    <w:nsid w:val="6FDE8AF6"/>
    <w:multiLevelType w:val="hybridMultilevel"/>
    <w:lvl w:ilvl="0">
      <w:lvlJc w:val="left"/>
      <w:lvlText w:val="%1."/>
      <w:numFmt w:val="decimal"/>
      <w:start w:val="7"/>
    </w:lvl>
  </w:abstractNum>
  <w:abstractNum w:abstractNumId="151">
    <w:nsid w:val="3FC32E20"/>
    <w:multiLevelType w:val="hybridMultilevel"/>
    <w:lvl w:ilvl="0">
      <w:lvlJc w:val="left"/>
      <w:lvlText w:val="%1."/>
      <w:numFmt w:val="decimal"/>
      <w:start w:val="8"/>
    </w:lvl>
  </w:abstractNum>
  <w:abstractNum w:abstractNumId="152">
    <w:nsid w:val="49C0E823"/>
    <w:multiLevelType w:val="hybridMultilevel"/>
    <w:lvl w:ilvl="0">
      <w:lvlJc w:val="left"/>
      <w:lvlText w:val="%1."/>
      <w:numFmt w:val="decimal"/>
      <w:start w:val="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jpe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76" Type="http://schemas.openxmlformats.org/officeDocument/2006/relationships/image" Target="media/image456.png"/><Relationship Id="rId477" Type="http://schemas.openxmlformats.org/officeDocument/2006/relationships/image" Target="media/image457.png"/><Relationship Id="rId478" Type="http://schemas.openxmlformats.org/officeDocument/2006/relationships/image" Target="media/image458.png"/><Relationship Id="rId479" Type="http://schemas.openxmlformats.org/officeDocument/2006/relationships/image" Target="media/image459.png"/><Relationship Id="rId480" Type="http://schemas.openxmlformats.org/officeDocument/2006/relationships/image" Target="media/image460.png"/><Relationship Id="rId481" Type="http://schemas.openxmlformats.org/officeDocument/2006/relationships/image" Target="media/image461.png"/><Relationship Id="rId482" Type="http://schemas.openxmlformats.org/officeDocument/2006/relationships/image" Target="media/image462.png"/><Relationship Id="rId483" Type="http://schemas.openxmlformats.org/officeDocument/2006/relationships/image" Target="media/image463.png"/><Relationship Id="rId484" Type="http://schemas.openxmlformats.org/officeDocument/2006/relationships/image" Target="media/image464.png"/><Relationship Id="rId485" Type="http://schemas.openxmlformats.org/officeDocument/2006/relationships/image" Target="media/image465.png"/><Relationship Id="rId486" Type="http://schemas.openxmlformats.org/officeDocument/2006/relationships/image" Target="media/image466.png"/><Relationship Id="rId487" Type="http://schemas.openxmlformats.org/officeDocument/2006/relationships/image" Target="media/image467.png"/><Relationship Id="rId488" Type="http://schemas.openxmlformats.org/officeDocument/2006/relationships/image" Target="media/image468.png"/><Relationship Id="rId489" Type="http://schemas.openxmlformats.org/officeDocument/2006/relationships/image" Target="media/image469.png"/><Relationship Id="rId490" Type="http://schemas.openxmlformats.org/officeDocument/2006/relationships/image" Target="media/image470.png"/><Relationship Id="rId491" Type="http://schemas.openxmlformats.org/officeDocument/2006/relationships/image" Target="media/image471.png"/><Relationship Id="rId492" Type="http://schemas.openxmlformats.org/officeDocument/2006/relationships/image" Target="media/image472.png"/><Relationship Id="rId493" Type="http://schemas.openxmlformats.org/officeDocument/2006/relationships/image" Target="media/image473.png"/><Relationship Id="rId494" Type="http://schemas.openxmlformats.org/officeDocument/2006/relationships/image" Target="media/image474.png"/><Relationship Id="rId495" Type="http://schemas.openxmlformats.org/officeDocument/2006/relationships/image" Target="media/image475.png"/><Relationship Id="rId496" Type="http://schemas.openxmlformats.org/officeDocument/2006/relationships/image" Target="media/image476.png"/><Relationship Id="rId497" Type="http://schemas.openxmlformats.org/officeDocument/2006/relationships/image" Target="media/image477.png"/><Relationship Id="rId498" Type="http://schemas.openxmlformats.org/officeDocument/2006/relationships/image" Target="media/image478.png"/><Relationship Id="rId499" Type="http://schemas.openxmlformats.org/officeDocument/2006/relationships/image" Target="media/image479.png"/><Relationship Id="rId500" Type="http://schemas.openxmlformats.org/officeDocument/2006/relationships/image" Target="media/image480.png"/><Relationship Id="rId501" Type="http://schemas.openxmlformats.org/officeDocument/2006/relationships/image" Target="media/image481.png"/><Relationship Id="rId502" Type="http://schemas.openxmlformats.org/officeDocument/2006/relationships/image" Target="media/image482.png"/><Relationship Id="rId503" Type="http://schemas.openxmlformats.org/officeDocument/2006/relationships/image" Target="media/image483.png"/><Relationship Id="rId504" Type="http://schemas.openxmlformats.org/officeDocument/2006/relationships/image" Target="media/image484.png"/><Relationship Id="rId505" Type="http://schemas.openxmlformats.org/officeDocument/2006/relationships/image" Target="media/image485.png"/><Relationship Id="rId506" Type="http://schemas.openxmlformats.org/officeDocument/2006/relationships/image" Target="media/image486.png"/><Relationship Id="rId507" Type="http://schemas.openxmlformats.org/officeDocument/2006/relationships/image" Target="media/image487.png"/><Relationship Id="rId508" Type="http://schemas.openxmlformats.org/officeDocument/2006/relationships/image" Target="media/image488.png"/><Relationship Id="rId509" Type="http://schemas.openxmlformats.org/officeDocument/2006/relationships/image" Target="media/image489.png"/><Relationship Id="rId510" Type="http://schemas.openxmlformats.org/officeDocument/2006/relationships/image" Target="media/image490.png"/><Relationship Id="rId511" Type="http://schemas.openxmlformats.org/officeDocument/2006/relationships/image" Target="media/image491.png"/><Relationship Id="rId512" Type="http://schemas.openxmlformats.org/officeDocument/2006/relationships/image" Target="media/image492.jpeg"/><Relationship Id="rId513" Type="http://schemas.openxmlformats.org/officeDocument/2006/relationships/image" Target="media/image493.png"/><Relationship Id="rId514" Type="http://schemas.openxmlformats.org/officeDocument/2006/relationships/image" Target="media/image494.png"/><Relationship Id="rId515" Type="http://schemas.openxmlformats.org/officeDocument/2006/relationships/image" Target="media/image495.png"/><Relationship Id="rId516" Type="http://schemas.openxmlformats.org/officeDocument/2006/relationships/image" Target="media/image496.png"/><Relationship Id="rId517" Type="http://schemas.openxmlformats.org/officeDocument/2006/relationships/image" Target="media/image497.png"/><Relationship Id="rId518" Type="http://schemas.openxmlformats.org/officeDocument/2006/relationships/image" Target="media/image498.png"/><Relationship Id="rId519" Type="http://schemas.openxmlformats.org/officeDocument/2006/relationships/image" Target="media/image499.png"/><Relationship Id="rId520" Type="http://schemas.openxmlformats.org/officeDocument/2006/relationships/image" Target="media/image500.png"/><Relationship Id="rId521" Type="http://schemas.openxmlformats.org/officeDocument/2006/relationships/image" Target="media/image501.png"/><Relationship Id="rId522" Type="http://schemas.openxmlformats.org/officeDocument/2006/relationships/image" Target="media/image502.png"/><Relationship Id="rId523" Type="http://schemas.openxmlformats.org/officeDocument/2006/relationships/image" Target="media/image503.png"/><Relationship Id="rId524" Type="http://schemas.openxmlformats.org/officeDocument/2006/relationships/image" Target="media/image504.png"/><Relationship Id="rId525" Type="http://schemas.openxmlformats.org/officeDocument/2006/relationships/image" Target="media/image505.png"/><Relationship Id="rId526" Type="http://schemas.openxmlformats.org/officeDocument/2006/relationships/image" Target="media/image506.png"/><Relationship Id="rId527" Type="http://schemas.openxmlformats.org/officeDocument/2006/relationships/image" Target="media/image507.png"/><Relationship Id="rId528" Type="http://schemas.openxmlformats.org/officeDocument/2006/relationships/image" Target="media/image508.png"/><Relationship Id="rId529" Type="http://schemas.openxmlformats.org/officeDocument/2006/relationships/image" Target="media/image509.jpeg"/><Relationship Id="rId530" Type="http://schemas.openxmlformats.org/officeDocument/2006/relationships/image" Target="media/image510.png"/><Relationship Id="rId531" Type="http://schemas.openxmlformats.org/officeDocument/2006/relationships/image" Target="media/image511.png"/><Relationship Id="rId532" Type="http://schemas.openxmlformats.org/officeDocument/2006/relationships/image" Target="media/image512.png"/><Relationship Id="rId533" Type="http://schemas.openxmlformats.org/officeDocument/2006/relationships/image" Target="media/image513.png"/><Relationship Id="rId534" Type="http://schemas.openxmlformats.org/officeDocument/2006/relationships/image" Target="media/image514.png"/><Relationship Id="rId535" Type="http://schemas.openxmlformats.org/officeDocument/2006/relationships/image" Target="media/image515.png"/><Relationship Id="rId536" Type="http://schemas.openxmlformats.org/officeDocument/2006/relationships/image" Target="media/image516.png"/><Relationship Id="rId537" Type="http://schemas.openxmlformats.org/officeDocument/2006/relationships/image" Target="media/image517.png"/><Relationship Id="rId538" Type="http://schemas.openxmlformats.org/officeDocument/2006/relationships/image" Target="media/image518.png"/><Relationship Id="rId539" Type="http://schemas.openxmlformats.org/officeDocument/2006/relationships/image" Target="media/image519.png"/><Relationship Id="rId540" Type="http://schemas.openxmlformats.org/officeDocument/2006/relationships/image" Target="media/image520.png"/><Relationship Id="rId541" Type="http://schemas.openxmlformats.org/officeDocument/2006/relationships/image" Target="media/image521.png"/><Relationship Id="rId542" Type="http://schemas.openxmlformats.org/officeDocument/2006/relationships/image" Target="media/image522.png"/><Relationship Id="rId543" Type="http://schemas.openxmlformats.org/officeDocument/2006/relationships/image" Target="media/image523.jpeg"/><Relationship Id="rId544" Type="http://schemas.openxmlformats.org/officeDocument/2006/relationships/image" Target="media/image524.png"/><Relationship Id="rId545" Type="http://schemas.openxmlformats.org/officeDocument/2006/relationships/image" Target="media/image525.png"/><Relationship Id="rId546" Type="http://schemas.openxmlformats.org/officeDocument/2006/relationships/image" Target="media/image526.png"/><Relationship Id="rId547" Type="http://schemas.openxmlformats.org/officeDocument/2006/relationships/image" Target="media/image527.png"/><Relationship Id="rId548" Type="http://schemas.openxmlformats.org/officeDocument/2006/relationships/image" Target="media/image528.png"/><Relationship Id="rId549" Type="http://schemas.openxmlformats.org/officeDocument/2006/relationships/image" Target="media/image529.png"/><Relationship Id="rId550" Type="http://schemas.openxmlformats.org/officeDocument/2006/relationships/image" Target="media/image530.png"/><Relationship Id="rId551" Type="http://schemas.openxmlformats.org/officeDocument/2006/relationships/image" Target="media/image531.png"/><Relationship Id="rId552" Type="http://schemas.openxmlformats.org/officeDocument/2006/relationships/image" Target="media/image532.png"/><Relationship Id="rId553" Type="http://schemas.openxmlformats.org/officeDocument/2006/relationships/image" Target="media/image533.png"/><Relationship Id="rId554" Type="http://schemas.openxmlformats.org/officeDocument/2006/relationships/image" Target="media/image534.png"/><Relationship Id="rId555" Type="http://schemas.openxmlformats.org/officeDocument/2006/relationships/image" Target="media/image535.png"/><Relationship Id="rId556" Type="http://schemas.openxmlformats.org/officeDocument/2006/relationships/image" Target="media/image536.png"/><Relationship Id="rId557" Type="http://schemas.openxmlformats.org/officeDocument/2006/relationships/image" Target="media/image537.png"/><Relationship Id="rId558" Type="http://schemas.openxmlformats.org/officeDocument/2006/relationships/image" Target="media/image538.png"/><Relationship Id="rId559" Type="http://schemas.openxmlformats.org/officeDocument/2006/relationships/image" Target="media/image539.png"/><Relationship Id="rId560" Type="http://schemas.openxmlformats.org/officeDocument/2006/relationships/image" Target="media/image540.png"/><Relationship Id="rId561" Type="http://schemas.openxmlformats.org/officeDocument/2006/relationships/image" Target="media/image541.png"/><Relationship Id="rId562" Type="http://schemas.openxmlformats.org/officeDocument/2006/relationships/image" Target="media/image542.png"/><Relationship Id="rId563" Type="http://schemas.openxmlformats.org/officeDocument/2006/relationships/image" Target="media/image543.png"/><Relationship Id="rId564" Type="http://schemas.openxmlformats.org/officeDocument/2006/relationships/image" Target="media/image544.png"/><Relationship Id="rId565" Type="http://schemas.openxmlformats.org/officeDocument/2006/relationships/image" Target="media/image545.png"/><Relationship Id="rId566" Type="http://schemas.openxmlformats.org/officeDocument/2006/relationships/image" Target="media/image546.png"/><Relationship Id="rId567" Type="http://schemas.openxmlformats.org/officeDocument/2006/relationships/image" Target="media/image547.png"/><Relationship Id="rId568" Type="http://schemas.openxmlformats.org/officeDocument/2006/relationships/image" Target="media/image548.png"/><Relationship Id="rId569" Type="http://schemas.openxmlformats.org/officeDocument/2006/relationships/image" Target="media/image549.png"/><Relationship Id="rId570" Type="http://schemas.openxmlformats.org/officeDocument/2006/relationships/image" Target="media/image550.png"/><Relationship Id="rId571" Type="http://schemas.openxmlformats.org/officeDocument/2006/relationships/image" Target="media/image551.png"/><Relationship Id="rId572" Type="http://schemas.openxmlformats.org/officeDocument/2006/relationships/image" Target="media/image552.png"/><Relationship Id="rId573" Type="http://schemas.openxmlformats.org/officeDocument/2006/relationships/image" Target="media/image553.png"/><Relationship Id="rId574" Type="http://schemas.openxmlformats.org/officeDocument/2006/relationships/image" Target="media/image554.png"/><Relationship Id="rId575" Type="http://schemas.openxmlformats.org/officeDocument/2006/relationships/image" Target="media/image555.png"/><Relationship Id="rId576" Type="http://schemas.openxmlformats.org/officeDocument/2006/relationships/image" Target="media/image556.png"/><Relationship Id="rId577" Type="http://schemas.openxmlformats.org/officeDocument/2006/relationships/image" Target="media/image557.png"/><Relationship Id="rId578" Type="http://schemas.openxmlformats.org/officeDocument/2006/relationships/image" Target="media/image558.png"/><Relationship Id="rId579" Type="http://schemas.openxmlformats.org/officeDocument/2006/relationships/image" Target="media/image559.png"/><Relationship Id="rId580" Type="http://schemas.openxmlformats.org/officeDocument/2006/relationships/image" Target="media/image560.png"/><Relationship Id="rId581" Type="http://schemas.openxmlformats.org/officeDocument/2006/relationships/image" Target="media/image561.png"/><Relationship Id="rId582" Type="http://schemas.openxmlformats.org/officeDocument/2006/relationships/image" Target="media/image562.png"/><Relationship Id="rId583" Type="http://schemas.openxmlformats.org/officeDocument/2006/relationships/image" Target="media/image563.png"/><Relationship Id="rId584" Type="http://schemas.openxmlformats.org/officeDocument/2006/relationships/image" Target="media/image564.png"/><Relationship Id="rId585" Type="http://schemas.openxmlformats.org/officeDocument/2006/relationships/image" Target="media/image565.png"/><Relationship Id="rId586" Type="http://schemas.openxmlformats.org/officeDocument/2006/relationships/image" Target="media/image566.png"/><Relationship Id="rId587" Type="http://schemas.openxmlformats.org/officeDocument/2006/relationships/image" Target="media/image567.png"/><Relationship Id="rId588" Type="http://schemas.openxmlformats.org/officeDocument/2006/relationships/image" Target="media/image568.png"/><Relationship Id="rId589" Type="http://schemas.openxmlformats.org/officeDocument/2006/relationships/image" Target="media/image569.png"/><Relationship Id="rId590" Type="http://schemas.openxmlformats.org/officeDocument/2006/relationships/image" Target="media/image570.png"/><Relationship Id="rId591" Type="http://schemas.openxmlformats.org/officeDocument/2006/relationships/image" Target="media/image571.png"/><Relationship Id="rId592" Type="http://schemas.openxmlformats.org/officeDocument/2006/relationships/image" Target="media/image572.png"/><Relationship Id="rId593" Type="http://schemas.openxmlformats.org/officeDocument/2006/relationships/image" Target="media/image573.png"/><Relationship Id="rId594" Type="http://schemas.openxmlformats.org/officeDocument/2006/relationships/image" Target="media/image574.png"/><Relationship Id="rId595" Type="http://schemas.openxmlformats.org/officeDocument/2006/relationships/image" Target="media/image575.png"/><Relationship Id="rId596" Type="http://schemas.openxmlformats.org/officeDocument/2006/relationships/image" Target="media/image576.png"/><Relationship Id="rId597" Type="http://schemas.openxmlformats.org/officeDocument/2006/relationships/image" Target="media/image577.png"/><Relationship Id="rId598" Type="http://schemas.openxmlformats.org/officeDocument/2006/relationships/image" Target="media/image578.png"/><Relationship Id="rId599" Type="http://schemas.openxmlformats.org/officeDocument/2006/relationships/image" Target="media/image579.png"/><Relationship Id="rId600" Type="http://schemas.openxmlformats.org/officeDocument/2006/relationships/image" Target="media/image580.png"/><Relationship Id="rId601" Type="http://schemas.openxmlformats.org/officeDocument/2006/relationships/image" Target="media/image581.png"/><Relationship Id="rId602" Type="http://schemas.openxmlformats.org/officeDocument/2006/relationships/image" Target="media/image582.png"/><Relationship Id="rId603" Type="http://schemas.openxmlformats.org/officeDocument/2006/relationships/image" Target="media/image583.png"/><Relationship Id="rId604" Type="http://schemas.openxmlformats.org/officeDocument/2006/relationships/image" Target="media/image584.png"/><Relationship Id="rId605" Type="http://schemas.openxmlformats.org/officeDocument/2006/relationships/image" Target="media/image585.png"/><Relationship Id="rId606" Type="http://schemas.openxmlformats.org/officeDocument/2006/relationships/image" Target="media/image586.jpeg"/><Relationship Id="rId607" Type="http://schemas.openxmlformats.org/officeDocument/2006/relationships/image" Target="media/image587.png"/><Relationship Id="rId608" Type="http://schemas.openxmlformats.org/officeDocument/2006/relationships/image" Target="media/image588.png"/><Relationship Id="rId609" Type="http://schemas.openxmlformats.org/officeDocument/2006/relationships/image" Target="media/image589.png"/><Relationship Id="rId610" Type="http://schemas.openxmlformats.org/officeDocument/2006/relationships/image" Target="media/image590.png"/><Relationship Id="rId611" Type="http://schemas.openxmlformats.org/officeDocument/2006/relationships/image" Target="media/image591.png"/><Relationship Id="rId463" Type="http://schemas.openxmlformats.org/officeDocument/2006/relationships/hyperlink" Target="https://www.sec.gov/Archives/edgar/data/0001404655/000156459016013204/hubs-ex31_768.htm" TargetMode="External"/><Relationship Id="rId464" Type="http://schemas.openxmlformats.org/officeDocument/2006/relationships/hyperlink" Target="https://www.sec.gov/Archives/edgar/data/1404655/000095017023001309/hubs-ex3_1.htm" TargetMode="External"/><Relationship Id="rId465" Type="http://schemas.openxmlformats.org/officeDocument/2006/relationships/hyperlink" Target="https://www.sec.gov/Archives/edgar/data/1404655/000119312514353746/d697256dex41.htm" TargetMode="External"/><Relationship Id="rId466" Type="http://schemas.openxmlformats.org/officeDocument/2006/relationships/hyperlink" Target="https://www.sec.gov/Archives/edgar/data/1404655/000119312520162234/d933656dex41.htm" TargetMode="External"/><Relationship Id="rId467" Type="http://schemas.openxmlformats.org/officeDocument/2006/relationships/hyperlink" Target="https://www.sec.gov/Archives/edgar/data/1404655/000156459020004381/hubs-ex45_1719.htm" TargetMode="External"/><Relationship Id="rId468" Type="http://schemas.openxmlformats.org/officeDocument/2006/relationships/hyperlink" Target="https://www.sec.gov/Archives/edgar/data/1404655/000156459020004381/hubs-ex105_11.htm" TargetMode="External"/><Relationship Id="rId469" Type="http://schemas.openxmlformats.org/officeDocument/2006/relationships/hyperlink" Target="https://www.sec.gov/Archives/edgar/data/1404655/000119312514320044/d697256dex104.htm" TargetMode="External"/><Relationship Id="rId470" Type="http://schemas.openxmlformats.org/officeDocument/2006/relationships/hyperlink" Target="https://www.sec.gov/Archives/edgar/data/1404655/000119312514320044/d697256dex105.htm" TargetMode="External"/><Relationship Id="rId471" Type="http://schemas.openxmlformats.org/officeDocument/2006/relationships/hyperlink" Target="https://www.sec.gov/Archives/edgar/data/1404655/000095017022001221/hubs-ex10_10.htm" TargetMode="External"/><Relationship Id="rId472" Type="http://schemas.openxmlformats.org/officeDocument/2006/relationships/hyperlink" Target="https://www.sec.gov/Archives/edgar/data/1404655/000119312517165870/d383013dex101.htm" TargetMode="External"/><Relationship Id="rId473" Type="http://schemas.openxmlformats.org/officeDocument/2006/relationships/hyperlink" Target="https://www.sec.gov/Archives/edgar/data/1404655/000119312517165870/d383013dex102.htm" TargetMode="External"/><Relationship Id="rId474" Type="http://schemas.openxmlformats.org/officeDocument/2006/relationships/hyperlink" Target="https://www.sec.gov/Archives/edgar/data/1404655/000095017022001221/hubs-ex10_13.htm" TargetMode="External"/><Relationship Id="rId475" Type="http://schemas.openxmlformats.org/officeDocument/2006/relationships/hyperlink" Target="https://www.sec.gov/Archives/edgar/data/1404655/000119312520162234/d933656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2024-02-14T16:42:12Z</dcterms:created>
  <dcterms:modified xsi:type="dcterms:W3CDTF">2024-02-14T16:42:12Z</dcterms:modified>
</cp:coreProperties>
</file>