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200" w:type="dxa"/>
            <w:vAlign w:val="bottom"/>
            <w:gridSpan w:val="5"/>
          </w:tcPr>
          <w:p>
            <w:pPr>
              <w:ind w:left="31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gridSpan w:val="3"/>
          </w:tcPr>
          <w:p>
            <w:pPr>
              <w:spacing w:after="0"/>
              <w:rPr>
                <w:sz w:val="16"/>
                <w:szCs w:val="16"/>
                <w:color w:val="auto"/>
              </w:rPr>
            </w:pPr>
          </w:p>
        </w:tc>
        <w:tc>
          <w:tcPr>
            <w:tcW w:w="4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98"/>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8"/>
          </w:tcPr>
          <w:p>
            <w:pPr>
              <w:jc w:val="center"/>
              <w:ind w:right="3979"/>
              <w:spacing w:after="0"/>
              <w:rPr>
                <w:sz w:val="20"/>
                <w:szCs w:val="20"/>
                <w:color w:val="auto"/>
              </w:rPr>
            </w:pPr>
            <w:r>
              <w:rPr>
                <w:rFonts w:ascii="Times New Roman" w:cs="Times New Roman" w:eastAsia="Times New Roman" w:hAnsi="Times New Roman"/>
                <w:sz w:val="16"/>
                <w:szCs w:val="16"/>
                <w:b w:val="1"/>
                <w:bCs w:val="1"/>
                <w:color w:val="auto"/>
              </w:rPr>
              <w:t>COMMISSION FILE NUMBER 001-36680</w:t>
            </w: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jc w:val="center"/>
              <w:ind w:left="48"/>
              <w:spacing w:after="0"/>
              <w:rPr>
                <w:sz w:val="20"/>
                <w:szCs w:val="20"/>
                <w:color w:val="auto"/>
              </w:rPr>
            </w:pPr>
            <w:r>
              <w:rPr>
                <w:rFonts w:ascii="Times New Roman" w:cs="Times New Roman" w:eastAsia="Times New Roman" w:hAnsi="Times New Roman"/>
                <w:sz w:val="40"/>
                <w:szCs w:val="40"/>
                <w:b w:val="1"/>
                <w:bCs w:val="1"/>
                <w:color w:val="auto"/>
                <w:w w:val="98"/>
              </w:rPr>
              <w:t>HubSpot, Inc.</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7680" w:type="dxa"/>
            <w:vAlign w:val="bottom"/>
            <w:gridSpan w:val="10"/>
          </w:tcPr>
          <w:p>
            <w:pPr>
              <w:jc w:val="center"/>
              <w:ind w:right="34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35"/>
        </w:trPr>
        <w:tc>
          <w:tcPr>
            <w:tcW w:w="3560" w:type="dxa"/>
            <w:vAlign w:val="bottom"/>
            <w:vMerge w:val="restart"/>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gridSpan w:val="3"/>
            <w:vMerge w:val="restart"/>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20-2632791</w:t>
            </w:r>
          </w:p>
        </w:tc>
        <w:tc>
          <w:tcPr>
            <w:tcW w:w="0" w:type="dxa"/>
            <w:vAlign w:val="bottom"/>
          </w:tcPr>
          <w:p>
            <w:pPr>
              <w:spacing w:after="0"/>
              <w:rPr>
                <w:sz w:val="1"/>
                <w:szCs w:val="1"/>
                <w:color w:val="auto"/>
              </w:rPr>
            </w:pPr>
          </w:p>
        </w:tc>
      </w:tr>
      <w:tr>
        <w:trPr>
          <w:trHeight w:val="406"/>
        </w:trPr>
        <w:tc>
          <w:tcPr>
            <w:tcW w:w="3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000" w:type="dxa"/>
            <w:vAlign w:val="bottom"/>
            <w:gridSpan w:val="8"/>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7000" w:type="dxa"/>
            <w:vAlign w:val="bottom"/>
            <w:gridSpan w:val="8"/>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426"/>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Two Canal Park</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center"/>
              <w:ind w:left="88"/>
              <w:spacing w:after="0"/>
              <w:rPr>
                <w:sz w:val="20"/>
                <w:szCs w:val="20"/>
                <w:color w:val="auto"/>
              </w:rPr>
            </w:pPr>
            <w:r>
              <w:rPr>
                <w:rFonts w:ascii="Times New Roman" w:cs="Times New Roman" w:eastAsia="Times New Roman" w:hAnsi="Times New Roman"/>
                <w:sz w:val="17"/>
                <w:szCs w:val="17"/>
                <w:b w:val="1"/>
                <w:bCs w:val="1"/>
                <w:color w:val="auto"/>
              </w:rPr>
              <w:t>Cambridge, Massachusetts 02141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60" w:type="dxa"/>
            <w:vAlign w:val="bottom"/>
            <w:gridSpan w:val="8"/>
          </w:tcPr>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640" w:type="dxa"/>
            <w:vAlign w:val="bottom"/>
            <w:gridSpan w:val="4"/>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(888) 482-7768</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7680" w:type="dxa"/>
            <w:vAlign w:val="bottom"/>
            <w:gridSpan w:val="10"/>
          </w:tcPr>
          <w:p>
            <w:pPr>
              <w:jc w:val="center"/>
              <w:ind w:right="34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4"/>
                <w:szCs w:val="24"/>
                <w:color w:val="auto"/>
              </w:rPr>
            </w:pPr>
          </w:p>
        </w:tc>
        <w:tc>
          <w:tcPr>
            <w:tcW w:w="7680" w:type="dxa"/>
            <w:vAlign w:val="bottom"/>
            <w:gridSpan w:val="10"/>
          </w:tcPr>
          <w:p>
            <w:pPr>
              <w:jc w:val="center"/>
              <w:ind w:right="34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432"/>
        </w:trPr>
        <w:tc>
          <w:tcPr>
            <w:tcW w:w="35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2"/>
        </w:trPr>
        <w:tc>
          <w:tcPr>
            <w:tcW w:w="356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HUBS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0" w:lineRule="exact"/>
        <w:rPr>
          <w:sz w:val="24"/>
          <w:szCs w:val="24"/>
          <w:color w:val="auto"/>
        </w:rPr>
      </w:pPr>
    </w:p>
    <w:p>
      <w:pPr>
        <w:ind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80" w:firstLine="509"/>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0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growth company. See the definitions of “large accelerated filer,” “accelerated filer,” “smaller reporting company,” and “emerging growth company” in Rule 12b-2 of the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314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18"/>
                <w:szCs w:val="18"/>
                <w:color w:val="auto"/>
              </w:rPr>
            </w:pP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vMerge w:val="continue"/>
          </w:tcPr>
          <w:p>
            <w:pPr>
              <w:spacing w:after="0"/>
              <w:rPr>
                <w:sz w:val="17"/>
                <w:szCs w:val="17"/>
                <w:color w:val="auto"/>
              </w:rPr>
            </w:pPr>
          </w:p>
        </w:tc>
        <w:tc>
          <w:tcPr>
            <w:tcW w:w="536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20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There were 50,962,443 shares of the registrant’s Common Stock issued and outstanding as of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HUBSPOT, INC.</w:t>
            </w:r>
          </w:p>
        </w:tc>
        <w:tc>
          <w:tcPr>
            <w:tcW w:w="9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60" w:type="dxa"/>
            <w:vAlign w:val="bottom"/>
            <w:gridSpan w:val="1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60" w:type="dxa"/>
            <w:vAlign w:val="bottom"/>
            <w:gridSpan w:val="13"/>
          </w:tcPr>
          <w:p>
            <w:pPr>
              <w:jc w:val="center"/>
              <w:ind w:right="3420"/>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Balance Sheets as of March 31, 2024 and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for the Three Months Ended March 31, 2024 and 2023</w:t>
            </w:r>
          </w:p>
        </w:tc>
        <w:tc>
          <w:tcPr>
            <w:tcW w:w="20" w:type="dxa"/>
            <w:vAlign w:val="bottom"/>
            <w:tcBorders>
              <w:bottom w:val="single" w:sz="8" w:color="0000EE"/>
            </w:tcBorders>
          </w:tcPr>
          <w:p>
            <w:pPr>
              <w:spacing w:after="0"/>
              <w:rPr>
                <w:sz w:val="18"/>
                <w:szCs w:val="18"/>
                <w:color w:val="auto"/>
              </w:rPr>
            </w:pPr>
          </w:p>
        </w:tc>
        <w:tc>
          <w:tcPr>
            <w:tcW w:w="1500" w:type="dxa"/>
            <w:vAlign w:val="bottom"/>
            <w:gridSpan w:val="4"/>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Loss for the Three Months Ended March 31, 2024 and 2023</w:t>
            </w: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 of Stockholders’ Equity for the Three Months Ended March 31, 2024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3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for the Three Months Ended March 31, 2024 and 2023</w:t>
            </w:r>
          </w:p>
        </w:tc>
        <w:tc>
          <w:tcPr>
            <w:tcW w:w="82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480" w:type="dxa"/>
            <w:vAlign w:val="bottom"/>
            <w:gridSpan w:val="3"/>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60" w:type="dxa"/>
            <w:vAlign w:val="bottom"/>
            <w:gridSpan w:val="6"/>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82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60" w:type="dxa"/>
            <w:vAlign w:val="bottom"/>
            <w:gridSpan w:val="13"/>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98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20" w:type="dxa"/>
            <w:vAlign w:val="bottom"/>
            <w:gridSpan w:val="3"/>
          </w:tcPr>
          <w:p>
            <w:pPr>
              <w:spacing w:after="0"/>
              <w:rPr>
                <w:sz w:val="24"/>
                <w:szCs w:val="24"/>
                <w:color w:val="auto"/>
              </w:rPr>
            </w:pPr>
          </w:p>
        </w:tc>
        <w:tc>
          <w:tcPr>
            <w:tcW w:w="2240" w:type="dxa"/>
            <w:vAlign w:val="bottom"/>
            <w:tcBorders>
              <w:top w:val="single" w:sz="8" w:color="0000FF"/>
            </w:tcBorders>
            <w:gridSpan w:val="4"/>
          </w:tcPr>
          <w:p>
            <w:pPr>
              <w:spacing w:after="0"/>
              <w:rPr>
                <w:sz w:val="24"/>
                <w:szCs w:val="24"/>
                <w:color w:val="auto"/>
              </w:rPr>
            </w:pPr>
          </w:p>
        </w:tc>
        <w:tc>
          <w:tcPr>
            <w:tcW w:w="352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2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 Upon Senior Securities</w:t>
            </w:r>
          </w:p>
        </w:tc>
        <w:tc>
          <w:tcPr>
            <w:tcW w:w="2080" w:type="dxa"/>
            <w:vAlign w:val="bottom"/>
            <w:tcBorders>
              <w:top w:val="single" w:sz="8" w:color="0000FF"/>
            </w:tcBorders>
            <w:gridSpan w:val="4"/>
          </w:tcPr>
          <w:p>
            <w:pPr>
              <w:spacing w:after="0"/>
              <w:rPr>
                <w:sz w:val="18"/>
                <w:szCs w:val="18"/>
                <w:color w:val="auto"/>
              </w:rPr>
            </w:pPr>
          </w:p>
        </w:tc>
        <w:tc>
          <w:tcPr>
            <w:tcW w:w="4780" w:type="dxa"/>
            <w:vAlign w:val="bottom"/>
            <w:gridSpan w:val="10"/>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40" w:type="dxa"/>
            <w:vAlign w:val="bottom"/>
            <w:gridSpan w:val="15"/>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800" w:type="dxa"/>
            <w:vAlign w:val="bottom"/>
            <w:gridSpan w:val="17"/>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5"/>
        </w:trPr>
        <w:tc>
          <w:tcPr>
            <w:tcW w:w="20" w:type="dxa"/>
            <w:vAlign w:val="bottom"/>
            <w:tcBorders>
              <w:top w:val="single" w:sz="8" w:color="0000EE"/>
            </w:tcBorders>
          </w:tcPr>
          <w:p>
            <w:pPr>
              <w:spacing w:after="0"/>
              <w:rPr>
                <w:sz w:val="21"/>
                <w:szCs w:val="21"/>
                <w:color w:val="auto"/>
              </w:rPr>
            </w:pPr>
          </w:p>
        </w:tc>
        <w:tc>
          <w:tcPr>
            <w:tcW w:w="7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EX-31.1</w:t>
            </w:r>
          </w:p>
        </w:tc>
        <w:tc>
          <w:tcPr>
            <w:tcW w:w="360" w:type="dxa"/>
            <w:vAlign w:val="bottom"/>
          </w:tcPr>
          <w:p>
            <w:pPr>
              <w:spacing w:after="0"/>
              <w:rPr>
                <w:sz w:val="21"/>
                <w:szCs w:val="21"/>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THE CEO PURSUANT TO SECTION 302</w:t>
            </w:r>
          </w:p>
        </w:tc>
        <w:tc>
          <w:tcPr>
            <w:tcW w:w="98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EX-31.2</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THE CFO PURSUANT TO SECTION 302</w:t>
            </w:r>
          </w:p>
        </w:tc>
        <w:tc>
          <w:tcPr>
            <w:tcW w:w="9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EX-32.1</w:t>
            </w: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THE CEO AND CFO PURSUANT TO SECTION 906</w:t>
            </w:r>
          </w:p>
        </w:tc>
        <w:tc>
          <w:tcPr>
            <w:tcW w:w="980" w:type="dxa"/>
            <w:vAlign w:val="bottom"/>
          </w:tcPr>
          <w:p>
            <w:pPr>
              <w:spacing w:after="0"/>
              <w:rPr>
                <w:sz w:val="20"/>
                <w:szCs w:val="20"/>
                <w:color w:val="auto"/>
              </w:rPr>
            </w:pPr>
          </w:p>
        </w:tc>
      </w:tr>
      <w:tr>
        <w:trPr>
          <w:trHeight w:val="1856"/>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1" w:lineRule="exact"/>
        <w:rPr>
          <w:sz w:val="20"/>
          <w:szCs w:val="20"/>
          <w:color w:val="auto"/>
        </w:rPr>
      </w:pPr>
    </w:p>
    <w:p>
      <w:pPr>
        <w:ind w:left="1020" w:right="5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operational performance, including our expectations regarding our revenue, cost of revenue, gross margin and operating expenses;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customer base and increasing our average subscription revenue per customer;</w:t>
      </w:r>
    </w:p>
    <w:p>
      <w:pPr>
        <w:spacing w:after="0" w:line="198"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 including as a result of new or better use of evolving artificial intelligence technologies;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expectations regarding our ability to manage our future growth;</w:t>
      </w:r>
    </w:p>
    <w:p>
      <w:pPr>
        <w:spacing w:after="0" w:line="184"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w:t>
      </w:r>
    </w:p>
    <w:p>
      <w:pPr>
        <w:spacing w:after="0" w:line="14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84"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inbound marketing, selling and servicing thought leadership position;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corporate culture and our ability to attract, hire and retain necessary qualified employees to expand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 on our business of litigation to which we are or may become a party;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declaring or paying cash dividends in the foreseeable future; and</w:t>
      </w:r>
    </w:p>
    <w:p>
      <w:pPr>
        <w:spacing w:after="0" w:line="184"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18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ind w:right="280"/>
        <w:spacing w:after="0" w:line="266" w:lineRule="auto"/>
        <w:rPr>
          <w:sz w:val="20"/>
          <w:szCs w:val="20"/>
          <w:color w:val="auto"/>
        </w:rPr>
      </w:pPr>
      <w:r>
        <w:rPr>
          <w:rFonts w:ascii="Times New Roman" w:cs="Times New Roman" w:eastAsia="Times New Roman" w:hAnsi="Times New Roman"/>
          <w:sz w:val="18"/>
          <w:szCs w:val="18"/>
          <w:color w:val="auto"/>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the terms “HubSpot,” “we,” “us,” and “our” refer to HubSpot, Inc. and its subsidiaries, unless the context indicates otherwise.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35" w:lineRule="exact"/>
        <w:rPr>
          <w:sz w:val="20"/>
          <w:szCs w:val="20"/>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customer renewals, the addition of new customers, increased revenue from existing customers and the continued growth of the market for a customer platform.</w:t>
      </w:r>
    </w:p>
    <w:p>
      <w:pPr>
        <w:spacing w:after="0" w:line="134"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spacing w:after="0" w:line="135"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2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requirements, our customer platform may become less competitive.</w:t>
      </w:r>
    </w:p>
    <w:p>
      <w:pPr>
        <w:spacing w:after="0" w:line="134"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that could adversely affect our financial results.</w:t>
      </w:r>
    </w:p>
    <w:p>
      <w:pPr>
        <w:spacing w:after="0" w:line="184"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economic downturn may lead to decreased demand for our products and services and otherwise harm our business and results of operations.</w:t>
      </w:r>
    </w:p>
    <w:p>
      <w:pPr>
        <w:spacing w:after="0" w:line="134"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21"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12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achieve profitability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 w:name="page5"/>
    <w:bookmarkEnd w:id="4"/>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4"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2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and our failure to raise capital when needed could prevent us from growing.</w:t>
      </w:r>
    </w:p>
    <w:p>
      <w:pPr>
        <w:spacing w:after="0" w:line="225"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3"/>
          </w:cols>
          <w:pgMar w:left="837" w:top="1161" w:right="7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447,793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1,000,245</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 net of allowance for doubtful accounts of $4,937</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March 31, 2024 and $5,516 at December 31, 2023</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266,862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 expense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99,326</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1,871,540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311,526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251,071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 expense, net of current portion</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173,667</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173,761</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3,193,103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commissions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696,878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296,561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456,704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456,206</w:t>
            </w:r>
          </w:p>
        </w:tc>
        <w:tc>
          <w:tcPr>
            <w:tcW w:w="100" w:type="dxa"/>
            <w:vAlign w:val="bottom"/>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1,743,986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1,737,044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2,136,908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(798,503 )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(804,437 )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1,449,117</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1,334,348</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3,193,103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-5048250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-3488055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-3471545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-3471545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2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20" w:type="dxa"/>
            <w:vAlign w:val="bottom"/>
          </w:tcPr>
          <w:p>
            <w:pPr>
              <w:spacing w:after="0"/>
              <w:rPr>
                <w:sz w:val="14"/>
                <w:szCs w:val="14"/>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603,798</w:t>
            </w:r>
          </w:p>
        </w:tc>
        <w:tc>
          <w:tcPr>
            <w:tcW w:w="280" w:type="dxa"/>
            <w:vAlign w:val="bottom"/>
          </w:tcPr>
          <w:p>
            <w:pPr>
              <w:spacing w:after="0"/>
              <w:rPr>
                <w:sz w:val="20"/>
                <w:szCs w:val="20"/>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489,743</w:t>
            </w:r>
          </w:p>
        </w:tc>
        <w:tc>
          <w:tcPr>
            <w:tcW w:w="100" w:type="dxa"/>
            <w:vAlign w:val="bottom"/>
          </w:tcPr>
          <w:p>
            <w:pPr>
              <w:spacing w:after="0"/>
              <w:rPr>
                <w:sz w:val="20"/>
                <w:szCs w:val="20"/>
                <w:color w:val="auto"/>
              </w:rPr>
            </w:pPr>
          </w:p>
        </w:tc>
      </w:tr>
      <w:tr>
        <w:trPr>
          <w:trHeight w:val="247"/>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617,414</w:t>
            </w:r>
          </w:p>
        </w:tc>
        <w:tc>
          <w:tcPr>
            <w:tcW w:w="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501,620</w:t>
            </w:r>
          </w:p>
        </w:tc>
        <w:tc>
          <w:tcPr>
            <w:tcW w:w="100" w:type="dxa"/>
            <w:vAlign w:val="bottom"/>
          </w:tcPr>
          <w:p>
            <w:pPr>
              <w:spacing w:after="0"/>
              <w:rPr>
                <w:sz w:val="20"/>
                <w:szCs w:val="20"/>
                <w:color w:val="auto"/>
              </w:rPr>
            </w:pPr>
          </w:p>
        </w:tc>
      </w:tr>
      <w:tr>
        <w:trPr>
          <w:trHeight w:val="237"/>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66,622</w:t>
            </w:r>
          </w:p>
        </w:tc>
        <w:tc>
          <w:tcPr>
            <w:tcW w:w="100" w:type="dxa"/>
            <w:vAlign w:val="bottom"/>
          </w:tcPr>
          <w:p>
            <w:pPr>
              <w:spacing w:after="0"/>
              <w:rPr>
                <w:sz w:val="20"/>
                <w:szCs w:val="20"/>
                <w:color w:val="auto"/>
              </w:rPr>
            </w:pPr>
          </w:p>
        </w:tc>
      </w:tr>
      <w:tr>
        <w:trPr>
          <w:trHeight w:val="247"/>
        </w:trPr>
        <w:tc>
          <w:tcPr>
            <w:tcW w:w="7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cost of revenues</w:t>
            </w:r>
          </w:p>
        </w:tc>
        <w:tc>
          <w:tcPr>
            <w:tcW w:w="1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95,088</w:t>
            </w:r>
          </w:p>
        </w:tc>
        <w:tc>
          <w:tcPr>
            <w:tcW w:w="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80,329</w:t>
            </w:r>
          </w:p>
        </w:tc>
        <w:tc>
          <w:tcPr>
            <w:tcW w:w="100" w:type="dxa"/>
            <w:vAlign w:val="bottom"/>
          </w:tcPr>
          <w:p>
            <w:pPr>
              <w:spacing w:after="0"/>
              <w:rPr>
                <w:sz w:val="20"/>
                <w:szCs w:val="20"/>
                <w:color w:val="auto"/>
              </w:rPr>
            </w:pPr>
          </w:p>
        </w:tc>
      </w:tr>
      <w:tr>
        <w:trPr>
          <w:trHeight w:val="236"/>
        </w:trPr>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522,326</w:t>
            </w:r>
          </w:p>
        </w:tc>
        <w:tc>
          <w:tcPr>
            <w:tcW w:w="2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175,637</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127,683</w:t>
            </w:r>
          </w:p>
        </w:tc>
        <w:tc>
          <w:tcPr>
            <w:tcW w:w="100" w:type="dxa"/>
            <w:vAlign w:val="bottom"/>
            <w:shd w:val="clear" w:color="auto" w:fill="CFF0FC"/>
          </w:tcPr>
          <w:p>
            <w:pPr>
              <w:spacing w:after="0"/>
              <w:rPr>
                <w:sz w:val="21"/>
                <w:szCs w:val="2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300,282</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250,683</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100" w:type="dxa"/>
            <w:vAlign w:val="bottom"/>
            <w:shd w:val="clear" w:color="auto" w:fill="CFF0FC"/>
          </w:tcPr>
          <w:p>
            <w:pPr>
              <w:spacing w:after="0"/>
              <w:rPr>
                <w:sz w:val="21"/>
                <w:szCs w:val="21"/>
                <w:color w:val="auto"/>
              </w:rPr>
            </w:pPr>
          </w:p>
        </w:tc>
      </w:tr>
      <w:tr>
        <w:trPr>
          <w:trHeight w:val="243"/>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1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28,570</w:t>
            </w:r>
          </w:p>
        </w:tc>
        <w:tc>
          <w:tcPr>
            <w:tcW w:w="100" w:type="dxa"/>
            <w:vAlign w:val="bottom"/>
          </w:tcPr>
          <w:p>
            <w:pPr>
              <w:spacing w:after="0"/>
              <w:rPr>
                <w:sz w:val="21"/>
                <w:szCs w:val="21"/>
                <w:color w:val="auto"/>
              </w:rPr>
            </w:pPr>
          </w:p>
        </w:tc>
      </w:tr>
      <w:tr>
        <w:trPr>
          <w:trHeight w:val="236"/>
        </w:trPr>
        <w:tc>
          <w:tcPr>
            <w:tcW w:w="7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545,559</w:t>
            </w:r>
          </w:p>
        </w:tc>
        <w:tc>
          <w:tcPr>
            <w:tcW w:w="2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(23,233 )</w:t>
            </w:r>
          </w:p>
        </w:tc>
        <w:tc>
          <w:tcPr>
            <w:tcW w:w="1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(43,050 )</w:t>
            </w:r>
          </w:p>
        </w:tc>
      </w:tr>
      <w:tr>
        <w:trPr>
          <w:trHeight w:val="237"/>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20"/>
                <w:szCs w:val="20"/>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(935 )</w:t>
            </w:r>
          </w:p>
        </w:tc>
        <w:tc>
          <w:tcPr>
            <w:tcW w:w="1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(930 )</w:t>
            </w:r>
          </w:p>
        </w:tc>
      </w:tr>
      <w:tr>
        <w:trPr>
          <w:trHeight w:val="243"/>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(794 )</w:t>
            </w:r>
          </w:p>
        </w:tc>
      </w:tr>
      <w:tr>
        <w:trPr>
          <w:trHeight w:val="237"/>
        </w:trPr>
        <w:tc>
          <w:tcPr>
            <w:tcW w:w="7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12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(34,302 )</w:t>
            </w:r>
          </w:p>
        </w:tc>
      </w:tr>
      <w:tr>
        <w:trPr>
          <w:trHeight w:val="247"/>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(1,786 )</w:t>
            </w:r>
          </w:p>
        </w:tc>
        <w:tc>
          <w:tcPr>
            <w:tcW w:w="1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(2,418 )</w:t>
            </w:r>
          </w:p>
        </w:tc>
      </w:tr>
      <w:tr>
        <w:trPr>
          <w:trHeight w:val="20"/>
        </w:trPr>
        <w:tc>
          <w:tcPr>
            <w:tcW w:w="71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80" w:type="dxa"/>
            <w:vAlign w:val="bottom"/>
          </w:tcPr>
          <w:p>
            <w:pPr>
              <w:spacing w:after="0"/>
              <w:rPr>
                <w:sz w:val="20"/>
                <w:szCs w:val="20"/>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(36,720 )</w:t>
            </w:r>
          </w:p>
        </w:tc>
      </w:tr>
      <w:tr>
        <w:trPr>
          <w:trHeight w:val="20"/>
        </w:trPr>
        <w:tc>
          <w:tcPr>
            <w:tcW w:w="7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(0.74 )</w:t>
            </w:r>
          </w:p>
        </w:tc>
      </w:tr>
      <w:tr>
        <w:trPr>
          <w:trHeight w:val="23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20"/>
                <w:szCs w:val="20"/>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(0.74 )</w:t>
            </w:r>
          </w:p>
        </w:tc>
      </w:tr>
      <w:tr>
        <w:trPr>
          <w:trHeight w:val="215"/>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basic net</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(loss) per share:</w:t>
            </w:r>
          </w:p>
        </w:tc>
        <w:tc>
          <w:tcPr>
            <w:tcW w:w="1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shd w:val="clear" w:color="auto" w:fill="CFF0FC"/>
          </w:tcPr>
          <w:p>
            <w:pPr>
              <w:spacing w:after="0"/>
              <w:rPr>
                <w:sz w:val="21"/>
                <w:szCs w:val="21"/>
                <w:color w:val="auto"/>
              </w:rPr>
            </w:pPr>
          </w:p>
        </w:tc>
      </w:tr>
      <w:tr>
        <w:trPr>
          <w:trHeight w:val="211"/>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diluted net</w:t>
            </w: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per share:</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51,498</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-4243070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-4243070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-3608070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-3282950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-3282950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-2339975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-2339975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-1388110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-1071245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80" w:type="dxa"/>
            <w:vAlign w:val="bottom"/>
          </w:tcPr>
          <w:p>
            <w:pPr>
              <w:spacing w:after="0"/>
              <w:rPr>
                <w:sz w:val="14"/>
                <w:szCs w:val="1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(36,720 )</w:t>
            </w:r>
          </w:p>
        </w:tc>
        <w:tc>
          <w:tcPr>
            <w:tcW w:w="0" w:type="dxa"/>
            <w:vAlign w:val="bottom"/>
          </w:tcPr>
          <w:p>
            <w:pPr>
              <w:spacing w:after="0"/>
              <w:rPr>
                <w:sz w:val="1"/>
                <w:szCs w:val="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(2,044 )</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unrealized loss on investments, net of income taxes</w:t>
            </w:r>
          </w:p>
        </w:tc>
        <w:tc>
          <w:tcPr>
            <w:tcW w:w="110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(2,763 )</w:t>
            </w:r>
          </w:p>
        </w:tc>
        <w:tc>
          <w:tcPr>
            <w:tcW w:w="10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$0 for the three months ended March 31, 2024 and 2023</w:t>
            </w:r>
          </w:p>
        </w:tc>
        <w:tc>
          <w:tcPr>
            <w:tcW w:w="11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(31,586 )</w:t>
            </w:r>
          </w:p>
        </w:tc>
        <w:tc>
          <w:tcPr>
            <w:tcW w:w="0" w:type="dxa"/>
            <w:vAlign w:val="bottom"/>
          </w:tcPr>
          <w:p>
            <w:pPr>
              <w:spacing w:after="0"/>
              <w:rPr>
                <w:sz w:val="1"/>
                <w:szCs w:val="1"/>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center"/>
              <w:ind w:left="539"/>
              <w:spacing w:after="0"/>
              <w:rPr>
                <w:sz w:val="20"/>
                <w:szCs w:val="20"/>
                <w:color w:val="auto"/>
              </w:rPr>
            </w:pPr>
            <w:r>
              <w:rPr>
                <w:rFonts w:ascii="Times New Roman" w:cs="Times New Roman" w:eastAsia="Times New Roman" w:hAnsi="Times New Roman"/>
                <w:sz w:val="13"/>
                <w:szCs w:val="13"/>
                <w:b w:val="1"/>
                <w:bCs w:val="1"/>
                <w:color w:val="auto"/>
              </w:rPr>
              <w:t>$0.001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5"/>
                <w:szCs w:val="15"/>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5"/>
                <w:szCs w:val="15"/>
                <w:color w:val="auto"/>
              </w:rPr>
            </w:pPr>
          </w:p>
        </w:tc>
        <w:tc>
          <w:tcPr>
            <w:tcW w:w="142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3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23"/>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December 31, 2023</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50,448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c>
          <w:tcPr>
            <w:tcW w:w="920" w:type="dxa"/>
            <w:vAlign w:val="bottom"/>
            <w:tcBorders>
              <w:right w:val="single" w:sz="8" w:color="CFF0FC"/>
            </w:tcBorders>
            <w:gridSpan w:val="3"/>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910</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2,136,908</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FF0FC"/>
            </w:tcBorders>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(804,437 )</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1,334,348</w:t>
            </w:r>
          </w:p>
        </w:tc>
        <w:tc>
          <w:tcPr>
            <w:tcW w:w="100" w:type="dxa"/>
            <w:vAlign w:val="bottom"/>
            <w:shd w:val="clear" w:color="auto" w:fill="CFF0FC"/>
          </w:tcPr>
          <w:p>
            <w:pPr>
              <w:spacing w:after="0"/>
              <w:rPr>
                <w:sz w:val="19"/>
                <w:szCs w:val="19"/>
                <w:color w:val="auto"/>
              </w:rPr>
            </w:pPr>
          </w:p>
        </w:tc>
      </w:tr>
      <w:tr>
        <w:trPr>
          <w:trHeight w:val="194"/>
        </w:trPr>
        <w:tc>
          <w:tcPr>
            <w:tcW w:w="29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stock plans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6,514</w:t>
            </w:r>
          </w:p>
        </w:tc>
        <w:tc>
          <w:tcPr>
            <w:tcW w:w="100" w:type="dxa"/>
            <w:vAlign w:val="bottom"/>
          </w:tcPr>
          <w:p>
            <w:pPr>
              <w:spacing w:after="0"/>
              <w:rPr>
                <w:sz w:val="20"/>
                <w:szCs w:val="20"/>
                <w:color w:val="auto"/>
              </w:rPr>
            </w:pPr>
          </w:p>
        </w:tc>
      </w:tr>
      <w:tr>
        <w:trPr>
          <w:trHeight w:val="202"/>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stock units taxes paid</w:t>
            </w:r>
          </w:p>
        </w:tc>
        <w:tc>
          <w:tcPr>
            <w:tcW w:w="7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 cash</w:t>
            </w:r>
          </w:p>
        </w:tc>
        <w:tc>
          <w:tcPr>
            <w:tcW w:w="118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lef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(8,791 )</w:t>
            </w:r>
          </w:p>
        </w:tc>
        <w:tc>
          <w:tcPr>
            <w:tcW w:w="140" w:type="dxa"/>
            <w:vAlign w:val="bottom"/>
            <w:shd w:val="clear" w:color="auto" w:fill="CFF0FC"/>
          </w:tcPr>
          <w:p>
            <w:pPr>
              <w:spacing w:after="0"/>
              <w:rPr>
                <w:sz w:val="20"/>
                <w:szCs w:val="20"/>
                <w:color w:val="auto"/>
              </w:rPr>
            </w:pPr>
          </w:p>
        </w:tc>
        <w:tc>
          <w:tcPr>
            <w:tcW w:w="14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(8,791 )</w:t>
            </w:r>
          </w:p>
        </w:tc>
      </w:tr>
      <w:tr>
        <w:trPr>
          <w:trHeight w:val="22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115,919</w:t>
            </w:r>
          </w:p>
        </w:tc>
        <w:tc>
          <w:tcPr>
            <w:tcW w:w="100" w:type="dxa"/>
            <w:vAlign w:val="bottom"/>
          </w:tcPr>
          <w:p>
            <w:pPr>
              <w:spacing w:after="0"/>
              <w:rPr>
                <w:sz w:val="19"/>
                <w:szCs w:val="19"/>
                <w:color w:val="auto"/>
              </w:rPr>
            </w:pPr>
          </w:p>
        </w:tc>
      </w:tr>
      <w:tr>
        <w:trPr>
          <w:trHeight w:val="233"/>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74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lef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(2,044 )</w:t>
            </w:r>
          </w:p>
        </w:tc>
        <w:tc>
          <w:tcPr>
            <w:tcW w:w="1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(2,044 )</w:t>
            </w:r>
          </w:p>
        </w:tc>
      </w:tr>
      <w:tr>
        <w:trPr>
          <w:trHeight w:val="194"/>
        </w:trPr>
        <w:tc>
          <w:tcPr>
            <w:tcW w:w="29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Unrealized loss on investments,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of income taxes of $0</w:t>
            </w:r>
          </w:p>
        </w:tc>
        <w:tc>
          <w:tcPr>
            <w:tcW w:w="7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(2,763 )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(2,763 )</w:t>
            </w:r>
          </w:p>
        </w:tc>
      </w:tr>
      <w:tr>
        <w:trPr>
          <w:trHeight w:val="236"/>
        </w:trPr>
        <w:tc>
          <w:tcPr>
            <w:tcW w:w="2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right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left w:val="single" w:sz="8" w:color="CFF0FC"/>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left w:val="single" w:sz="8" w:color="CFF0FC"/>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5,934</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Balances at March 31, 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50,760</w:t>
            </w:r>
          </w:p>
        </w:tc>
        <w:tc>
          <w:tcPr>
            <w:tcW w:w="2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gridSpan w:val="2"/>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909</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2,250,549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(2,980 )</w:t>
            </w:r>
          </w:p>
        </w:tc>
        <w:tc>
          <w:tcPr>
            <w:tcW w:w="40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(798,503 )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1,449,117</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2"/>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2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2"/>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Treasury Stock, $0.001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23"/>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December 31,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49,217</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FF0FC"/>
            </w:tcBorders>
            <w:shd w:val="clear" w:color="auto" w:fill="CFF0FC"/>
          </w:tcPr>
          <w:p>
            <w:pPr>
              <w:spacing w:after="0"/>
              <w:rPr>
                <w:sz w:val="19"/>
                <w:szCs w:val="19"/>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1,647,446</w:t>
            </w:r>
          </w:p>
        </w:tc>
        <w:tc>
          <w:tcPr>
            <w:tcW w:w="14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4"/>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rPr>
              <w:t>(12,890 )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(639,927 )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994,678</w:t>
            </w:r>
          </w:p>
        </w:tc>
        <w:tc>
          <w:tcPr>
            <w:tcW w:w="100" w:type="dxa"/>
            <w:vAlign w:val="bottom"/>
            <w:shd w:val="clear" w:color="auto" w:fill="CFF0FC"/>
          </w:tcPr>
          <w:p>
            <w:pPr>
              <w:spacing w:after="0"/>
              <w:rPr>
                <w:sz w:val="19"/>
                <w:szCs w:val="19"/>
                <w:color w:val="auto"/>
              </w:rPr>
            </w:pPr>
          </w:p>
        </w:tc>
      </w:tr>
      <w:tr>
        <w:trPr>
          <w:trHeight w:val="194"/>
        </w:trPr>
        <w:tc>
          <w:tcPr>
            <w:tcW w:w="29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tcPr>
          <w:p>
            <w:pPr>
              <w:spacing w:after="0"/>
              <w:rPr>
                <w:sz w:val="20"/>
                <w:szCs w:val="20"/>
                <w:color w:val="auto"/>
              </w:rPr>
            </w:pPr>
          </w:p>
        </w:tc>
      </w:tr>
      <w:tr>
        <w:trPr>
          <w:trHeight w:val="202"/>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stock units taxes paid</w:t>
            </w:r>
          </w:p>
        </w:tc>
        <w:tc>
          <w:tcPr>
            <w:tcW w:w="7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 cash</w:t>
            </w:r>
          </w:p>
        </w:tc>
        <w:tc>
          <w:tcPr>
            <w:tcW w:w="980" w:type="dxa"/>
            <w:vAlign w:val="bottom"/>
            <w:tcBorders>
              <w:right w:val="single" w:sz="8" w:color="CFF0FC"/>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(4 )</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lef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(1,198 )</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(1,198 )</w:t>
            </w:r>
          </w:p>
        </w:tc>
      </w:tr>
      <w:tr>
        <w:trPr>
          <w:trHeight w:val="22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87,305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87,305</w:t>
            </w:r>
          </w:p>
        </w:tc>
        <w:tc>
          <w:tcPr>
            <w:tcW w:w="100" w:type="dxa"/>
            <w:vAlign w:val="bottom"/>
          </w:tcPr>
          <w:p>
            <w:pPr>
              <w:spacing w:after="0"/>
              <w:rPr>
                <w:sz w:val="19"/>
                <w:szCs w:val="19"/>
                <w:color w:val="auto"/>
              </w:rPr>
            </w:pPr>
          </w:p>
        </w:tc>
      </w:tr>
      <w:tr>
        <w:trPr>
          <w:trHeight w:val="233"/>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980" w:type="dxa"/>
            <w:vAlign w:val="bottom"/>
            <w:tcBorders>
              <w:right w:val="single" w:sz="8" w:color="CFF0FC"/>
            </w:tcBorders>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shd w:val="clear" w:color="auto" w:fill="CFF0FC"/>
          </w:tcPr>
          <w:p>
            <w:pPr>
              <w:spacing w:after="0"/>
              <w:rPr>
                <w:sz w:val="20"/>
                <w:szCs w:val="20"/>
                <w:color w:val="auto"/>
              </w:rPr>
            </w:pPr>
          </w:p>
        </w:tc>
      </w:tr>
      <w:tr>
        <w:trPr>
          <w:trHeight w:val="194"/>
        </w:trPr>
        <w:tc>
          <w:tcPr>
            <w:tcW w:w="29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Unrealized gain on investments,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of income taxes of $0</w:t>
            </w:r>
          </w:p>
        </w:tc>
        <w:tc>
          <w:tcPr>
            <w:tcW w:w="9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tcPr>
          <w:p>
            <w:pPr>
              <w:spacing w:after="0"/>
              <w:rPr>
                <w:sz w:val="20"/>
                <w:szCs w:val="20"/>
                <w:color w:val="auto"/>
              </w:rPr>
            </w:pPr>
          </w:p>
        </w:tc>
      </w:tr>
      <w:tr>
        <w:trPr>
          <w:trHeight w:val="23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(36,720 )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(36,720 )</w:t>
            </w:r>
          </w:p>
        </w:tc>
      </w:tr>
      <w:tr>
        <w:trPr>
          <w:trHeight w:val="20"/>
        </w:trPr>
        <w:tc>
          <w:tcPr>
            <w:tcW w:w="2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March 31, 2023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49,473</w:t>
            </w:r>
          </w:p>
        </w:tc>
        <w:tc>
          <w:tcPr>
            <w:tcW w:w="2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1,734,749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color w:val="auto"/>
              </w:rPr>
              <w:t>(7,756 )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(676,647 )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1,050,395</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-2356485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-2356485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-2356485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-2356485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-2356485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-2356485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-2356485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-179070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-179070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-179070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-179070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-179070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-179070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31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8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(36,720 )</w:t>
            </w:r>
          </w:p>
        </w:tc>
      </w:tr>
      <w:tr>
        <w:trPr>
          <w:trHeight w:val="139"/>
        </w:trPr>
        <w:tc>
          <w:tcPr>
            <w:tcW w:w="81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to net cash and cash equivalents provided</w:t>
            </w:r>
          </w:p>
        </w:tc>
        <w:tc>
          <w:tcPr>
            <w:tcW w:w="8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by operating activities, net of acquisitions</w:t>
            </w:r>
          </w:p>
        </w:tc>
        <w:tc>
          <w:tcPr>
            <w:tcW w:w="8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16,570</w:t>
            </w:r>
          </w:p>
        </w:tc>
        <w:tc>
          <w:tcPr>
            <w:tcW w:w="100" w:type="dxa"/>
            <w:vAlign w:val="bottom"/>
          </w:tcPr>
          <w:p>
            <w:pPr>
              <w:spacing w:after="0"/>
              <w:rPr>
                <w:sz w:val="15"/>
                <w:szCs w:val="15"/>
                <w:color w:val="auto"/>
              </w:rPr>
            </w:pPr>
          </w:p>
        </w:tc>
      </w:tr>
      <w:tr>
        <w:trPr>
          <w:trHeight w:val="175"/>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111,122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83,037</w:t>
            </w:r>
          </w:p>
        </w:tc>
        <w:tc>
          <w:tcPr>
            <w:tcW w:w="100" w:type="dxa"/>
            <w:vAlign w:val="bottom"/>
            <w:shd w:val="clear" w:color="auto" w:fill="CFF0FC"/>
          </w:tcPr>
          <w:p>
            <w:pPr>
              <w:spacing w:after="0"/>
              <w:rPr>
                <w:sz w:val="15"/>
                <w:szCs w:val="15"/>
                <w:color w:val="auto"/>
              </w:rPr>
            </w:pPr>
          </w:p>
        </w:tc>
      </w:tr>
      <w:tr>
        <w:trPr>
          <w:trHeight w:val="176"/>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Restructuring charges</w:t>
            </w:r>
          </w:p>
        </w:tc>
        <w:tc>
          <w:tcPr>
            <w:tcW w:w="8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5"/>
                <w:szCs w:val="15"/>
                <w:color w:val="auto"/>
              </w:rPr>
            </w:pPr>
          </w:p>
        </w:tc>
      </w:tr>
      <w:tr>
        <w:trPr>
          <w:trHeight w:val="175"/>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on strategic investments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(16,353 )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Impairment of strategic investments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(Benefit from) provision for deferred income taxes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(167 )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5"/>
                <w:szCs w:val="15"/>
                <w:color w:val="auto"/>
              </w:rPr>
            </w:pPr>
          </w:p>
        </w:tc>
      </w:tr>
      <w:tr>
        <w:trPr>
          <w:trHeight w:val="176"/>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5"/>
                <w:szCs w:val="15"/>
                <w:color w:val="auto"/>
              </w:rPr>
            </w:pPr>
          </w:p>
        </w:tc>
      </w:tr>
      <w:tr>
        <w:trPr>
          <w:trHeight w:val="17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Accretion of bond discount</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(12,563 )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(8,008 )</w:t>
            </w:r>
          </w:p>
        </w:tc>
      </w:tr>
      <w:tr>
        <w:trPr>
          <w:trHeight w:val="17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currency translation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(358 )</w:t>
            </w:r>
          </w:p>
        </w:tc>
      </w:tr>
      <w:tr>
        <w:trPr>
          <w:trHeight w:val="17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1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30,615</w:t>
            </w:r>
          </w:p>
        </w:tc>
        <w:tc>
          <w:tcPr>
            <w:tcW w:w="100" w:type="dxa"/>
            <w:vAlign w:val="bottom"/>
          </w:tcPr>
          <w:p>
            <w:pPr>
              <w:spacing w:after="0"/>
              <w:rPr>
                <w:sz w:val="15"/>
                <w:szCs w:val="15"/>
                <w:color w:val="auto"/>
              </w:rPr>
            </w:pPr>
          </w:p>
        </w:tc>
      </w:tr>
      <w:tr>
        <w:trPr>
          <w:trHeight w:val="176"/>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(5,473 )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(20,417 )</w:t>
            </w:r>
          </w:p>
        </w:tc>
      </w:tr>
      <w:tr>
        <w:trPr>
          <w:trHeight w:val="176"/>
        </w:trPr>
        <w:tc>
          <w:tcPr>
            <w:tcW w:w="81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commission expense</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(17,001 )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(18,539 )</w:t>
            </w:r>
          </w:p>
        </w:tc>
      </w:tr>
      <w:tr>
        <w:trPr>
          <w:trHeight w:val="175"/>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Right-of-use assets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shd w:val="clear" w:color="auto" w:fill="CFF0FC"/>
          </w:tcPr>
          <w:p>
            <w:pPr>
              <w:spacing w:after="0"/>
              <w:rPr>
                <w:sz w:val="15"/>
                <w:szCs w:val="15"/>
                <w:color w:val="auto"/>
              </w:rPr>
            </w:pPr>
          </w:p>
        </w:tc>
      </w:tr>
      <w:tr>
        <w:trPr>
          <w:trHeight w:val="176"/>
        </w:trPr>
        <w:tc>
          <w:tcPr>
            <w:tcW w:w="81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(1,300 )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(17,873 )</w:t>
            </w:r>
          </w:p>
        </w:tc>
      </w:tr>
      <w:tr>
        <w:trPr>
          <w:trHeight w:val="175"/>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(13,281 )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100" w:type="dxa"/>
            <w:vAlign w:val="bottom"/>
            <w:shd w:val="clear" w:color="auto" w:fill="CFF0FC"/>
          </w:tcPr>
          <w:p>
            <w:pPr>
              <w:spacing w:after="0"/>
              <w:rPr>
                <w:sz w:val="15"/>
                <w:szCs w:val="15"/>
                <w:color w:val="auto"/>
              </w:rPr>
            </w:pPr>
          </w:p>
        </w:tc>
      </w:tr>
      <w:tr>
        <w:trPr>
          <w:trHeight w:val="176"/>
        </w:trPr>
        <w:tc>
          <w:tcPr>
            <w:tcW w:w="81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(12,743 )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(9,829 )</w:t>
            </w:r>
          </w:p>
        </w:tc>
      </w:tr>
      <w:tr>
        <w:trPr>
          <w:trHeight w:val="175"/>
        </w:trPr>
        <w:tc>
          <w:tcPr>
            <w:tcW w:w="81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31,213</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28,638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1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provided by operating activities</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127,088</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81,070</w:t>
            </w:r>
          </w:p>
        </w:tc>
        <w:tc>
          <w:tcPr>
            <w:tcW w:w="100" w:type="dxa"/>
            <w:vAlign w:val="bottom"/>
          </w:tcPr>
          <w:p>
            <w:pPr>
              <w:spacing w:after="0"/>
              <w:rPr>
                <w:sz w:val="14"/>
                <w:szCs w:val="14"/>
                <w:color w:val="auto"/>
              </w:rPr>
            </w:pPr>
          </w:p>
        </w:tc>
      </w:tr>
      <w:tr>
        <w:trPr>
          <w:trHeight w:val="16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(399,378 )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(362,246 )</w:t>
            </w:r>
          </w:p>
        </w:tc>
      </w:tr>
      <w:tr>
        <w:trPr>
          <w:trHeight w:val="175"/>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352,790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287,967</w:t>
            </w:r>
          </w:p>
        </w:tc>
        <w:tc>
          <w:tcPr>
            <w:tcW w:w="100" w:type="dxa"/>
            <w:vAlign w:val="bottom"/>
            <w:shd w:val="clear" w:color="auto" w:fill="CFF0FC"/>
          </w:tcPr>
          <w:p>
            <w:pPr>
              <w:spacing w:after="0"/>
              <w:rPr>
                <w:sz w:val="15"/>
                <w:szCs w:val="15"/>
                <w:color w:val="auto"/>
              </w:rPr>
            </w:pPr>
          </w:p>
        </w:tc>
      </w:tr>
      <w:tr>
        <w:trPr>
          <w:trHeight w:val="176"/>
        </w:trPr>
        <w:tc>
          <w:tcPr>
            <w:tcW w:w="8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(5,882 )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(3,310 )</w:t>
            </w:r>
          </w:p>
        </w:tc>
      </w:tr>
      <w:tr>
        <w:trPr>
          <w:trHeight w:val="175"/>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(6,000 )</w:t>
            </w:r>
          </w:p>
        </w:tc>
      </w:tr>
      <w:tr>
        <w:trPr>
          <w:trHeight w:val="175"/>
        </w:trPr>
        <w:tc>
          <w:tcPr>
            <w:tcW w:w="8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8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(21,634 )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(15,122 )</w:t>
            </w:r>
          </w:p>
        </w:tc>
      </w:tr>
      <w:tr>
        <w:trPr>
          <w:trHeight w:val="20"/>
        </w:trPr>
        <w:tc>
          <w:tcPr>
            <w:tcW w:w="8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used in investing activities</w:t>
            </w:r>
          </w:p>
        </w:tc>
        <w:tc>
          <w:tcPr>
            <w:tcW w:w="8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(74,131 )</w:t>
            </w:r>
          </w:p>
        </w:tc>
        <w:tc>
          <w:tcPr>
            <w:tcW w:w="3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(98,711 )</w:t>
            </w:r>
          </w:p>
        </w:tc>
      </w:tr>
      <w:tr>
        <w:trPr>
          <w:trHeight w:val="169"/>
        </w:trPr>
        <w:tc>
          <w:tcPr>
            <w:tcW w:w="8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Employee taxes paid related to the net share settlement of stock-based awards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(8,788 )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(1,198 )</w:t>
            </w:r>
          </w:p>
        </w:tc>
      </w:tr>
      <w:tr>
        <w:trPr>
          <w:trHeight w:val="175"/>
        </w:trPr>
        <w:tc>
          <w:tcPr>
            <w:tcW w:w="8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related to the issuance of common stock under stock plans</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100" w:type="dxa"/>
            <w:vAlign w:val="bottom"/>
          </w:tcPr>
          <w:p>
            <w:pPr>
              <w:spacing w:after="0"/>
              <w:rPr>
                <w:sz w:val="15"/>
                <w:szCs w:val="15"/>
                <w:color w:val="auto"/>
              </w:rPr>
            </w:pPr>
          </w:p>
        </w:tc>
      </w:tr>
      <w:tr>
        <w:trPr>
          <w:trHeight w:val="169"/>
        </w:trPr>
        <w:tc>
          <w:tcPr>
            <w:tcW w:w="81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provided by financing activities</w:t>
            </w:r>
          </w:p>
        </w:tc>
        <w:tc>
          <w:tcPr>
            <w:tcW w:w="8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11,155</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(4,306 )</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Pr>
          <w:p>
            <w:pPr>
              <w:spacing w:after="0"/>
              <w:rPr>
                <w:sz w:val="14"/>
                <w:szCs w:val="14"/>
                <w:color w:val="auto"/>
              </w:rPr>
            </w:pPr>
          </w:p>
        </w:tc>
      </w:tr>
      <w:tr>
        <w:trPr>
          <w:trHeight w:val="20"/>
        </w:trPr>
        <w:tc>
          <w:tcPr>
            <w:tcW w:w="8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59,806</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(5,863 )</w:t>
            </w: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392,040</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334,175</w:t>
            </w:r>
          </w:p>
        </w:tc>
        <w:tc>
          <w:tcPr>
            <w:tcW w:w="100" w:type="dxa"/>
            <w:vAlign w:val="bottom"/>
          </w:tcPr>
          <w:p>
            <w:pPr>
              <w:spacing w:after="0"/>
              <w:rPr>
                <w:sz w:val="15"/>
                <w:szCs w:val="15"/>
                <w:color w:val="auto"/>
              </w:rPr>
            </w:pPr>
          </w:p>
        </w:tc>
      </w:tr>
      <w:tr>
        <w:trPr>
          <w:trHeight w:val="209"/>
        </w:trPr>
        <w:tc>
          <w:tcPr>
            <w:tcW w:w="81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60" w:type="dxa"/>
            <w:vAlign w:val="bottom"/>
            <w:tcBorders>
              <w:bottom w:val="single" w:sz="8" w:color="auto"/>
            </w:tcBorders>
            <w:shd w:val="clear" w:color="auto" w:fill="CFF0FC"/>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451,846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328,312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81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shd w:val="clear" w:color="auto" w:fill="CFF0FC"/>
          </w:tcPr>
          <w:p>
            <w:pPr>
              <w:spacing w:after="0"/>
              <w:rPr>
                <w:sz w:val="15"/>
                <w:szCs w:val="15"/>
                <w:color w:val="auto"/>
              </w:rPr>
            </w:pP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 reductions related to operating lease terminations</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(1,235 )</w:t>
            </w: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 incurred but not yet paid</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100" w:type="dxa"/>
            <w:vAlign w:val="bottom"/>
            <w:shd w:val="clear" w:color="auto" w:fill="CFF0FC"/>
          </w:tcPr>
          <w:p>
            <w:pPr>
              <w:spacing w:after="0"/>
              <w:rPr>
                <w:sz w:val="15"/>
                <w:szCs w:val="15"/>
                <w:color w:val="auto"/>
              </w:rPr>
            </w:pP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(108 )</w:t>
            </w:r>
          </w:p>
        </w:tc>
      </w:tr>
      <w:tr>
        <w:trPr>
          <w:trHeight w:val="175"/>
        </w:trPr>
        <w:tc>
          <w:tcPr>
            <w:tcW w:w="8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-2767965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-1851025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-1388110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-899160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02"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HubSpot, Inc. (the “Company”) provides a customer platform that helps businesses connect and grow better. The Company delivers seamless connection for customer-facing teams with a unified platform that includes three layers: AI-powered engagement hubs, a Smart customer relationship management product (“CRM”), and a connected ecosystem supporting the customer platform with a marketplace of integrations, templates, and expert partners, a community network, and an academy of educational content.</w:t>
      </w:r>
    </w:p>
    <w:p>
      <w:pPr>
        <w:spacing w:after="0" w:line="13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engagement hubs include Marketing Hub, Sales Hub, Service Hub, Operations Hub, Content Hub and Commerce Hub, as well as other tools and integrations that enable companies to attract, engage, and delight customers throughout the customer experience.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unaudited consolidated </w:t>
      </w:r>
      <w:r>
        <w:rPr>
          <w:rFonts w:ascii="Times New Roman" w:cs="Times New Roman" w:eastAsia="Times New Roman" w:hAnsi="Times New Roman"/>
          <w:sz w:val="18"/>
          <w:szCs w:val="18"/>
          <w:color w:val="212529"/>
        </w:rPr>
        <w:t>financial statements have been prepared in accordance with generally accepted accounting principles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cs="Times New Roman" w:eastAsia="Times New Roman" w:hAnsi="Times New Roman"/>
          <w:sz w:val="18"/>
          <w:szCs w:val="18"/>
          <w:color w:val="000000"/>
        </w:rPr>
        <w:t>December 31, 2023, and these consolidated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to be expected for any subsequent quarter or for the entire year ending December 31, 2024.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3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audited consolidated financial statements and related notes contained in the Company’s Annual Report on Form 10-K filed with the SEC on February 14, 2024. There have been no changes in the Company’s significant accounting policies from those that were disclosed in the Company’s Annual Report on Form 10-K that have had a material impact on our consolidated financial statements and related notes.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Recent accounting standards not included below are not expected to have a material impact on our consolidated financial position and results of operations.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guidance enhancing the disclosures of reportable segment information, primarily about significant segment expenses. The new standard will be effective for the Company for the annual periods beginning January 1, 2024, and for interim periods beginning January 1, 2025, with early adoption permitted. Upon adoption, the guidance should be applied retrospectively to all prior periods presented in the financial statements. The Company is currently evaluating the disclosure impact of adoption of the standard on its consolidated financial statements.</w:t>
      </w:r>
    </w:p>
    <w:p>
      <w:pPr>
        <w:spacing w:after="0" w:line="14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on January 1, 2025, with early adoption permitted. The Company is currently evaluating the disclosure impact of adoption of the standard on its consolidated financial statements.</w:t>
      </w:r>
    </w:p>
    <w:p>
      <w:pPr>
        <w:spacing w:after="0" w:line="15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March 2024, the SEC adopted the final rules designed to enhance disclosures related to the risks and impacts of climate-related matters. The disclosure requirements will be effective for the Company on January 1, 2025. The Company is currently evaluating the disclosure impact of adoption of the standard on its consolidated financial statements.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Issued Financial Statements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the financial close process for the first quarter of 2024, we identified an error related to the calculation of contractual credits in one of our third-party vendor agreements which impacted our previously issued financial statements beginning with the quarter ended December 31, 2021. The error impacted subsequent annual and quarterly reporting periods through December 31, 2023. We assessed the materiality of the error on prior period consolidated financial statements in accordance with the Securities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Exchange Commission (“SEC”) Staff Accounting Bulletin No. 99, “Materiality,” codified in ASC 250, Accounting Changes and Error Corrections (“ASC 250”). Based on this assessment, in consideration of both quantitative and qualitative factors, we concluded that the error is not material to any previously presented interim or annual financial statements. We revised our financial statements for the periods impacted. In connection with the revisions, we also corrected a previously identified immaterial error related to the recording of certain deferred tax balances. The Company will also correct previously reported financial information for these errors in future filings, as applicable.</w:t>
      </w:r>
    </w:p>
    <w:p>
      <w:pPr>
        <w:spacing w:after="0" w:line="1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impact of the revisions to the annual periods ending December 31, 2022 and December 31, 2023, and the quarterly periods ending March 31, 2023, June 30, 2023, and September 30, 2023 are discussed below. The errors created immaterial impacts to the Consolidated Statements of Cash Flows, however, there was no net impact to classification of the cash flows so a revision table was not included below. The impact to the Consolidated Statements of Stockholders' Equity was isolated to net income and accumulated deficit as revised in the other statements.</w:t>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4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For the 12 Months Ended December 31, 2022</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4"/>
                <w:szCs w:val="14"/>
                <w:color w:val="auto"/>
              </w:rPr>
            </w:pP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4"/>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Subscription</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251,274</w:t>
            </w:r>
          </w:p>
        </w:tc>
        <w:tc>
          <w:tcPr>
            <w:tcW w:w="100" w:type="dxa"/>
            <w:vAlign w:val="bottom"/>
          </w:tcPr>
          <w:p>
            <w:pPr>
              <w:spacing w:after="0"/>
              <w:rPr>
                <w:sz w:val="20"/>
                <w:szCs w:val="20"/>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(6,239 )</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308,020</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1,416,710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1,422,949</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(109,101 )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(102,862 )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(104,692 )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(98,453 )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(8,057 )</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(837 )</w:t>
            </w: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(8,894 )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(112,749 )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(107,347 )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(124,300 )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(118,898 )</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(2.23 )</w:t>
            </w:r>
          </w:p>
        </w:tc>
      </w:tr>
      <w:tr>
        <w:trPr>
          <w:trHeight w:val="535"/>
        </w:trPr>
        <w:tc>
          <w:tcPr>
            <w:tcW w:w="4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For the 3 Months Ended March 31, 2023</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4"/>
                <w:szCs w:val="14"/>
                <w:color w:val="auto"/>
              </w:rPr>
            </w:pP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4"/>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Subscription</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66,622</w:t>
            </w:r>
          </w:p>
        </w:tc>
        <w:tc>
          <w:tcPr>
            <w:tcW w:w="100" w:type="dxa"/>
            <w:vAlign w:val="bottom"/>
          </w:tcPr>
          <w:p>
            <w:pPr>
              <w:spacing w:after="0"/>
              <w:rPr>
                <w:sz w:val="20"/>
                <w:szCs w:val="20"/>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(1,717 )</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80,329</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419,574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421,291</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(44,767 )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(43,050 )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(36,019 )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(34,302 )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(2,263 )</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(155 )</w:t>
            </w: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(2,418 )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(38,282 )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(36,720 )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(33,148 )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(31,586 )</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(0.74 )</w:t>
            </w:r>
          </w:p>
        </w:tc>
      </w:tr>
      <w:tr>
        <w:trPr>
          <w:trHeight w:val="630"/>
        </w:trPr>
        <w:tc>
          <w:tcPr>
            <w:tcW w:w="4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For the 3 Months Ended June 30, 2023</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4"/>
                <w:szCs w:val="14"/>
                <w:color w:val="auto"/>
              </w:rPr>
            </w:pP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4"/>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Subscription</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73,824</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100" w:type="dxa"/>
            <w:vAlign w:val="bottom"/>
          </w:tcPr>
          <w:p>
            <w:pPr>
              <w:spacing w:after="0"/>
              <w:rPr>
                <w:sz w:val="20"/>
                <w:szCs w:val="20"/>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(2,330 )</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84,956</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441,852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444,182</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(118,499 )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(116,169 )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(105,564 )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(103,234 )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(13,382 )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(8,569 )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(118,946 )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(111,803 )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(119,575 )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(112,432 )</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(2.25 )</w:t>
            </w:r>
          </w:p>
        </w:tc>
      </w:tr>
      <w:tr>
        <w:trPr>
          <w:trHeight w:val="630"/>
        </w:trPr>
        <w:tc>
          <w:tcPr>
            <w:tcW w:w="4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For the 3 Months Ended September 30, 2023</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4"/>
                <w:szCs w:val="14"/>
                <w:color w:val="auto"/>
              </w:rPr>
            </w:pP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4"/>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Subscription</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71,895</w:t>
            </w:r>
          </w:p>
        </w:tc>
        <w:tc>
          <w:tcPr>
            <w:tcW w:w="100" w:type="dxa"/>
            <w:vAlign w:val="bottom"/>
          </w:tcPr>
          <w:p>
            <w:pPr>
              <w:spacing w:after="0"/>
              <w:rPr>
                <w:sz w:val="20"/>
                <w:szCs w:val="20"/>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(1,886 )</w:t>
            </w:r>
          </w:p>
        </w:tc>
        <w:tc>
          <w:tcPr>
            <w:tcW w:w="4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471,917</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(20,442 )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(18,556 )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(6,875 )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(4,989 )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(5,463 )</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(3,577 )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(6,456 )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(4,570 )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8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(0.07 )</w:t>
            </w:r>
          </w:p>
        </w:tc>
      </w:tr>
    </w:tbl>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For the 12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16510</wp:posOffset>
            </wp:positionV>
            <wp:extent cx="3505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62" w:right="89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 Subscription</w:t>
            </w:r>
          </w:p>
        </w:tc>
        <w:tc>
          <w:tcPr>
            <w:tcW w:w="480" w:type="dxa"/>
            <w:vAlign w:val="bottom"/>
            <w:shd w:val="clear" w:color="auto" w:fill="CFF0FC"/>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290,802</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(7,127 )</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283,675</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(7,127 )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338,362</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1,824,741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1,831,868</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(208,056 )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(200,929 )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(157,702 )</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(150,575 )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(18,593 )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(13,935 )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(176,295 )</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(164,510 )</w:t>
            </w: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(161,578 )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(149,793 )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80" w:type="dxa"/>
            <w:vAlign w:val="bottom"/>
            <w:shd w:val="clear" w:color="auto" w:fill="CFF0FC"/>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(3.53 )</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r>
      <w:tr>
        <w:trPr>
          <w:trHeight w:val="621"/>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FF0FC"/>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2,544,738</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2,544,738</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(7,112 )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95,010</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761,653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(7,112 )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754,541</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1,552,514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(2,454 )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1,550,060</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(642,381 )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(639,927 )</w:t>
            </w: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992,224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994,678</w:t>
            </w:r>
          </w:p>
        </w:tc>
        <w:tc>
          <w:tcPr>
            <w:tcW w:w="100" w:type="dxa"/>
            <w:vAlign w:val="bottom"/>
            <w:shd w:val="clear" w:color="auto" w:fill="CFF0FC"/>
          </w:tcPr>
          <w:p>
            <w:pPr>
              <w:spacing w:after="0"/>
              <w:rPr>
                <w:sz w:val="21"/>
                <w:szCs w:val="21"/>
                <w:color w:val="auto"/>
              </w:rPr>
            </w:pPr>
          </w:p>
        </w:tc>
      </w:tr>
      <w:tr>
        <w:trPr>
          <w:trHeight w:val="526"/>
        </w:trPr>
        <w:tc>
          <w:tcPr>
            <w:tcW w:w="4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0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FF0FC"/>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(14,239 )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956,247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(14,239 )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942,008</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(14,239 )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1,737,044</w:t>
            </w: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(818,676 )</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(804,437 )</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1,334,348</w:t>
            </w:r>
          </w:p>
        </w:tc>
        <w:tc>
          <w:tcPr>
            <w:tcW w:w="1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4404360</wp:posOffset>
            </wp:positionH>
            <wp:positionV relativeFrom="page">
              <wp:posOffset>624840</wp:posOffset>
            </wp:positionV>
            <wp:extent cx="939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page">
              <wp:posOffset>5604510</wp:posOffset>
            </wp:positionH>
            <wp:positionV relativeFrom="page">
              <wp:posOffset>624840</wp:posOffset>
            </wp:positionV>
            <wp:extent cx="8572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page">
              <wp:posOffset>6907530</wp:posOffset>
            </wp:positionH>
            <wp:positionV relativeFrom="page">
              <wp:posOffset>624840</wp:posOffset>
            </wp:positionV>
            <wp:extent cx="8572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Commission Expense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2024 increased by $23.8 million resulting from $641.2 million of additional invoicing and was offset by revenue recognized of $617.4 million during the same period. $359.6 million of revenue was recognized during the three months ended March 31, 2024 that was included in deferred revenue at the beginning of the period. As of March 31, 2024, approximately $827.1 million of revenue is expected to be recognized from remaining performance obligations for contracts with original performance obligations that exceed one year. The Company expects to recognize revenue on approximately 91% of these remaining performance obligations over the next 24 months, with the balance recognized thereafter.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14" w:name="page15"/>
    <w:bookmarkEnd w:id="14"/>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Additional contract liabilities of $5.6 million and $4.5 million were included in accrued expenses and other current liabilities on the consolidated balance sheet as of March 31, 2024 and December 31, 2023.</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incremental direct costs of obtaining a contract, which primarily consist of sales and Solutions Partner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Deferred commission expense during the three months ended March 31, 2024 increased by $14.5 million as a result of deferring incremental costs of obtaining a contract of $46.6 million and was offset by amortization of $32.1 million during the same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8) are considered to be potential common stock equivalents.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denominator used in the calculation of basic and diluted net loss per share is as follows: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FF0FC"/>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18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(36,720 )</w:t>
            </w:r>
          </w:p>
        </w:tc>
        <w:tc>
          <w:tcPr>
            <w:tcW w:w="0" w:type="dxa"/>
            <w:vAlign w:val="bottom"/>
          </w:tcPr>
          <w:p>
            <w:pPr>
              <w:spacing w:after="0"/>
              <w:rPr>
                <w:sz w:val="1"/>
                <w:szCs w:val="1"/>
                <w:color w:val="auto"/>
              </w:rPr>
            </w:pPr>
          </w:p>
        </w:tc>
      </w:tr>
      <w:tr>
        <w:trPr>
          <w:trHeight w:val="219"/>
        </w:trPr>
        <w:tc>
          <w:tcPr>
            <w:tcW w:w="6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22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share equivalents resulting from stock</w:t>
            </w:r>
          </w:p>
        </w:tc>
        <w:tc>
          <w:tcPr>
            <w:tcW w:w="10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RSUs, ESPP, PSUs, and the Conversion Options</w:t>
            </w:r>
          </w:p>
        </w:tc>
        <w:tc>
          <w:tcPr>
            <w:tcW w:w="102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51,498</w:t>
            </w:r>
          </w:p>
        </w:tc>
        <w:tc>
          <w:tcPr>
            <w:tcW w:w="22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020" w:type="dxa"/>
            <w:vAlign w:val="bottom"/>
            <w:shd w:val="clear" w:color="auto" w:fill="CFF0FC"/>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-993775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-976630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-993775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-976630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-530860</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-530860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-205105</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-205105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incurred a net loss for the three months ended March 31, 2023,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all potentially dilutive common stock equivalents.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20" w:type="dxa"/>
            <w:vAlign w:val="bottom"/>
          </w:tcPr>
          <w:p>
            <w:pPr>
              <w:spacing w:after="0"/>
              <w:rPr>
                <w:sz w:val="16"/>
                <w:szCs w:val="16"/>
                <w:color w:val="auto"/>
              </w:rPr>
            </w:pPr>
          </w:p>
        </w:tc>
      </w:tr>
      <w:tr>
        <w:trPr>
          <w:trHeight w:val="158"/>
        </w:trPr>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00" w:type="dxa"/>
            <w:vAlign w:val="bottom"/>
            <w:tcBorders>
              <w:top w:val="single" w:sz="8" w:color="auto"/>
            </w:tcBorders>
          </w:tcPr>
          <w:p>
            <w:pPr>
              <w:jc w:val="right"/>
              <w:ind w:right="781"/>
              <w:spacing w:after="0" w:line="158"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43"/>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5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Option of the 2025 Notes</w:t>
            </w:r>
          </w:p>
        </w:tc>
        <w:tc>
          <w:tcPr>
            <w:tcW w:w="5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3240" w:type="dxa"/>
            <w:vAlign w:val="bottom"/>
          </w:tcPr>
          <w:p>
            <w:pPr>
              <w:spacing w:after="0"/>
              <w:rPr>
                <w:sz w:val="20"/>
                <w:szCs w:val="20"/>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324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15</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0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35"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18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the Company’s financial assets and liabilities at March 31, 2024 and December 31, 2023:</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241,637</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130,396</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1,092,143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1,092,143</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1,492,553</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1,533,061</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0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960,763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960,763</w:t>
            </w: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1,338,484</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1,371,646</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-2365375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-2365375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-2365375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-1696720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-1696720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-1696720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2024 and December 31,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investments measured at fair value on a non-recurring basis are classified as Level 3 as their fair value measurements may include a combination of observable and unobservable inputs.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fair value of the 2025 Notes was $1.0 billion. The fair value was determined based on the quoted price of the 2025 Notes in an inactive market on the last trading day of the reporting period and has been classified as Level 2 within the fair value hierarchy.</w:t>
      </w:r>
    </w:p>
    <w:p>
      <w:pPr>
        <w:spacing w:after="0" w:line="135"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$38.5 million of strategic investments without readily determinable fair values at March 31, 2024 and $41.1 million of strategic investments without readily determinable fair values at December 31, 2023. These investments are included in other assets on the consolidated balance sheets.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2024, the Company adjusted the fair value of its strategic investments and recognized a gain of $16.3 million. In addition, the Company recorded an impairment of the carrying value of its strategic investments of $3.6 million. The net gain recorded was $12.7 million, which is reported in the consolidated statements of operations as other income. There were no other adjustments to the carrying value of the strategic investments resulting from impairments or observable price changes in the three months ended March 31, 2024 and 2023.</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composition of our short- and long-term investments at March 31, 2024 and December 31, 2023.</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241,637</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130,396</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993,947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993,008</w:t>
            </w:r>
          </w:p>
        </w:tc>
        <w:tc>
          <w:tcPr>
            <w:tcW w:w="10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1,384,256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1,382,398</w:t>
            </w:r>
          </w:p>
        </w:tc>
        <w:tc>
          <w:tcPr>
            <w:tcW w:w="100" w:type="dxa"/>
            <w:vAlign w:val="bottom"/>
            <w:shd w:val="clear" w:color="auto" w:fill="CFF0FC"/>
          </w:tcPr>
          <w:p>
            <w:pPr>
              <w:spacing w:after="0"/>
              <w:rPr>
                <w:sz w:val="22"/>
                <w:szCs w:val="22"/>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954,271</w:t>
            </w:r>
          </w:p>
        </w:tc>
        <w:tc>
          <w:tcPr>
            <w:tcW w:w="10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1,325,046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1,325,948</w:t>
            </w:r>
          </w:p>
        </w:tc>
        <w:tc>
          <w:tcPr>
            <w:tcW w:w="100" w:type="dxa"/>
            <w:vAlign w:val="bottom"/>
            <w:shd w:val="clear" w:color="auto" w:fill="CFF0FC"/>
          </w:tcPr>
          <w:p>
            <w:pPr>
              <w:spacing w:after="0"/>
              <w:rPr>
                <w:sz w:val="22"/>
                <w:szCs w:val="22"/>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-1525270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-1508125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-1525270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-1508125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-1525270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-1508125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-1525270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all of our securities for which the amortized cost basis was greater than the fair value at March 31, 2024,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short-term and long-term investments held at March 31, 2024 and December 31, 2023 are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31"/>
        </w:trPr>
        <w:tc>
          <w:tcPr>
            <w:tcW w:w="4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3"/>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4"/>
                <w:szCs w:val="14"/>
                <w:color w:val="auto"/>
              </w:rPr>
            </w:pPr>
          </w:p>
        </w:tc>
      </w:tr>
      <w:tr>
        <w:trPr>
          <w:trHeight w:val="24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1,071,957</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1,070,872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1,000,447</w:t>
            </w:r>
          </w:p>
        </w:tc>
        <w:tc>
          <w:tcPr>
            <w:tcW w:w="40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1,000,245</w:t>
            </w:r>
          </w:p>
        </w:tc>
        <w:tc>
          <w:tcPr>
            <w:tcW w:w="100" w:type="dxa"/>
            <w:vAlign w:val="bottom"/>
            <w:shd w:val="clear" w:color="auto" w:fill="CFF0FC"/>
          </w:tcPr>
          <w:p>
            <w:pPr>
              <w:spacing w:after="0"/>
              <w:rPr>
                <w:sz w:val="21"/>
                <w:szCs w:val="2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2 years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312,299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311,526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324,599</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325,703</w:t>
            </w:r>
          </w:p>
        </w:tc>
        <w:tc>
          <w:tcPr>
            <w:tcW w:w="100" w:type="dxa"/>
            <w:vAlign w:val="bottom"/>
          </w:tcPr>
          <w:p>
            <w:pPr>
              <w:spacing w:after="0"/>
              <w:rPr>
                <w:sz w:val="21"/>
                <w:szCs w:val="21"/>
                <w:color w:val="auto"/>
              </w:rPr>
            </w:pPr>
          </w:p>
        </w:tc>
      </w:tr>
      <w:tr>
        <w:trPr>
          <w:trHeight w:val="276"/>
        </w:trPr>
        <w:tc>
          <w:tcPr>
            <w:tcW w:w="4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1,384,256</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1,382,398</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1,325,046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 of cash flows for the three months ended March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3"/>
                <w:szCs w:val="13"/>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447,793</w:t>
            </w:r>
          </w:p>
        </w:tc>
        <w:tc>
          <w:tcPr>
            <w:tcW w:w="76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325,159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other assets</w:t>
            </w: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451,846</w:t>
            </w: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328,312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computer equipment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50,697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112,336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254,762</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(151,400 )</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(145,356 )</w:t>
            </w: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103,362</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center"/>
              <w:ind w:right="1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-2468245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-2451100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-2468245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-2451100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-2468245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-2451100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$7.2 million for the three months ended March 31, 2024 and $7.5 million for the three months ended March 31, 2023.</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2023, the Company disposed of $0.9 million of fixed assets, net, as part of the Restructuring Plan (defined in Note 14). Refer to Note 14 regarding the loss associated with fixed asset disposals in connection with the Restructuring Plan.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7. Capitalized Software Development Costs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Capitalized software development costs, exclusive of those recorded within property and equipment, consisted of the following:</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80" w:type="dxa"/>
            <w:vAlign w:val="bottom"/>
          </w:tcPr>
          <w:p>
            <w:pPr>
              <w:spacing w:after="0"/>
              <w:rPr>
                <w:sz w:val="14"/>
                <w:szCs w:val="14"/>
                <w:color w:val="auto"/>
              </w:rPr>
            </w:pPr>
          </w:p>
        </w:tc>
      </w:t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capitalized software development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284,658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257,052</w:t>
            </w:r>
          </w:p>
        </w:tc>
        <w:tc>
          <w:tcPr>
            <w:tcW w:w="80" w:type="dxa"/>
            <w:vAlign w:val="bottom"/>
            <w:shd w:val="clear" w:color="auto" w:fill="CFF0FC"/>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21"/>
                <w:szCs w:val="21"/>
                <w:color w:val="auto"/>
              </w:rPr>
            </w:pPr>
          </w:p>
        </w:tc>
        <w:tc>
          <w:tcPr>
            <w:tcW w:w="1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(165,104 )</w:t>
            </w:r>
          </w:p>
        </w:tc>
        <w:tc>
          <w:tcPr>
            <w:tcW w:w="16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(150,823 )</w:t>
            </w:r>
          </w:p>
        </w:tc>
      </w:tr>
      <w:tr>
        <w:trPr>
          <w:trHeight w:val="277"/>
        </w:trPr>
        <w:tc>
          <w:tcPr>
            <w:tcW w:w="5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These capitalized software development costs are associated with software developed for the Company's customer platform. Capitalized software development costs recorded within property and equipment are associated with software developed for Company use.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Amortization of capitalized software development costs, exclusive of costs recorded within property and equipment, was $16.0 million for the three months ended March 31, 2024 and $9.8 million for three months ended March 31, 2023.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 and Capped Call Options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3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March 31, 2024 was equal to or greater than 130% of the applicable conversion price on each applicable trading day, the 2025 Notes are convertible at the option of the holders thereof during the calendar quarter ending June 30, 2024. As of May 3, 2024, the Company has not received any conversion notices.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459,074</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459,076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(2,370 )</w:t>
            </w:r>
          </w:p>
        </w:tc>
        <w:tc>
          <w:tcPr>
            <w:tcW w:w="9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(2,870 )</w:t>
            </w:r>
          </w:p>
        </w:tc>
        <w:tc>
          <w:tcPr>
            <w:tcW w:w="112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3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456,704</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456,206</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372"/>
        </w:trPr>
        <w:tc>
          <w:tcPr>
            <w:tcW w:w="5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Interest expense related to the 2025 Notes is as follows: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90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ind w:right="7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-2159635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-2142490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-2159635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-2142490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-925195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the Capped Call Options are not accounted for as separate derivative financial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leases office facilities under non-cancelable operating leases that expire at various dates through February 2035.</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expense and cash payments related to operating lease liabilities for the three months ended March 31, 2024 and 2023 are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000" w:type="dxa"/>
            <w:vAlign w:val="bottom"/>
            <w:tcBorders>
              <w:bottom w:val="single" w:sz="8" w:color="auto"/>
            </w:tcBorders>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340" w:type="dxa"/>
            <w:vAlign w:val="bottom"/>
          </w:tcPr>
          <w:p>
            <w:pPr>
              <w:spacing w:after="0"/>
              <w:rPr>
                <w:sz w:val="14"/>
                <w:szCs w:val="14"/>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5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2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80" w:type="dxa"/>
            <w:vAlign w:val="bottom"/>
          </w:tcPr>
          <w:p>
            <w:pPr>
              <w:spacing w:after="0"/>
              <w:rPr>
                <w:sz w:val="20"/>
                <w:szCs w:val="20"/>
                <w:color w:val="auto"/>
              </w:rPr>
            </w:pPr>
          </w:p>
        </w:tc>
      </w:tr>
      <w:tr>
        <w:trPr>
          <w:trHeight w:val="25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shd w:val="clear" w:color="auto" w:fill="CFF0FC"/>
          </w:tcPr>
          <w:p>
            <w:pPr>
              <w:spacing w:after="0"/>
              <w:rPr>
                <w:sz w:val="21"/>
                <w:szCs w:val="21"/>
                <w:color w:val="auto"/>
              </w:rPr>
            </w:pPr>
          </w:p>
        </w:tc>
      </w:tr>
    </w:tbl>
    <w:p>
      <w:pPr>
        <w:spacing w:after="0" w:line="17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subleases some of its unused spaces to third parties. Operating sublease income generated under all operating lease agreements for the three months ended March 31, 2024 and 2023 are as follows:</w:t>
      </w:r>
    </w:p>
    <w:p>
      <w:pPr>
        <w:spacing w:after="0" w:line="23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16510</wp:posOffset>
            </wp:positionV>
            <wp:extent cx="22199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76" w:lineRule="exact"/>
        <w:rPr>
          <w:sz w:val="20"/>
          <w:szCs w:val="20"/>
          <w:color w:val="auto"/>
        </w:rPr>
      </w:pPr>
    </w:p>
    <w:p>
      <w:pPr>
        <w:ind w:left="714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61467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14670" cy="171450"/>
                    </a:xfrm>
                    <a:prstGeom prst="rect">
                      <a:avLst/>
                    </a:prstGeom>
                    <a:noFill/>
                  </pic:spPr>
                </pic:pic>
              </a:graphicData>
            </a:graphic>
          </wp:anchor>
        </w:drawing>
      </w:r>
    </w:p>
    <w:p>
      <w:pPr>
        <w:spacing w:after="0" w:line="8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1140"/>
        <w:spacing w:after="0"/>
        <w:tabs>
          <w:tab w:leader="none" w:pos="6400" w:val="left"/>
          <w:tab w:leader="none" w:pos="7720" w:val="left"/>
          <w:tab w:leader="none" w:pos="8400" w:val="left"/>
          <w:tab w:leader="none" w:pos="9460" w:val="left"/>
        </w:tabs>
        <w:rPr>
          <w:sz w:val="20"/>
          <w:szCs w:val="20"/>
          <w:color w:val="auto"/>
        </w:rPr>
      </w:pPr>
      <w:r>
        <w:rPr>
          <w:rFonts w:ascii="Times New Roman" w:cs="Times New Roman" w:eastAsia="Times New Roman" w:hAnsi="Times New Roman"/>
          <w:sz w:val="18"/>
          <w:szCs w:val="18"/>
          <w:color w:val="auto"/>
        </w:rPr>
        <w:t>Operating sublease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2,247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2,028</w:t>
      </w:r>
    </w:p>
    <w:p>
      <w:pPr>
        <w:spacing w:after="0" w:line="200" w:lineRule="exact"/>
        <w:rPr>
          <w:sz w:val="20"/>
          <w:szCs w:val="20"/>
          <w:color w:val="auto"/>
        </w:rPr>
      </w:pPr>
    </w:p>
    <w:p>
      <w:pPr>
        <w:spacing w:after="0" w:line="377" w:lineRule="exact"/>
        <w:rPr>
          <w:sz w:val="20"/>
          <w:szCs w:val="20"/>
          <w:color w:val="auto"/>
        </w:rPr>
      </w:pPr>
    </w:p>
    <w:p>
      <w:pPr>
        <w:jc w:val="center"/>
        <w:ind w:right="8420"/>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8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$77.8 million.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all operating lease agreements as of March 31, 2024 are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41,165</w:t>
            </w:r>
          </w:p>
        </w:tc>
        <w:tc>
          <w:tcPr>
            <w:tcW w:w="80" w:type="dxa"/>
            <w:vAlign w:val="bottom"/>
          </w:tcPr>
          <w:p>
            <w:pPr>
              <w:spacing w:after="0"/>
              <w:rPr>
                <w:sz w:val="20"/>
                <w:szCs w:val="20"/>
                <w:color w:val="auto"/>
              </w:rPr>
            </w:pP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53,550</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50,824</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46,767</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34,280</w:t>
            </w:r>
          </w:p>
        </w:tc>
        <w:tc>
          <w:tcPr>
            <w:tcW w:w="8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162,721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389,307</w:t>
            </w:r>
          </w:p>
        </w:tc>
        <w:tc>
          <w:tcPr>
            <w:tcW w:w="8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certain non-cancelable vendor commitments, which require the future purchase of goods or services. Future minimum payments under all non-cancelable vendor commitments as of March 31, 2024 are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tbl>
      <w:tblPr>
        <w:tblLayout w:type="fixed"/>
        <w:tblInd w:w="170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171,338</w:t>
            </w:r>
          </w:p>
        </w:tc>
        <w:tc>
          <w:tcPr>
            <w:tcW w:w="80" w:type="dxa"/>
            <w:vAlign w:val="bottom"/>
          </w:tcPr>
          <w:p>
            <w:pPr>
              <w:spacing w:after="0"/>
              <w:rPr>
                <w:sz w:val="20"/>
                <w:szCs w:val="20"/>
                <w:color w:val="auto"/>
              </w:rPr>
            </w:pP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233,827</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232,716</w:t>
            </w:r>
          </w:p>
        </w:tc>
        <w:tc>
          <w:tcPr>
            <w:tcW w:w="8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187,846</w:t>
            </w:r>
          </w:p>
        </w:tc>
        <w:tc>
          <w:tcPr>
            <w:tcW w:w="8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825,911</w:t>
            </w:r>
          </w:p>
        </w:tc>
        <w:tc>
          <w:tcPr>
            <w:tcW w:w="8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0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Changes in Accumulated Other Comprehensive Loss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which is reported as a component of stockholders’ equity, for the three months ended March 31, 2024 and 2023.</w:t>
      </w:r>
    </w:p>
    <w:p>
      <w:pPr>
        <w:sectPr>
          <w:pgSz w:w="11900" w:h="16838" w:orient="portrait"/>
          <w:cols w:equalWidth="0" w:num="1">
            <w:col w:w="11240"/>
          </w:cols>
          <w:pgMar w:left="320" w:top="9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Beginning balance at January 1, 2024</w:t>
      </w:r>
    </w:p>
    <w:p>
      <w:pPr>
        <w:spacing w:after="0" w:line="5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p>
      <w:pPr>
        <w:spacing w:after="0" w:line="36" w:lineRule="exact"/>
        <w:rPr>
          <w:sz w:val="20"/>
          <w:szCs w:val="20"/>
          <w:color w:val="auto"/>
        </w:rPr>
      </w:pPr>
    </w:p>
    <w:p>
      <w:pPr>
        <w:ind w:left="1420" w:right="900" w:hanging="89"/>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Ending balance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Beginning balance at January 1, 2023</w:t>
      </w:r>
    </w:p>
    <w:p>
      <w:pPr>
        <w:spacing w:after="0" w:line="5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p>
      <w:pPr>
        <w:spacing w:after="0" w:line="36" w:lineRule="exact"/>
        <w:rPr>
          <w:sz w:val="20"/>
          <w:szCs w:val="20"/>
          <w:color w:val="auto"/>
        </w:rPr>
      </w:pPr>
    </w:p>
    <w:p>
      <w:pPr>
        <w:ind w:left="1420" w:right="900" w:hanging="89"/>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Ending balance at March 31,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 Expense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3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60" w:type="dxa"/>
            <w:vAlign w:val="bottom"/>
          </w:tcPr>
          <w:p>
            <w:pPr>
              <w:spacing w:after="0"/>
              <w:rPr>
                <w:sz w:val="13"/>
                <w:szCs w:val="13"/>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3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60" w:type="dxa"/>
            <w:vAlign w:val="bottom"/>
          </w:tcPr>
          <w:p>
            <w:pPr>
              <w:spacing w:after="0"/>
              <w:rPr>
                <w:sz w:val="12"/>
                <w:szCs w:val="12"/>
                <w:color w:val="auto"/>
              </w:rPr>
            </w:pPr>
          </w:p>
        </w:tc>
        <w:tc>
          <w:tcPr>
            <w:tcW w:w="132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0" w:type="dxa"/>
            <w:vAlign w:val="bottom"/>
          </w:tcPr>
          <w:p>
            <w:pPr>
              <w:spacing w:after="0"/>
              <w:rPr>
                <w:sz w:val="16"/>
                <w:szCs w:val="16"/>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13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(2,044 )</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(2,763 )</w:t>
            </w:r>
          </w:p>
        </w:tc>
        <w:tc>
          <w:tcPr>
            <w:tcW w:w="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(4,807 )</w:t>
            </w: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0" w:type="dxa"/>
            <w:vAlign w:val="bottom"/>
          </w:tcPr>
          <w:p>
            <w:pPr>
              <w:spacing w:after="0"/>
              <w:rPr>
                <w:sz w:val="24"/>
                <w:szCs w:val="24"/>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60" w:type="dxa"/>
            <w:vAlign w:val="bottom"/>
          </w:tcPr>
          <w:p>
            <w:pPr>
              <w:spacing w:after="0"/>
              <w:rPr>
                <w:sz w:val="24"/>
                <w:szCs w:val="24"/>
                <w:color w:val="auto"/>
              </w:rPr>
            </w:pPr>
          </w:p>
        </w:tc>
        <w:tc>
          <w:tcPr>
            <w:tcW w:w="1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3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60" w:type="dxa"/>
            <w:vAlign w:val="bottom"/>
          </w:tcPr>
          <w:p>
            <w:pPr>
              <w:spacing w:after="0"/>
              <w:rPr>
                <w:sz w:val="12"/>
                <w:szCs w:val="12"/>
                <w:color w:val="auto"/>
              </w:rPr>
            </w:pPr>
          </w:p>
        </w:tc>
        <w:tc>
          <w:tcPr>
            <w:tcW w:w="13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08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0" w:type="dxa"/>
            <w:vAlign w:val="bottom"/>
          </w:tcPr>
          <w:p>
            <w:pPr>
              <w:spacing w:after="0"/>
              <w:rPr>
                <w:sz w:val="16"/>
                <w:szCs w:val="16"/>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gridSpan w:val="2"/>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3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(3,070 )</w:t>
            </w:r>
          </w:p>
        </w:tc>
        <w:tc>
          <w:tcPr>
            <w:tcW w:w="134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(9,820 )</w:t>
            </w: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-2253615</wp:posOffset>
            </wp:positionV>
            <wp:extent cx="570039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-1936750</wp:posOffset>
            </wp:positionV>
            <wp:extent cx="5700395"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-788035</wp:posOffset>
            </wp:positionV>
            <wp:extent cx="570039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-471170</wp:posOffset>
            </wp:positionV>
            <wp:extent cx="5700395"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spacing w:after="0" w:line="776" w:lineRule="exact"/>
        <w:rPr>
          <w:sz w:val="20"/>
          <w:szCs w:val="20"/>
          <w:color w:val="auto"/>
        </w:rPr>
      </w:pPr>
    </w:p>
    <w:p>
      <w:pPr>
        <w:sectPr>
          <w:pgSz w:w="11900" w:h="16838" w:orient="portrait"/>
          <w:cols w:equalWidth="0" w:num="2">
            <w:col w:w="5520" w:space="720"/>
            <w:col w:w="5000"/>
          </w:cols>
          <w:pgMar w:left="320" w:top="992" w:right="339" w:bottom="1440" w:gutter="0" w:footer="0" w:header="0"/>
          <w:type w:val="continuous"/>
        </w:sectPr>
      </w:pPr>
    </w:p>
    <w:p>
      <w:pPr>
        <w:spacing w:after="0" w:line="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two tables show stock-based compensation expense by award type and where the stock-based compensation expense is recorded in the Company’s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2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2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111,122</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36"/>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-916305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-899160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-899160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Effect of stock-based compensation expense on income by line item:</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subscription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professional services and other</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111,122</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excluded from stock-based compensation expense is $8.8 million for the three months ended March 31, 2024 and $4.6 million for the three months ended March 31, 2023. Also excluded in the three months ended March 31, 2023 is $1.0 million of stock-based compensation expense incurred in connection with the Restructuring Plan. See Note 14 for more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 and Geographic Data</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geographical region:</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4"/>
        </w:trPr>
        <w:tc>
          <w:tcPr>
            <w:tcW w:w="5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center"/>
              <w:ind w:right="796"/>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374,546</w:t>
            </w:r>
          </w:p>
        </w:tc>
        <w:tc>
          <w:tcPr>
            <w:tcW w:w="260" w:type="dxa"/>
            <w:vAlign w:val="bottom"/>
          </w:tcPr>
          <w:p>
            <w:pPr>
              <w:spacing w:after="0"/>
              <w:rPr>
                <w:sz w:val="20"/>
                <w:szCs w:val="20"/>
                <w:color w:val="auto"/>
              </w:rPr>
            </w:pPr>
          </w:p>
        </w:tc>
        <w:tc>
          <w:tcPr>
            <w:tcW w:w="1220" w:type="dxa"/>
            <w:vAlign w:val="bottom"/>
          </w:tcPr>
          <w:p>
            <w:pPr>
              <w:jc w:val="center"/>
              <w:ind w:right="10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193,123</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49,745</w:t>
            </w:r>
          </w:p>
        </w:tc>
        <w:tc>
          <w:tcPr>
            <w:tcW w:w="2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7"/>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617,414</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center"/>
              <w:ind w:right="10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501,620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revenues generated outside of the Americas</w:t>
            </w:r>
          </w:p>
        </w:tc>
        <w:tc>
          <w:tcPr>
            <w:tcW w:w="1160" w:type="dxa"/>
            <w:vAlign w:val="bottom"/>
          </w:tcPr>
          <w:p>
            <w:pPr>
              <w:spacing w:after="0"/>
              <w:rPr>
                <w:sz w:val="19"/>
                <w:szCs w:val="19"/>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39 %</w:t>
            </w:r>
          </w:p>
        </w:tc>
        <w:tc>
          <w:tcPr>
            <w:tcW w:w="12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5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-205105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Revenue derived from customers outside the United States (international) was approximately 47% of total revenue in the three months ended March 31, 2024 and 46% of total revenue in the three months ended March 31,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long-lived assets by geographical region: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2200" w:type="dxa"/>
            <w:vAlign w:val="bottom"/>
            <w:gridSpan w:val="3"/>
          </w:tcPr>
          <w:p>
            <w:pPr>
              <w:jc w:val="center"/>
              <w:ind w:right="1513"/>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6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235,141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346,641</w:t>
            </w:r>
          </w:p>
        </w:tc>
        <w:tc>
          <w:tcPr>
            <w:tcW w:w="26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long-lived assets held outside of the Americas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19"/>
                <w:szCs w:val="19"/>
                <w:color w:val="auto"/>
              </w:rPr>
            </w:pPr>
          </w:p>
        </w:tc>
        <w:tc>
          <w:tcPr>
            <w:tcW w:w="2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-1276350</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-1087755</wp:posOffset>
            </wp:positionV>
            <wp:extent cx="641223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Plan</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2024, the Company incurred $0.8 million of restructuring charges consisting of variable facilities related costs on unused space. In the three months ended March 31, 2023, the Company incurred $28.6 million of restructuring charges, primarily composed of $26.8 million for severance, employee related benefits, and other costs, including $1.0 million of stock-based compensation expense, and $1.8 million related to facilities. The charges were recorded to the restructuring line item within the consolidated statements of operations.</w:t>
      </w:r>
    </w:p>
    <w:p>
      <w:pPr>
        <w:spacing w:after="0" w:line="15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Future variable facilities related costs for vacated properties will continue to be recorded to restructuring charges. As of three months ended March 31, 2024, the Company did not have any remaining liabilities accrued related to the Restructuring Plan.</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2023 filed with the SEC on February 14, 2024.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ind w:right="240" w:firstLine="544"/>
        <w:spacing w:after="0" w:line="266" w:lineRule="auto"/>
        <w:rPr>
          <w:sz w:val="20"/>
          <w:szCs w:val="20"/>
          <w:color w:val="auto"/>
        </w:rPr>
      </w:pPr>
      <w:r>
        <w:rPr>
          <w:rFonts w:ascii="Times New Roman" w:cs="Times New Roman" w:eastAsia="Times New Roman" w:hAnsi="Times New Roman"/>
          <w:sz w:val="18"/>
          <w:szCs w:val="18"/>
          <w:color w:val="212529"/>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educational content.</w:t>
      </w:r>
    </w:p>
    <w:p>
      <w:pPr>
        <w:spacing w:after="0" w:line="149" w:lineRule="exact"/>
        <w:rPr>
          <w:sz w:val="20"/>
          <w:szCs w:val="20"/>
          <w:color w:val="auto"/>
        </w:rPr>
      </w:pPr>
    </w:p>
    <w:p>
      <w:pPr>
        <w:ind w:right="140" w:firstLine="544"/>
        <w:spacing w:after="0" w:line="261" w:lineRule="auto"/>
        <w:rPr>
          <w:sz w:val="20"/>
          <w:szCs w:val="20"/>
          <w:color w:val="auto"/>
        </w:rPr>
      </w:pPr>
      <w:r>
        <w:rPr>
          <w:rFonts w:ascii="Times New Roman" w:cs="Times New Roman" w:eastAsia="Times New Roman" w:hAnsi="Times New Roman"/>
          <w:sz w:val="18"/>
          <w:szCs w:val="18"/>
          <w:color w:val="212529"/>
        </w:rPr>
        <w:t>Our engagement hubs include Marketing Hub, Sales Hub, Service Hub, Operations Hub, Content Hub and Commerce Hub, as well as other tools and integrations that enable companies to attract, engage, and delight customers throughout the customer experience.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39" w:lineRule="exact"/>
        <w:rPr>
          <w:sz w:val="20"/>
          <w:szCs w:val="20"/>
          <w:color w:val="auto"/>
        </w:rPr>
      </w:pPr>
    </w:p>
    <w:p>
      <w:pPr>
        <w:ind w:right="60" w:firstLine="544"/>
        <w:spacing w:after="0" w:line="258" w:lineRule="auto"/>
        <w:rPr>
          <w:sz w:val="20"/>
          <w:szCs w:val="20"/>
          <w:color w:val="auto"/>
        </w:rPr>
      </w:pPr>
      <w:r>
        <w:rPr>
          <w:rFonts w:ascii="Times New Roman" w:cs="Times New Roman" w:eastAsia="Times New Roman" w:hAnsi="Times New Roman"/>
          <w:sz w:val="18"/>
          <w:szCs w:val="18"/>
          <w:color w:val="212529"/>
        </w:rPr>
        <w:t>The core of our customer platform is our Smart CRM: a single database of lead and customer information that allows businesses to track their interactions with contacts and customers, manage their customer activities, and report on their pipeline and sales.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The acquisition of APIHub, Inc. (dba Clearbit), which closed in December 2023, will allow us to build enriched B2B records directly into our customer platform.</w:t>
      </w:r>
    </w:p>
    <w:p>
      <w:pPr>
        <w:spacing w:after="0" w:line="143" w:lineRule="exact"/>
        <w:rPr>
          <w:sz w:val="20"/>
          <w:szCs w:val="20"/>
          <w:color w:val="auto"/>
        </w:rPr>
      </w:pPr>
    </w:p>
    <w:p>
      <w:pPr>
        <w:ind w:right="80" w:firstLine="544"/>
        <w:spacing w:after="0" w:line="266" w:lineRule="auto"/>
        <w:rPr>
          <w:sz w:val="20"/>
          <w:szCs w:val="20"/>
          <w:color w:val="auto"/>
        </w:rPr>
      </w:pPr>
      <w:r>
        <w:rPr>
          <w:rFonts w:ascii="Times New Roman" w:cs="Times New Roman" w:eastAsia="Times New Roman" w:hAnsi="Times New Roman"/>
          <w:sz w:val="18"/>
          <w:szCs w:val="18"/>
          <w:color w:val="212529"/>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49" w:lineRule="exact"/>
        <w:rPr>
          <w:sz w:val="20"/>
          <w:szCs w:val="20"/>
          <w:color w:val="auto"/>
        </w:rPr>
      </w:pPr>
    </w:p>
    <w:p>
      <w:pPr>
        <w:ind w:right="180" w:firstLine="544"/>
        <w:spacing w:after="0" w:line="254" w:lineRule="auto"/>
        <w:rPr>
          <w:sz w:val="20"/>
          <w:szCs w:val="20"/>
          <w:color w:val="auto"/>
        </w:rPr>
      </w:pPr>
      <w:r>
        <w:rPr>
          <w:rFonts w:ascii="Times New Roman" w:cs="Times New Roman" w:eastAsia="Times New Roman" w:hAnsi="Times New Roman"/>
          <w:sz w:val="18"/>
          <w:szCs w:val="18"/>
          <w:color w:val="212529"/>
        </w:rPr>
        <w:t xml:space="preserve">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w:t>
      </w:r>
      <w:r>
        <w:rPr>
          <w:rFonts w:ascii="Times New Roman" w:cs="Times New Roman" w:eastAsia="Times New Roman" w:hAnsi="Times New Roman"/>
          <w:sz w:val="18"/>
          <w:szCs w:val="18"/>
          <w:color w:val="000000"/>
        </w:rPr>
        <w:t>As of March 31, 2024,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we had 7,829 full-time employees and 216,060 Customers of varying sizes in more than 135 countries, representing many industries.</w:t>
      </w:r>
    </w:p>
    <w:p>
      <w:pPr>
        <w:spacing w:after="0" w:line="151" w:lineRule="exact"/>
        <w:rPr>
          <w:sz w:val="20"/>
          <w:szCs w:val="20"/>
          <w:color w:val="auto"/>
        </w:rPr>
      </w:pPr>
    </w:p>
    <w:p>
      <w:pPr>
        <w:ind w:right="40" w:firstLine="544"/>
        <w:spacing w:after="0" w:line="256" w:lineRule="auto"/>
        <w:rPr>
          <w:sz w:val="20"/>
          <w:szCs w:val="20"/>
          <w:color w:val="auto"/>
        </w:rPr>
      </w:pPr>
      <w:r>
        <w:rPr>
          <w:rFonts w:ascii="Times New Roman" w:cs="Times New Roman" w:eastAsia="Times New Roman" w:hAnsi="Times New Roman"/>
          <w:sz w:val="18"/>
          <w:szCs w:val="18"/>
          <w:color w:val="auto"/>
        </w:rPr>
        <w:t>We derive most of our revenue from subscriptions to our cloud-based customer platform and related professional services, which consist of customer on-boarding, training and consulting services. Subscription revenue accounted for 98% of our total revenue for the three months ended March 31, 2024 and 2023. We sell multiple product plans at different base prices on a subscription basis, each of which includes our Smart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47"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49" w:lineRule="exact"/>
        <w:rPr>
          <w:sz w:val="20"/>
          <w:szCs w:val="20"/>
          <w:color w:val="auto"/>
        </w:rPr>
      </w:pPr>
    </w:p>
    <w:p>
      <w:pPr>
        <w:ind w:right="600" w:firstLine="544"/>
        <w:spacing w:after="0" w:line="282" w:lineRule="auto"/>
        <w:rPr>
          <w:sz w:val="20"/>
          <w:szCs w:val="20"/>
          <w:color w:val="auto"/>
        </w:rPr>
      </w:pPr>
      <w:r>
        <w:rPr>
          <w:rFonts w:ascii="Times New Roman" w:cs="Times New Roman" w:eastAsia="Times New Roman" w:hAnsi="Times New Roman"/>
          <w:sz w:val="18"/>
          <w:szCs w:val="18"/>
          <w:color w:val="auto"/>
        </w:rPr>
        <w:t>Many of our customers purchase on-boarding, training, and consulting services, as well as other tools, which are designed to help customers enhance their ability to attract, engage and delight their customers using our customer platform. We also generate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revenue from Commerce Hub and a number of revenue-share agreements with other companies based on mutually agreed upon terms. Professional services and other revenue accounted for 2% of total revenue for three months ended March 31, 2024 and 2023.</w:t>
      </w:r>
    </w:p>
    <w:p>
      <w:pPr>
        <w:spacing w:after="0" w:line="135" w:lineRule="exact"/>
        <w:rPr>
          <w:sz w:val="20"/>
          <w:szCs w:val="20"/>
          <w:color w:val="auto"/>
        </w:rPr>
      </w:pPr>
    </w:p>
    <w:p>
      <w:pPr>
        <w:jc w:val="both"/>
        <w:ind w:right="120" w:firstLine="544"/>
        <w:spacing w:after="0" w:line="266" w:lineRule="auto"/>
        <w:rPr>
          <w:sz w:val="20"/>
          <w:szCs w:val="20"/>
          <w:color w:val="auto"/>
        </w:rPr>
      </w:pPr>
      <w:r>
        <w:rPr>
          <w:rFonts w:ascii="Times New Roman" w:cs="Times New Roman" w:eastAsia="Times New Roman" w:hAnsi="Times New Roman"/>
          <w:sz w:val="18"/>
          <w:szCs w:val="18"/>
          <w:color w:val="auto"/>
        </w:rPr>
        <w:t>We have focused on rapidly growing our business and plan to continue to make investments to help us address some of the challenges facing us to support this growth, such as demand for our customer platform by existing and new customers, significant competition from other providers of marketing, sales, customer service, operations, commerce, and content management software and related applications and rapid technological change in our industry.</w:t>
      </w:r>
    </w:p>
    <w:p>
      <w:pPr>
        <w:spacing w:after="0" w:line="135" w:lineRule="exact"/>
        <w:rPr>
          <w:sz w:val="20"/>
          <w:szCs w:val="20"/>
          <w:color w:val="auto"/>
        </w:rPr>
      </w:pPr>
    </w:p>
    <w:p>
      <w:pPr>
        <w:ind w:right="20" w:firstLine="544"/>
        <w:spacing w:after="0" w:line="254" w:lineRule="auto"/>
        <w:rPr>
          <w:sz w:val="20"/>
          <w:szCs w:val="20"/>
          <w:color w:val="auto"/>
        </w:rPr>
      </w:pPr>
      <w:r>
        <w:rPr>
          <w:rFonts w:ascii="Times New Roman" w:cs="Times New Roman" w:eastAsia="Times New Roman" w:hAnsi="Times New Roman"/>
          <w:sz w:val="18"/>
          <w:szCs w:val="18"/>
          <w:color w:val="auto"/>
        </w:rPr>
        <w:t>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 and do not expect to be profitable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w:t>
      </w:r>
    </w:p>
    <w:p>
      <w:pPr>
        <w:spacing w:after="0" w:line="189" w:lineRule="exact"/>
        <w:rPr>
          <w:sz w:val="20"/>
          <w:szCs w:val="20"/>
          <w:color w:val="auto"/>
        </w:rPr>
      </w:pPr>
    </w:p>
    <w:p>
      <w:pPr>
        <w:ind w:right="20" w:firstLine="544"/>
        <w:spacing w:after="0" w:line="255" w:lineRule="auto"/>
        <w:rPr>
          <w:sz w:val="20"/>
          <w:szCs w:val="20"/>
          <w:color w:val="auto"/>
        </w:rPr>
      </w:pPr>
      <w:r>
        <w:rPr>
          <w:rFonts w:ascii="Times New Roman" w:cs="Times New Roman" w:eastAsia="Times New Roman" w:hAnsi="Times New Roman"/>
          <w:sz w:val="18"/>
          <w:szCs w:val="18"/>
          <w:color w:val="auto"/>
        </w:rPr>
        <w:t>Our results of operations may be significantly influenced by general macroeconomic conditions, including, but not limited to, the impact of pandemics (such as the COVID-19 pandemic), geo-political conflicts,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Customers. </w:t>
      </w:r>
      <w:r>
        <w:rPr>
          <w:rFonts w:ascii="Times New Roman" w:cs="Times New Roman" w:eastAsia="Times New Roman" w:hAnsi="Times New Roman"/>
          <w:sz w:val="18"/>
          <w:szCs w:val="18"/>
          <w:color w:val="auto"/>
        </w:rPr>
        <w:t>We believe that our ability to increase our customer base is an indicator of our market penetration, the growth of our business,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We do not include in Customers any legacy PieSync products.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spacing w:after="0" w:line="18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Average Subscription Revenue per Customer. </w:t>
      </w:r>
      <w:r>
        <w:rPr>
          <w:rFonts w:ascii="Times New Roman" w:cs="Times New Roman" w:eastAsia="Times New Roman" w:hAnsi="Times New Roman"/>
          <w:sz w:val="18"/>
          <w:szCs w:val="18"/>
          <w:color w:val="auto"/>
        </w:rPr>
        <w:t>We believe that our ability to increase the Average Subscription Revenue per Customer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indicator of our ability to grow the long-term value of our existing customer relationships. We define Average Subscription Revenue per Customer during a particular period as subscription revenue, excluding revenue from our legacy PieSync products, from our Customers during the period divided by the average Customers during the same period.</w:t>
      </w:r>
    </w:p>
    <w:p>
      <w:pPr>
        <w:spacing w:after="0" w:line="176"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We believe that our ability to retain and expand a customer relationship is an indicator of the stability of our revenue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Retained Subscription Revenue. </w:t>
      </w:r>
      <w:r>
        <w:rPr>
          <w:rFonts w:ascii="Times New Roman" w:cs="Times New Roman" w:eastAsia="Times New Roman" w:hAnsi="Times New Roman"/>
          <w:sz w:val="18"/>
          <w:szCs w:val="18"/>
          <w:color w:val="auto"/>
        </w:rPr>
        <w:t>Contractual Monthly Subscription Revenue of the same cohort of Customers as those that comprise the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Revenue at the end of the same month.</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Retention Base Revenue. </w:t>
      </w:r>
      <w:r>
        <w:rPr>
          <w:rFonts w:ascii="Times New Roman" w:cs="Times New Roman" w:eastAsia="Times New Roman" w:hAnsi="Times New Roman"/>
          <w:sz w:val="18"/>
          <w:szCs w:val="18"/>
          <w:color w:val="auto"/>
        </w:rPr>
        <w:t>Contractual Monthly Subscription Revenue of our Customers as of the beginning of each month.</w:t>
      </w:r>
    </w:p>
    <w:p>
      <w:pPr>
        <w:spacing w:after="0" w:line="225" w:lineRule="exact"/>
        <w:rPr>
          <w:sz w:val="20"/>
          <w:szCs w:val="20"/>
          <w:color w:val="auto"/>
        </w:rPr>
      </w:pPr>
    </w:p>
    <w:p>
      <w:pPr>
        <w:ind w:right="54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Contractual Monthly Subscription Revenue. </w:t>
      </w:r>
      <w:r>
        <w:rPr>
          <w:rFonts w:ascii="Times New Roman" w:cs="Times New Roman" w:eastAsia="Times New Roman" w:hAnsi="Times New Roman"/>
          <w:sz w:val="17"/>
          <w:szCs w:val="17"/>
          <w:color w:val="auto"/>
        </w:rPr>
        <w:t>The subscription fees contractually committed to be paid for a full month under our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converted into USD at fixed rates that are held consistent over time, excluding commissions owed to our Solutions Partners.</w:t>
      </w: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3"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140" w:type="dxa"/>
        <w:tblCellMar>
          <w:top w:w="0" w:type="dxa"/>
          <w:left w:w="0" w:type="dxa"/>
          <w:bottom w:w="0" w:type="dxa"/>
          <w:right w:w="0" w:type="dxa"/>
        </w:tblCellMar>
      </w:tblPr>
      <w:tr>
        <w:trPr>
          <w:trHeight w:val="140"/>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4"/>
          </w:tcPr>
          <w:p>
            <w:pPr>
              <w:ind w:left="800"/>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603,798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617,414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522,326</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421,291</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175,637</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545,559</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464,341</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(23,233 )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(43,050 )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(935 )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(34,302 )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(1,786 )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(2,418 )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(36,720 )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-5133975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-5133975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-4499610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-4499610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-4173855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-4173855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-3230880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-3230880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-2279650</wp:posOffset>
            </wp:positionV>
            <wp:extent cx="59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-2279650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-1962150</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-967740</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-967740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-333375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-333375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140"/>
          </w:cols>
          <w:pgMar w:left="320" w:top="1157" w:right="439" w:bottom="879"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26035</wp:posOffset>
            </wp:positionV>
            <wp:extent cx="570039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26035</wp:posOffset>
            </wp:positionV>
            <wp:extent cx="570039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Income (loss)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26035</wp:posOffset>
            </wp:positionV>
            <wp:extent cx="5700395"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Percentages are based on actual values. Totals may not sum due to rounding.</w:t>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r>
      <w:tr>
        <w:trPr>
          <w:trHeight w:val="243"/>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1"/>
                <w:szCs w:val="21"/>
                <w:color w:val="auto"/>
              </w:rPr>
            </w:pPr>
          </w:p>
        </w:tc>
      </w:tr>
      <w:tr>
        <w:trPr>
          <w:trHeight w:val="243"/>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r>
      <w:tr>
        <w:trPr>
          <w:trHeight w:val="250"/>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r>
      <w:tr>
        <w:trPr>
          <w:trHeight w:val="239"/>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0"/>
                <w:szCs w:val="20"/>
                <w:color w:val="auto"/>
              </w:rPr>
            </w:pPr>
          </w:p>
        </w:tc>
      </w:tr>
      <w:tr>
        <w:trPr>
          <w:trHeight w:val="232"/>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r>
    </w:tbl>
    <w:p>
      <w:pPr>
        <w:spacing w:after="0" w:line="22" w:lineRule="exact"/>
        <w:rPr>
          <w:sz w:val="20"/>
          <w:szCs w:val="20"/>
          <w:color w:val="auto"/>
        </w:rPr>
      </w:pPr>
    </w:p>
    <w:p>
      <w:pPr>
        <w:ind w:left="2600" w:hanging="1322"/>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36"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w:t>
      </w:r>
      <w:r>
        <w:rPr>
          <w:rFonts w:ascii="Times New Roman" w:cs="Times New Roman" w:eastAsia="Times New Roman" w:hAnsi="Times New Roman"/>
          <w:sz w:val="16"/>
          <w:szCs w:val="16"/>
          <w:color w:val="auto"/>
        </w:rPr>
        <w:t>(0 )</w:t>
      </w:r>
    </w:p>
    <w:p>
      <w:pPr>
        <w:spacing w:after="0" w:line="49" w:lineRule="exact"/>
        <w:rPr>
          <w:rFonts w:ascii="Times New Roman" w:cs="Times New Roman" w:eastAsia="Times New Roman" w:hAnsi="Times New Roman"/>
          <w:sz w:val="18"/>
          <w:szCs w:val="18"/>
          <w:color w:val="auto"/>
        </w:rPr>
      </w:pPr>
    </w:p>
    <w:p>
      <w:pPr>
        <w:ind w:left="1400" w:hanging="122"/>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7659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65935" cy="26035"/>
                    </a:xfrm>
                    <a:prstGeom prst="rect">
                      <a:avLst/>
                    </a:prstGeom>
                    <a:noFill/>
                  </pic:spPr>
                </pic:pic>
              </a:graphicData>
            </a:graphic>
          </wp:anchor>
        </w:drawing>
      </w:r>
    </w:p>
    <w:p>
      <w:pPr>
        <w:sectPr>
          <w:pgSz w:w="11900" w:h="16838" w:orient="portrait"/>
          <w:cols w:equalWidth="0" w:num="2">
            <w:col w:w="6540" w:space="720"/>
            <w:col w:w="3880"/>
          </w:cols>
          <w:pgMar w:left="320" w:top="1157" w:right="439" w:bottom="879"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the Three Months Ended March 31, 2023</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6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Subscription</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603,798</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489,743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114,055</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3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Professional services and other</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13,616</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617,414</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501,620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115,794</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3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Subscription revenue increased during the three months ended March 31, 2024 compared to the same period in 2023 primarily due to the increase in Customers, which grew from 177,298 as of March 31, 2023 to 216,060 as of March 31, 2024. Average Subscription Revenue per Customer increased from $11,365 for the three months ended March 31, 2023 to $11,447 for the three months ended March 31, 2024. The growth in Customers was primarily driven by increased demand for our lower-priced Starter products. The increase in Average Subscription Revenue per Customer was primarily driven by a continued demand for our Professional and Enterprise products, as well as the addition of customers from the acquisition of Clearbit, offset by continued purchases of our lower-priced Starter products.</w:t>
      </w:r>
    </w:p>
    <w:p>
      <w:pPr>
        <w:spacing w:after="0" w:line="14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 increased during the three months ended March 31, 2024 compared to the same period in 2023 primarily due to an increase in other revenue streams, including Commerce Hub.</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 Percentage</w:t>
      </w: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30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 of revenue</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95,088</w:t>
            </w:r>
          </w:p>
        </w:tc>
        <w:tc>
          <w:tcPr>
            <w:tcW w:w="2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80,329</w:t>
            </w:r>
          </w:p>
        </w:tc>
        <w:tc>
          <w:tcPr>
            <w:tcW w:w="2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39"/>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522,326</w:t>
            </w:r>
          </w:p>
        </w:tc>
        <w:tc>
          <w:tcPr>
            <w:tcW w:w="2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421,291</w:t>
            </w:r>
          </w:p>
        </w:tc>
        <w:tc>
          <w:tcPr>
            <w:tcW w:w="2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101,035</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39"/>
        </w:trPr>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percentage</w:t>
            </w:r>
          </w:p>
        </w:tc>
        <w:tc>
          <w:tcPr>
            <w:tcW w:w="3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85 %</w:t>
            </w:r>
          </w:p>
        </w:tc>
        <w:tc>
          <w:tcPr>
            <w:tcW w:w="5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-436880</wp:posOffset>
            </wp:positionV>
            <wp:extent cx="6412230"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3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Total cost of revenue for the three months ended March 31, 2024 increased compared to the same period in 2023 primarily due to an increase in subscription and hosting costs, amortization of capitalized software development costs, amortization of acquired technology and employee-related costs, offset by a decrease in allocated overhead expenses. Gross margins remained consistent year-over-year.</w:t>
      </w:r>
    </w:p>
    <w:p>
      <w:pPr>
        <w:spacing w:after="0" w:line="18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Pr>
          <w:p>
            <w:pPr>
              <w:spacing w:after="0"/>
              <w:rPr>
                <w:sz w:val="18"/>
                <w:szCs w:val="18"/>
                <w:color w:val="auto"/>
              </w:rPr>
            </w:pP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Subscription cost of revenue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80,725</w:t>
            </w:r>
          </w:p>
        </w:tc>
        <w:tc>
          <w:tcPr>
            <w:tcW w:w="2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14,103</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2"/>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subscription revenue</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13 %</w:t>
            </w: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14 %</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increase in subscription cost of revenue for the three months ended March 31, 2024 compared to the same period in 2023 was primarily due to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69"/>
        </w:trPr>
        <w:tc>
          <w:tcPr>
            <w:tcW w:w="59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and hosting costs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80" w:type="dxa"/>
            <w:vAlign w:val="bottom"/>
            <w:shd w:val="clear" w:color="auto" w:fill="CFF0FC"/>
          </w:tcPr>
          <w:p>
            <w:pPr>
              <w:spacing w:after="0"/>
              <w:rPr>
                <w:sz w:val="21"/>
                <w:szCs w:val="2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0"/>
                <w:szCs w:val="20"/>
                <w:color w:val="auto"/>
              </w:rPr>
            </w:pPr>
          </w:p>
        </w:tc>
      </w:tr>
      <w:tr>
        <w:trPr>
          <w:trHeight w:val="24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FF0FC"/>
          </w:tcPr>
          <w:p>
            <w:pPr>
              <w:spacing w:after="0"/>
              <w:rPr>
                <w:sz w:val="21"/>
                <w:szCs w:val="2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20"/>
                <w:szCs w:val="20"/>
                <w:color w:val="auto"/>
              </w:rPr>
            </w:pPr>
          </w:p>
        </w:tc>
      </w:tr>
      <w:tr>
        <w:trPr>
          <w:trHeight w:val="252"/>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32"/>
        </w:trPr>
        <w:tc>
          <w:tcPr>
            <w:tcW w:w="59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80" w:type="dxa"/>
            <w:vAlign w:val="bottom"/>
            <w:tcBorders>
              <w:top w:val="single" w:sz="8" w:color="CFF0FC"/>
            </w:tcBorders>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Customer base from 177,298 as of March 31, 2023 to 216,060 as of March 31, 2024.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Clearbit in December 2023. Employee-related costs increased as a result of increased headcount as we continue to grow our customer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support organization to support our customer growth and improve service levels and offerings. Allocated overhead expenses decreased primarily due to the reduction of our leased space as a result of the global lease consolidation under the Restructuring Plan.</w:t>
      </w: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services and other cost of revenue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14,363</w:t>
            </w:r>
          </w:p>
        </w:tc>
        <w:tc>
          <w:tcPr>
            <w:tcW w:w="22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1"/>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professional services and 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105 %</w:t>
            </w:r>
          </w:p>
        </w:tc>
        <w:tc>
          <w:tcPr>
            <w:tcW w:w="4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115 %</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-409575</wp:posOffset>
            </wp:positionV>
            <wp:extent cx="641223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increase in professional services and other cost of revenue for three months ended March 31, 2024 compared to the same period in 2023 was primarily due to the following:</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6"/>
        </w:trPr>
        <w:tc>
          <w:tcPr>
            <w:tcW w:w="5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9"/>
                <w:szCs w:val="19"/>
                <w:color w:val="auto"/>
              </w:rPr>
            </w:pPr>
          </w:p>
        </w:tc>
      </w:tr>
      <w:tr>
        <w:trPr>
          <w:trHeight w:val="237"/>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and other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shd w:val="clear" w:color="auto" w:fill="CFF0FC"/>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3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(1,833 )</w:t>
            </w:r>
          </w:p>
        </w:tc>
      </w:tr>
      <w:tr>
        <w:trPr>
          <w:trHeight w:val="272"/>
        </w:trPr>
        <w:tc>
          <w:tcPr>
            <w:tcW w:w="59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Allocated overhead and other expenses increased primarily due to increased costs associated with our other service offerings. Employee-related costs decreased as we continue to leverage our Solutions Partners to deliver on-boarding and other professional services.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175,637</w:t>
            </w:r>
          </w:p>
        </w:tc>
        <w:tc>
          <w:tcPr>
            <w:tcW w:w="22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127,683</w:t>
            </w:r>
          </w:p>
        </w:tc>
        <w:tc>
          <w:tcPr>
            <w:tcW w:w="2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47,954</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28 %</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25 %</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for the three months ended March 31, 2024 compared to the same period in 2023 was primarily due to the following:</w:t>
      </w:r>
    </w:p>
    <w:p>
      <w:pPr>
        <w:sectPr>
          <w:pgSz w:w="11900" w:h="16838" w:orient="portrait"/>
          <w:cols w:equalWidth="0" w:num="1">
            <w:col w:w="11200"/>
          </w:cols>
          <w:pgMar w:left="320" w:top="11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13627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8"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15875</wp:posOffset>
            </wp:positionV>
            <wp:extent cx="498919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45,411</w:t>
      </w:r>
    </w:p>
    <w:p>
      <w:pPr>
        <w:spacing w:after="0" w:line="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13627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498919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40"/>
          </w:cols>
          <w:pgMar w:left="320" w:top="1161" w:right="379" w:bottom="1440" w:gutter="0" w:footer="0" w:header="0"/>
          <w:type w:val="continuous"/>
        </w:sectPr>
      </w:pPr>
    </w:p>
    <w:p>
      <w:pPr>
        <w:spacing w:after="0" w:line="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offset slightly by a decrease in expense from the reduction of our leased office space under the Restructuring Plan.</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300,282</w:t>
            </w:r>
          </w:p>
        </w:tc>
        <w:tc>
          <w:tcPr>
            <w:tcW w:w="220" w:type="dxa"/>
            <w:vAlign w:val="bottom"/>
          </w:tcPr>
          <w:p>
            <w:pPr>
              <w:spacing w:after="0"/>
              <w:rPr>
                <w:sz w:val="18"/>
                <w:szCs w:val="18"/>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250,683</w:t>
            </w:r>
          </w:p>
        </w:tc>
        <w:tc>
          <w:tcPr>
            <w:tcW w:w="1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49,599</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49 %</w:t>
            </w:r>
          </w:p>
        </w:tc>
        <w:tc>
          <w:tcPr>
            <w:tcW w:w="5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50 %</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for the three months ended March 31, 2024 compared to the same period in 2023 was primarily due to the following: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type w:val="continuous"/>
        </w:sectPr>
      </w:pPr>
    </w:p>
    <w:bookmarkStart w:id="29" w:name="page30"/>
    <w:bookmarkEnd w:id="29"/>
    <w:p>
      <w:pPr>
        <w:spacing w:after="0" w:line="200" w:lineRule="exact"/>
        <w:rPr>
          <w:sz w:val="20"/>
          <w:szCs w:val="20"/>
          <w:color w:val="auto"/>
        </w:rPr>
      </w:pPr>
    </w:p>
    <w:p>
      <w:pPr>
        <w:spacing w:after="0" w:line="3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Marketing programs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Solutions Partner commissions</w:t>
      </w:r>
    </w:p>
    <w:p>
      <w:pPr>
        <w:spacing w:after="0" w:line="20" w:lineRule="exact"/>
        <w:rPr>
          <w:sz w:val="20"/>
          <w:szCs w:val="20"/>
          <w:color w:val="auto"/>
        </w:rPr>
      </w:pPr>
      <w:r>
        <w:rPr>
          <w:sz w:val="20"/>
          <w:szCs w:val="20"/>
          <w:color w:val="auto"/>
        </w:rPr>
        <w:br w:type="column"/>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6985</wp:posOffset>
            </wp:positionV>
            <wp:extent cx="1465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15875</wp:posOffset>
            </wp:positionV>
            <wp:extent cx="498919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34,478</w:t>
      </w:r>
    </w:p>
    <w:p>
      <w:pPr>
        <w:spacing w:after="0" w:line="28"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15,269</w:t>
      </w:r>
    </w:p>
    <w:p>
      <w:pPr>
        <w:spacing w:after="0" w:line="36"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-127635</wp:posOffset>
            </wp:positionV>
            <wp:extent cx="498919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1465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0"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-127635</wp:posOffset>
            </wp:positionV>
            <wp:extent cx="4989195"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992" w:right="339" w:bottom="1440" w:gutter="0" w:footer="0" w:header="0"/>
        </w:sectPr>
      </w:pPr>
    </w:p>
    <w:p>
      <w:pPr>
        <w:spacing w:after="0" w:line="3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Allocated overhead expenses increased due to an increase in shared company expenses associated with our systems and infrastructure, offset slightly by a decrease in expense from the reduction of our leased office space under the Restructuring Plan. Solutions Partner commissions decreased as we changed the duration of certain Solutions Partner commissions term from lifetime to three years and began to defer these costs and amortize over a period of approximately two to four years in the first quarter of 2023.</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68,858</w:t>
            </w:r>
          </w:p>
        </w:tc>
        <w:tc>
          <w:tcPr>
            <w:tcW w:w="22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57,405</w:t>
            </w:r>
          </w:p>
        </w:tc>
        <w:tc>
          <w:tcPr>
            <w:tcW w:w="1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11 %</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three months ended March 31, 2024 compared to the same period in 2023 was primarily due to the following:</w:t>
      </w:r>
    </w:p>
    <w:p>
      <w:pPr>
        <w:sectPr>
          <w:pgSz w:w="11900" w:h="16838" w:orient="portrait"/>
          <w:cols w:equalWidth="0" w:num="1">
            <w:col w:w="11240"/>
          </w:cols>
          <w:pgMar w:left="320" w:top="9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Customer credit card fees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3544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15875</wp:posOffset>
            </wp:positionV>
            <wp:extent cx="4989195"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9,190</w:t>
      </w:r>
    </w:p>
    <w:p>
      <w:pPr>
        <w:spacing w:after="0" w:line="28"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1,173</w:t>
      </w:r>
    </w:p>
    <w:p>
      <w:pPr>
        <w:spacing w:after="0" w:line="36"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1,090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4989195"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3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13544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13544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992" w:right="339" w:bottom="1440" w:gutter="0" w:footer="0" w:header="0"/>
          <w:type w:val="continuous"/>
        </w:sectPr>
      </w:pPr>
    </w:p>
    <w:p>
      <w:pPr>
        <w:spacing w:after="0" w:line="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offset slightly by a decrease in expense from the reduction of our leased office space under the Restructuring Plan.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4"/>
                <w:szCs w:val="14"/>
                <w:color w:val="auto"/>
              </w:rPr>
            </w:pPr>
          </w:p>
        </w:tc>
        <w:tc>
          <w:tcPr>
            <w:tcW w:w="16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Restructuring</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28,570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(27,788 )</w:t>
            </w:r>
          </w:p>
        </w:tc>
        <w:tc>
          <w:tcPr>
            <w:tcW w:w="160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Restructuring charges decreased due to facilities-related, severance and other costs associated with the implementation of the Restructuring Plan in the first quarter of 2023. Restructuring charges incurred in the three months ended March 31, 2024 consisted of variable facilities-related costs on unused space.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18,727</w:t>
            </w:r>
          </w:p>
        </w:tc>
        <w:tc>
          <w:tcPr>
            <w:tcW w:w="2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10,472</w:t>
            </w:r>
          </w:p>
        </w:tc>
        <w:tc>
          <w:tcPr>
            <w:tcW w:w="1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8,255</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3 %</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2 %</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30" w:name="page31"/>
    <w:bookmarkEnd w:id="30"/>
    <w:p>
      <w:pPr>
        <w:spacing w:after="0" w:line="126" w:lineRule="exact"/>
        <w:rPr>
          <w:sz w:val="20"/>
          <w:szCs w:val="20"/>
          <w:color w:val="auto"/>
        </w:rPr>
      </w:pPr>
    </w:p>
    <w:p>
      <w:pPr>
        <w:ind w:right="100" w:firstLine="544"/>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The increase during the three months ended March 31, 2024 is due to an increase in yields on our investment balances.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660" w:type="dxa"/>
            <w:vAlign w:val="bottom"/>
          </w:tcPr>
          <w:p>
            <w:pPr>
              <w:jc w:val="right"/>
              <w:ind w:right="48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3"/>
          </w:tcPr>
          <w:p>
            <w:pPr>
              <w:jc w:val="right"/>
              <w:ind w:right="488"/>
              <w:spacing w:after="0"/>
              <w:rPr>
                <w:sz w:val="20"/>
                <w:szCs w:val="20"/>
                <w:color w:val="auto"/>
              </w:rPr>
            </w:pPr>
            <w:r>
              <w:rPr>
                <w:rFonts w:ascii="Times New Roman" w:cs="Times New Roman" w:eastAsia="Times New Roman" w:hAnsi="Times New Roman"/>
                <w:sz w:val="17"/>
                <w:szCs w:val="17"/>
                <w:color w:val="auto"/>
              </w:rPr>
              <w:t>(935 )  $</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(930 )  $</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98" w:lineRule="exact"/>
        <w:rPr>
          <w:sz w:val="20"/>
          <w:szCs w:val="20"/>
          <w:color w:val="auto"/>
        </w:rPr>
      </w:pPr>
    </w:p>
    <w:p>
      <w:pPr>
        <w:ind w:right="440" w:firstLine="544"/>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amortization of the debt discount and issuance costs and contractual interest expense related to our 2025 Notes. Interest expense remained relatively consistent.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7"/>
                <w:szCs w:val="17"/>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13,161</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(794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13,955</w:t>
            </w:r>
          </w:p>
        </w:tc>
        <w:tc>
          <w:tcPr>
            <w:tcW w:w="2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2 %</w:t>
            </w: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other income (expense) during three months ended March 31, 2024 is primarily due to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6"/>
                <w:szCs w:val="16"/>
                <w:color w:val="auto"/>
              </w:rPr>
            </w:pPr>
          </w:p>
        </w:tc>
      </w:tr>
      <w:tr>
        <w:trPr>
          <w:trHeight w:val="236"/>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gains and losses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FF0FC"/>
          </w:tcPr>
          <w:p>
            <w:pPr>
              <w:spacing w:after="0"/>
              <w:rPr>
                <w:sz w:val="21"/>
                <w:szCs w:val="21"/>
                <w:color w:val="auto"/>
              </w:rPr>
            </w:pP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strategic investments</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(3,615 )</w:t>
            </w:r>
          </w:p>
        </w:tc>
      </w:tr>
      <w:tr>
        <w:trPr>
          <w:trHeight w:val="243"/>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strategic investments</w:t>
            </w: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8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firstLine="54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the impact of foreign currency transaction gains and losses associated with monetary assets and liabilities. The change in foreign currency transactions is primarily attributable to the increase in the value of the Euro and British Pound Sterling relative to the U.S. Dollar. The increase in the impairment of and gain on strategic investments is due to an impairment of $3.6 million and gains of $16.4 million from observable price changes in the value of certain strategic investments in the first quarter of 2024 that did not occur in 2023.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0" w:lineRule="exact"/>
        <w:rPr>
          <w:sz w:val="20"/>
          <w:szCs w:val="20"/>
          <w:color w:val="auto"/>
        </w:rPr>
      </w:pPr>
    </w:p>
    <w:p>
      <w:pPr>
        <w:spacing w:after="0" w:line="29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(1,786 )  $</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(2,418 )  $</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-299085</wp:posOffset>
            </wp:positionV>
            <wp:extent cx="641223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consists of current and deferred taxes for U.S. and foreign income taxes. The decrease in income tax expense was primarily due to an increase in shared-based compensation windfall benefits.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Pillar Two Global Anti-Base Erosion Model Rules (“Pillar Two”), designed to ensure large corporations are taxed at a minimum rate of 15% in all countries of operation. Although the U.S. has not yet enacted legislation implementing Pillar Two, other countries where the Company does business have enacted legislation implementing Pillar Two which are effective on January 1, 2024. The implementation of Pillar Two in each jurisdiction in which we operate does not have a material impact on our effective tax rate. We will continue to evaluate the impact as jurisdictions implement legislation.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to date have been cash and cash equivalents, net accounts receivable, our common stock offerings, and our convertible notes offerings.</w:t>
      </w:r>
    </w:p>
    <w:p>
      <w:pPr>
        <w:spacing w:after="0" w:line="121" w:lineRule="exact"/>
        <w:rPr>
          <w:sz w:val="20"/>
          <w:szCs w:val="20"/>
          <w:color w:val="auto"/>
        </w:rPr>
      </w:pPr>
    </w:p>
    <w:p>
      <w:pPr>
        <w:jc w:val="both"/>
        <w:ind w:right="60" w:firstLine="554"/>
        <w:spacing w:after="0" w:line="266" w:lineRule="auto"/>
        <w:rPr>
          <w:sz w:val="20"/>
          <w:szCs w:val="20"/>
          <w:color w:val="auto"/>
        </w:rPr>
      </w:pPr>
      <w:r>
        <w:rPr>
          <w:rFonts w:ascii="Times New Roman" w:cs="Times New Roman" w:eastAsia="Times New Roman" w:hAnsi="Times New Roman"/>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2024 and 2023.</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4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447,793</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325,159</w:t>
            </w:r>
          </w:p>
        </w:tc>
        <w:tc>
          <w:tcPr>
            <w:tcW w:w="100" w:type="dxa"/>
            <w:vAlign w:val="bottom"/>
            <w:shd w:val="clear" w:color="auto" w:fill="CFF0FC"/>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1,025,618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1,011,646</w:t>
            </w:r>
          </w:p>
        </w:tc>
        <w:tc>
          <w:tcPr>
            <w:tcW w:w="10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00" w:type="dxa"/>
            <w:vAlign w:val="bottom"/>
            <w:shd w:val="clear" w:color="auto" w:fill="CFF0FC"/>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380" w:type="dxa"/>
            <w:vAlign w:val="bottom"/>
          </w:tcPr>
          <w:p>
            <w:pPr>
              <w:spacing w:after="0"/>
              <w:rPr>
                <w:sz w:val="20"/>
                <w:szCs w:val="20"/>
                <w:color w:val="auto"/>
              </w:rPr>
            </w:pPr>
          </w:p>
        </w:tc>
        <w:tc>
          <w:tcPr>
            <w:tcW w:w="1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(74,131 )</w:t>
            </w:r>
          </w:p>
        </w:tc>
        <w:tc>
          <w:tcPr>
            <w:tcW w:w="4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(98,711 )</w:t>
            </w: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March 31, 2024 were held for working capital purposes. At March 31, 2024, $201.7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5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Operating Activities</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35" w:lineRule="exact"/>
        <w:rPr>
          <w:sz w:val="20"/>
          <w:szCs w:val="20"/>
          <w:color w:val="auto"/>
        </w:rPr>
      </w:pPr>
    </w:p>
    <w:p>
      <w:pPr>
        <w:ind w:firstLine="544"/>
        <w:spacing w:after="0" w:line="254"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three months ended March 31, 2024 primarily reflected our net income of $5.9 million, $21.2 million of depreciation and amortization, $111.1 million in stock-based compensation and an impairment of strategic investments of $3.6 million, $0.5 million of amortization of debt discount and issuance costs, offset by non-cash expenses that included $12.6 million accretion of bond discounts, a gain on strategic investments of $16.4 million, and $0.5 million of unrealized currency translation. Working capital sources of cash and cash equivalents primarily included a $31.2 million increase in deferred revenue primarily resulting from the growth in the number of customers invoiced during the period, a $25.4 million decrease in accounts receivable related to increased collection, and a $6.4 million increase in right-of-use asset. These sources of cash and cash equivalents were offset by a $5.5 million increase in prepaid expenses and other assets, a $12.7 million decrease in operating lease liabilities, a $17.0 million increase in deferred commissions, a $1.3 million increase in accounts payable related to timing of bill payments, and $13.3 million decrease in accrued expenses and other liabilities.</w:t>
      </w:r>
    </w:p>
    <w:p>
      <w:pPr>
        <w:spacing w:after="0" w:line="148" w:lineRule="exact"/>
        <w:rPr>
          <w:sz w:val="20"/>
          <w:szCs w:val="20"/>
          <w:color w:val="auto"/>
        </w:rPr>
      </w:pPr>
    </w:p>
    <w:p>
      <w:pPr>
        <w:ind w:right="140" w:firstLine="544"/>
        <w:spacing w:after="0" w:line="254"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three months ended March 31, 2023 primarily reflected our net loss of $36.7 million, $8.0 million accretion of bond discounts, offset by non-cash expenses that included $16.6 million of depreciation and amortization, $83.0 million in stock-based compensation, restructuring charges of $2.2 million, and $0.5 million of amortization of debt discount and issuance costs. Working capital sources of cash and cash equivalents primarily included a $28.6 million increase in deferred revenue primarily resulting from the growth in the number of customers invoiced during the period, a $30.6 million decrease in accounts receivable related to increased collection, a $8.5 million increase in right-of-use asset, and $22.7 million increase in accrued expenses and other liabilities. These sources of cash and cash equivalents were offset by a $20.4 million increase in prepaid expenses and other assets, a $9.8 million decrease in operating lease liabilities, a $18.5 million increase in deferred commissions, and a $17.9 million increase in accounts payable related to timing of bill payments.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Used in Investing Activities</w:t>
      </w:r>
    </w:p>
    <w:p>
      <w:pPr>
        <w:spacing w:after="0" w:line="200" w:lineRule="exact"/>
        <w:rPr>
          <w:sz w:val="20"/>
          <w:szCs w:val="20"/>
          <w:color w:val="auto"/>
        </w:rPr>
      </w:pPr>
    </w:p>
    <w:p>
      <w:pPr>
        <w:ind w:right="500" w:firstLine="544"/>
        <w:spacing w:after="0" w:line="266" w:lineRule="auto"/>
        <w:rPr>
          <w:sz w:val="20"/>
          <w:szCs w:val="20"/>
          <w:color w:val="auto"/>
        </w:rPr>
      </w:pPr>
      <w:r>
        <w:rPr>
          <w:rFonts w:ascii="Times New Roman" w:cs="Times New Roman" w:eastAsia="Times New Roman" w:hAnsi="Times New Roman"/>
          <w:sz w:val="18"/>
          <w:szCs w:val="18"/>
          <w:color w:val="auto"/>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2" w:name="page33"/>
    <w:bookmarkEnd w:id="32"/>
    <w:p>
      <w:pPr>
        <w:ind w:right="220" w:firstLine="544"/>
        <w:spacing w:after="0" w:line="266"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three months ended March 31, 2024 consisted primarily of $399.3 million purchases of investments, $5.9 million of purchased property and equipment, and $21.6 million of capitalized software development costs. These uses of cash were offset by $352.8 million received related to the maturity of investments.</w:t>
      </w:r>
    </w:p>
    <w:p>
      <w:pPr>
        <w:spacing w:after="0" w:line="149" w:lineRule="exact"/>
        <w:rPr>
          <w:sz w:val="20"/>
          <w:szCs w:val="20"/>
          <w:color w:val="auto"/>
        </w:rPr>
      </w:pPr>
    </w:p>
    <w:p>
      <w:pPr>
        <w:ind w:right="220" w:firstLine="544"/>
        <w:spacing w:after="0" w:line="266"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three months ended March 31, 2023 consisted primarily of $362.2 million purchases of investments and $3.6 million of purchased property and equipment, $6.0 million of purchases of strategic investments, and $14.9 million of capitalized software development costs. These uses of cash were offset by $288.0 million received related to the maturity of investments.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Financing Activities</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have consisted primarily of the repayment of our 2025 Notes, the issuance of common stock under our stock plans, and payments of employee taxes related to the net share settlement of stock-based awards.</w:t>
      </w:r>
    </w:p>
    <w:p>
      <w:pPr>
        <w:spacing w:after="0" w:line="135" w:lineRule="exact"/>
        <w:rPr>
          <w:sz w:val="20"/>
          <w:szCs w:val="20"/>
          <w:color w:val="auto"/>
        </w:rPr>
      </w:pPr>
    </w:p>
    <w:p>
      <w:pPr>
        <w:ind w:right="440" w:firstLine="544"/>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2024 cash provided in financing activities consisted of $19.9 million of proceeds related to issuance of common stock under stock plans, offset by $8.8 million used for payment of employee taxes related to the net share settlement of stock-based awards.</w:t>
      </w:r>
    </w:p>
    <w:p>
      <w:pPr>
        <w:spacing w:after="0" w:line="99" w:lineRule="exact"/>
        <w:rPr>
          <w:sz w:val="20"/>
          <w:szCs w:val="20"/>
          <w:color w:val="auto"/>
        </w:rPr>
      </w:pPr>
    </w:p>
    <w:p>
      <w:pPr>
        <w:ind w:right="180" w:firstLine="54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cash used in financing activities consisted of $1.2 million used for payment of employee taxes related to the net share settlement of stock-based awards, offset by $11.3 million of proceeds related to issuance of common stock under stock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firstLine="54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2024 as compared to the critical accounting policies and estimates disclosed in our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recent accounting pronouncements, see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the notes to the consolidated financial statements appearing elsewhere in this Quarterly Report on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we are committed to contribute additional capital of $4.0 million to the Black Economic Development Fund. There were no other material off-balance sheet arrangements.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 In the three months ended March 31,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For the three months ended March 31, 2024, the impact of the hedging program to our unaudited consolidated financial statements was immaterial.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ind w:right="100" w:firstLine="544"/>
        <w:spacing w:after="0" w:line="258" w:lineRule="auto"/>
        <w:rPr>
          <w:sz w:val="20"/>
          <w:szCs w:val="20"/>
          <w:color w:val="auto"/>
        </w:rPr>
      </w:pPr>
      <w:r>
        <w:rPr>
          <w:rFonts w:ascii="Times New Roman" w:cs="Times New Roman" w:eastAsia="Times New Roman" w:hAnsi="Times New Roman"/>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 Risk and Market Interest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2020, we issued $460 million aggregate principal amount of convertible senior notes due June 1, 2025, of which $459.1 million remains outstanding as of March 31, 2024.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or additional measures that could be taken by the Federal Reserve and other government agencies, related to concerns over inflation risk.</w:t>
      </w:r>
    </w:p>
    <w:p>
      <w:pPr>
        <w:spacing w:after="0" w:line="188" w:lineRule="exact"/>
        <w:rPr>
          <w:sz w:val="20"/>
          <w:szCs w:val="20"/>
          <w:color w:val="auto"/>
        </w:rPr>
      </w:pPr>
    </w:p>
    <w:p>
      <w:pPr>
        <w:ind w:firstLine="544"/>
        <w:spacing w:after="0" w:line="266" w:lineRule="auto"/>
        <w:rPr>
          <w:sz w:val="20"/>
          <w:szCs w:val="20"/>
          <w:color w:val="auto"/>
        </w:rPr>
      </w:pPr>
      <w:r>
        <w:rPr>
          <w:rFonts w:ascii="Times New Roman" w:cs="Times New Roman" w:eastAsia="Times New Roman" w:hAnsi="Times New Roman"/>
          <w:sz w:val="18"/>
          <w:szCs w:val="18"/>
          <w:color w:val="auto"/>
        </w:rPr>
        <w:t>The table below provides a sensitivity analysis of hypothetical 10% changes of our stock price as of March 31, 2024 and the estimated impact on the fair value of the 2025 Notes. The selected scenarios are not predictions of future events, but rather are intended to illustrate the effect such an event may have on the fair value of the 2025 Notes.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2025 Notes</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Hypothetical percentage</w:t>
            </w:r>
          </w:p>
        </w:tc>
      </w:tr>
      <w:tr>
        <w:trPr>
          <w:trHeight w:val="202"/>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Estimated change in</w:t>
            </w: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increase (decrease) in fair</w:t>
            </w:r>
          </w:p>
        </w:tc>
      </w:tr>
      <w:tr>
        <w:trPr>
          <w:trHeight w:val="22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Hypothetical change in HubSpot stock price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22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10% increase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788,001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(234,384 )</w:t>
            </w: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No change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1,022,384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10% decrease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(359,436 )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7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Inherent Limitations of Internal Controls</w:t>
      </w:r>
      <w:r>
        <w:rPr>
          <w:rFonts w:ascii="Times New Roman" w:cs="Times New Roman" w:eastAsia="Times New Roman" w:hAnsi="Times New Roman"/>
          <w:sz w:val="18"/>
          <w:szCs w:val="18"/>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 renewals, the addition of new customers, increased revenue from existing customers and the continued growth of the market for a customer platform.</w:t>
      </w:r>
    </w:p>
    <w:p>
      <w:pPr>
        <w:spacing w:after="0" w:line="11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to derive, a substantial portion of our revenue from the sale of subscriptions to our customer platform. The market for inbound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subscription renewal rates may decrease, and any decrease could harm our future revenue and operating results.</w:t>
      </w:r>
    </w:p>
    <w:p>
      <w:pPr>
        <w:spacing w:after="0" w:line="31"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spacing w:after="0" w:line="19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7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customer service, operations, commerce, and content management software and other related applications, as well as internally developed software, which may harm our ability to add new customers, retain existing customers and grow our business.</w:t>
      </w:r>
    </w:p>
    <w:p>
      <w:pPr>
        <w:spacing w:after="0" w:line="1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commerce,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 Our competitors include:</w:t>
      </w:r>
    </w:p>
    <w:p>
      <w:pPr>
        <w:spacing w:after="0" w:line="29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automation and CRM software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software providers;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systems.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After the implementation of our Restructuring Plan in January 2023, our headcount and operations continued to grow. For example, we had 7,829 full-time employees as of March 31, 2024 and 7,663 as of December 31, 2023.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sales, customer service, operations, commerce and content management capabilities could harm our ability to increase our customer base and achieve broader market acceptance of our platform.</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increase Customers and achieve broader market acceptance of our customer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rate of growth of our business depends on the continued participation and level of service of our Solutions Partners.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inbound thought leadership position, our business may suffer.</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that maintaining our thought leadership position in inbound marketing, sales, services, operations, commerce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88"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5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development of the HubSpot brand is critical to achieving widespread awareness of our existing and future inbound experience solutions, and, as a result, is important to attracting new customers and maintaining existing customers. In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right="60"/>
        <w:spacing w:after="0" w:line="258" w:lineRule="auto"/>
        <w:rPr>
          <w:sz w:val="20"/>
          <w:szCs w:val="20"/>
          <w:color w:val="auto"/>
        </w:rPr>
      </w:pPr>
      <w:r>
        <w:rPr>
          <w:rFonts w:ascii="Times New Roman" w:cs="Times New Roman" w:eastAsia="Times New Roman" w:hAnsi="Times New Roman"/>
          <w:sz w:val="18"/>
          <w:szCs w:val="18"/>
          <w:color w:val="auto"/>
        </w:rPr>
        <w:t>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requirements, our customer platform may become less competitive.</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may suffer.</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usage of our customer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w:t>
      </w:r>
    </w:p>
    <w:p>
      <w:pPr>
        <w:spacing w:after="0" w:line="1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w:t>
      </w:r>
    </w:p>
    <w:p>
      <w:pPr>
        <w:spacing w:after="0" w:line="1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development of next-generation solutions that utilize new and advanced features, including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 applications such as generative AI content creation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businesses that purchase our platform or in the applications within our customer platform purchased or used by our customers could negatively affect our operating results.</w:t>
      </w:r>
    </w:p>
    <w:p>
      <w:pPr>
        <w:spacing w:after="0" w:line="15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1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Clearbit, a B2B data provider.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company culture with a dispersed and distant workforce;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data, particularly in the European Union;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caused by global 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disputes, wars (such as the conflict between Russia and Ukraine and the evolving events in Israel and Gaza), political instability or terrorist activities and resulting economic instability;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Social and ethical issues relating to the use of new and evolving technologies, such as AI, in our offerings may result in reputational harm and liability.</w:t>
      </w:r>
    </w:p>
    <w:p>
      <w:pPr>
        <w:spacing w:after="0" w:line="2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experience changes in our workforce, we could lose the innovation, teamwork, passion and focus on execution that we believe contribute to our success and our business may be harmed.</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ind w:right="360"/>
        <w:spacing w:after="0" w:line="282" w:lineRule="auto"/>
        <w:rPr>
          <w:sz w:val="20"/>
          <w:szCs w:val="20"/>
          <w:color w:val="auto"/>
        </w:rPr>
      </w:pPr>
      <w:r>
        <w:rPr>
          <w:rFonts w:ascii="Times New Roman" w:cs="Times New Roman" w:eastAsia="Times New Roman" w:hAnsi="Times New Roman"/>
          <w:sz w:val="18"/>
          <w:szCs w:val="18"/>
          <w:color w:val="auto"/>
        </w:rPr>
        <w:t>reputation were to be harmed, whether as a result of media, legislative, or regulatory scrutiny or otherwise, it could make it more difficult to attract and retain personnel that are critical to the success of our business.</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Global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adversely affect our financial results.</w:t>
      </w:r>
    </w:p>
    <w:p>
      <w:pPr>
        <w:spacing w:after="0" w:line="229" w:lineRule="exact"/>
        <w:rPr>
          <w:sz w:val="20"/>
          <w:szCs w:val="20"/>
          <w:color w:val="auto"/>
        </w:rPr>
      </w:pPr>
    </w:p>
    <w:p>
      <w:pPr>
        <w:ind w:firstLine="554"/>
        <w:spacing w:after="0" w:line="252" w:lineRule="auto"/>
        <w:rPr>
          <w:sz w:val="20"/>
          <w:szCs w:val="20"/>
          <w:color w:val="auto"/>
        </w:rPr>
      </w:pPr>
      <w:r>
        <w:rPr>
          <w:rFonts w:ascii="Times New Roman" w:cs="Times New Roman" w:eastAsia="Times New Roman" w:hAnsi="Times New Roman"/>
          <w:sz w:val="18"/>
          <w:szCs w:val="18"/>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We recently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harm our industry, business and results of operations.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a potential U.S. federal government shutdown resulting from budgetary decisions, a prolonged continuing resolution, breach of the federal debt ceiling, or a potential U.S. sovereign default and the uncertainty surrounding the 2024 U.S. Presidential Election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9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20"/>
        <w:spacing w:after="0" w:line="254" w:lineRule="auto"/>
        <w:rPr>
          <w:sz w:val="20"/>
          <w:szCs w:val="20"/>
          <w:color w:val="auto"/>
        </w:rPr>
      </w:pPr>
      <w:r>
        <w:rPr>
          <w:rFonts w:ascii="Times New Roman" w:cs="Times New Roman" w:eastAsia="Times New Roman" w:hAnsi="Times New Roman"/>
          <w:sz w:val="18"/>
          <w:szCs w:val="18"/>
          <w:color w:val="auto"/>
        </w:rPr>
        <w:t>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economic downturn may lead to decreased demand for our products and services and otherwise harm our business and results of operations.</w:t>
      </w:r>
    </w:p>
    <w:p>
      <w:pPr>
        <w:spacing w:after="0" w:line="15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overall demand for goods and services, leading to reduced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borrowing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labor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credit, equity and foreign exchange markets;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Technical Operations Infrastructure and Dependence on Third Parties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100"/>
        <w:spacing w:after="0" w:line="258" w:lineRule="auto"/>
        <w:rPr>
          <w:sz w:val="20"/>
          <w:szCs w:val="20"/>
          <w:color w:val="auto"/>
        </w:rPr>
      </w:pPr>
      <w:r>
        <w:rPr>
          <w:rFonts w:ascii="Times New Roman" w:cs="Times New Roman" w:eastAsia="Times New Roman" w:hAnsi="Times New Roman"/>
          <w:sz w:val="18"/>
          <w:szCs w:val="18"/>
          <w:color w:val="auto"/>
        </w:rPr>
        <w:t>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9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data hosting and transmission services.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60"/>
        <w:spacing w:after="0" w:line="256" w:lineRule="auto"/>
        <w:rPr>
          <w:sz w:val="20"/>
          <w:szCs w:val="20"/>
          <w:color w:val="auto"/>
        </w:rPr>
      </w:pPr>
      <w:r>
        <w:rPr>
          <w:rFonts w:ascii="Times New Roman" w:cs="Times New Roman" w:eastAsia="Times New Roman" w:hAnsi="Times New Roman"/>
          <w:sz w:val="18"/>
          <w:szCs w:val="18"/>
          <w:color w:val="auto"/>
        </w:rPr>
        <w:t>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customer platform with third-party applications that our customers use in their businesses, our revenue will decline.</w:t>
      </w:r>
    </w:p>
    <w:p>
      <w:pPr>
        <w:spacing w:after="0" w:line="15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the loss of which could limit the functionality of our platform and disrupt our business.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Select functionality of our customer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end users’ acceptance of Internet behavior tracking may limit the applicability, use and adoption of our customer platform.</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175"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40"/>
        <w:spacing w:after="0" w:line="252" w:lineRule="auto"/>
        <w:rPr>
          <w:sz w:val="20"/>
          <w:szCs w:val="20"/>
          <w:color w:val="auto"/>
        </w:rPr>
      </w:pPr>
      <w:r>
        <w:rPr>
          <w:rFonts w:ascii="Times New Roman" w:cs="Times New Roman" w:eastAsia="Times New Roman" w:hAnsi="Times New Roman"/>
          <w:sz w:val="18"/>
          <w:szCs w:val="18"/>
          <w:color w:val="auto"/>
        </w:rPr>
        <w:t>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extensive access to our databases, which store our customer data, and to our APIs to facilitate our rapid pace of product development and to support our customers. If such access, unauthorized access or our own operations, cause the loss,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spacing w:after="0" w:line="19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Recent cybersecurity incidents and compromises affecting large institutions, including an incident that affected us in 2022, suggest that the risk of such events is significant, even if privacy protection and security measures are implemented and enforced. A cyber-attack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80"/>
        <w:spacing w:after="0" w:line="256" w:lineRule="auto"/>
        <w:rPr>
          <w:sz w:val="20"/>
          <w:szCs w:val="20"/>
          <w:color w:val="auto"/>
        </w:rPr>
      </w:pPr>
      <w:r>
        <w:rPr>
          <w:rFonts w:ascii="Times New Roman" w:cs="Times New Roman" w:eastAsia="Times New Roman" w:hAnsi="Times New Roman"/>
          <w:sz w:val="18"/>
          <w:szCs w:val="18"/>
          <w:color w:val="auto"/>
        </w:rPr>
        <w:t>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we store, or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technology infringes the intellectual property rights of others.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spacing w:after="0" w:line="19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our platform and subject us to possible litigation.</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8" w:name="page49"/>
    <w:bookmarkEnd w:id="48"/>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Other states, including Virginia, Colorado, Utah, Connecticut, Iowa, Indiana, Montana, Tennessee, and Texas, among others, have passed comprehensive privacy and data security laws, which impose obligations on covered businesses similar – but not identical – to those under the CCPA. Some of these laws entered into force in 2023, and others will enter into force in 2024 and beyond. A number of other states have proposed similar or sector specific privacy legislation, and the U.S. Congress is considering legislation that may preempt some or all of such U.S. state privacy laws, providing a more robust private right of action. The evolving complexity of privacy and data security legislation in the U.S. may complicate our compliance efforts and further increase our risk of regulatory enforcement, penalties and litigation.</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operation of some of our business lines, such as business intelligence services, we collect, process and share business contact information or other personal data individuals make available in their professional capacity. We may be subject 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ind w:right="100"/>
        <w:spacing w:after="0" w:line="266" w:lineRule="auto"/>
        <w:rPr>
          <w:sz w:val="20"/>
          <w:szCs w:val="20"/>
          <w:color w:val="auto"/>
        </w:rPr>
      </w:pPr>
      <w:r>
        <w:rPr>
          <w:rFonts w:ascii="Times New Roman" w:cs="Times New Roman" w:eastAsia="Times New Roman" w:hAnsi="Times New Roman"/>
          <w:sz w:val="18"/>
          <w:szCs w:val="18"/>
          <w:color w:val="auto"/>
        </w:rPr>
        <w:t>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 for a transition period until March 21, 2024 for existing contracts. Our customer agreements include the updated SCCs and UK 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83"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For example, the EU’s Artificial Intelligence Act (“AI Act”) - the world’s first comprehensive AI law - is anticipated to enter into force in Spring 2024 and, with some exceptions, become effective 24 months thereafter. This legislation imposes significant obligations on providers and deployers of high-risk artificial intelligence systems, and encourages providers and deployers of artificial intelligence systems to account for EU ethical principles in their development and use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t>of these systems. If we develop or use AI systems that are governed by the AI Act,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59"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Several U.S. federal statutes may apply to us with respect to various customer activities:</w:t>
      </w:r>
    </w:p>
    <w:p>
      <w:pPr>
        <w:spacing w:after="0" w:line="99" w:lineRule="exact"/>
        <w:rPr>
          <w:sz w:val="20"/>
          <w:szCs w:val="20"/>
          <w:color w:val="auto"/>
        </w:rPr>
      </w:pPr>
    </w:p>
    <w:p>
      <w:pPr>
        <w:ind w:left="1020" w:right="20" w:hanging="503"/>
        <w:spacing w:after="0" w:line="25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83"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Payments, our end-to-end payment solution built within Commerce Hub,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9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7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that private entities use to regulate the use of email have in the past interfered with, and may in the future interfere with, the effectiveness of our customer platform and our ability to conduct business.</w:t>
      </w:r>
    </w:p>
    <w:p>
      <w:pPr>
        <w:spacing w:after="0" w:line="15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w:t>
      </w:r>
    </w:p>
    <w:p>
      <w:pPr>
        <w:spacing w:after="0" w:line="18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spacing w:after="0" w:line="18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Controlling the Assault of Non-Solicited Pornography and Marketing Act of 2003 ("CAN-SPAM Act"), establishes certain requirements for commercial email messages and specifies penalties for the transmission of commercial email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20"/>
        <w:spacing w:after="0" w:line="255" w:lineRule="auto"/>
        <w:rPr>
          <w:sz w:val="20"/>
          <w:szCs w:val="20"/>
          <w:color w:val="auto"/>
        </w:rPr>
      </w:pPr>
      <w:r>
        <w:rPr>
          <w:rFonts w:ascii="Times New Roman" w:cs="Times New Roman" w:eastAsia="Times New Roman" w:hAnsi="Times New Roman"/>
          <w:sz w:val="18"/>
          <w:szCs w:val="18"/>
          <w:color w:val="auto"/>
        </w:rPr>
        <w:t>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00" w:lineRule="exact"/>
        <w:rPr>
          <w:sz w:val="20"/>
          <w:szCs w:val="20"/>
          <w:color w:val="auto"/>
        </w:rPr>
      </w:pPr>
    </w:p>
    <w:p>
      <w:pPr>
        <w:spacing w:after="0" w:line="24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5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could increase the costs of our customer platform and adversely impact our business.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360"/>
        <w:spacing w:after="0" w:line="282" w:lineRule="auto"/>
        <w:rPr>
          <w:sz w:val="20"/>
          <w:szCs w:val="20"/>
          <w:color w:val="auto"/>
        </w:rPr>
      </w:pPr>
      <w:r>
        <w:rPr>
          <w:rFonts w:ascii="Times New Roman" w:cs="Times New Roman" w:eastAsia="Times New Roman" w:hAnsi="Times New Roman"/>
          <w:sz w:val="18"/>
          <w:szCs w:val="18"/>
          <w:color w:val="auto"/>
        </w:rPr>
        <w:t>our employees continue to work remotely from geographic locations across the United States and internationally, we may become subject to additional taxes and our compliance burdens with respect to the tax laws of additional jurisdictions may increase.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adversely affect our profitability.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$861.4 million of U.S. federal and $740.0 million of state net operating loss carryforwards due to prior period losses, which have an indefinite carryforward and begin to expire in 2025 for state purposes. The state net operating loss carryforwards could expire unused and be unavailable to offset future income tax liabilities, which could adversely affect our profitability. In addition, under Section 382 and Section 383 of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maintain or increase profitability in the future.</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generated net income of $5.9 million for the three months ended March 31, 2024 and net losses of $36.7 million for the three months ended March 31, 2023. As of March 31, 2024, we had an accumulated deficit of $798.5 million. While we generated a profit for the three months ended March 31, 2024, primarily due to a non-recurring gain on investment, we do not expect to continue to be profitable in the near term and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operations, and content management operations, develop and enhance our customer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invest funds in social impact investment funds, and may receive no return on our investment or lose our entire investment.</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invest in social impact investment funds. As of March 31, 2024, we have invested $8.5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72" w:lineRule="exact"/>
        <w:rPr>
          <w:sz w:val="20"/>
          <w:szCs w:val="20"/>
          <w:color w:val="auto"/>
        </w:rPr>
      </w:pPr>
    </w:p>
    <w:p>
      <w:pPr>
        <w:ind w:left="1020" w:right="80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on marketing, sales, customer service, operations, and content management software by our current or prospective customers;</w:t>
      </w:r>
    </w:p>
    <w:p>
      <w:pPr>
        <w:spacing w:after="0" w:line="53" w:lineRule="exact"/>
        <w:rPr>
          <w:rFonts w:ascii="Times New Roman" w:cs="Times New Roman" w:eastAsia="Times New Roman" w:hAnsi="Times New Roman"/>
          <w:sz w:val="18"/>
          <w:szCs w:val="18"/>
          <w:color w:val="auto"/>
        </w:rPr>
      </w:pPr>
    </w:p>
    <w:p>
      <w:pPr>
        <w:ind w:left="1020" w:right="12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customer platform subscriptions effectively so that we are able to attract and retain customers without compromising our profitability;</w:t>
      </w:r>
    </w:p>
    <w:p>
      <w:pPr>
        <w:spacing w:after="0" w:line="53" w:lineRule="exact"/>
        <w:rPr>
          <w:rFonts w:ascii="Times New Roman" w:cs="Times New Roman" w:eastAsia="Times New Roman" w:hAnsi="Times New Roman"/>
          <w:sz w:val="18"/>
          <w:szCs w:val="18"/>
          <w:color w:val="auto"/>
        </w:rPr>
      </w:pPr>
    </w:p>
    <w:p>
      <w:pPr>
        <w:ind w:left="1020" w:right="28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amounts for which agreements are renewed;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awareness of our thought leadership and brand;</w:t>
      </w:r>
    </w:p>
    <w:p>
      <w:pPr>
        <w:spacing w:after="0" w:line="117" w:lineRule="exact"/>
        <w:rPr>
          <w:rFonts w:ascii="Times New Roman" w:cs="Times New Roman" w:eastAsia="Times New Roman" w:hAnsi="Times New Roman"/>
          <w:sz w:val="18"/>
          <w:szCs w:val="18"/>
          <w:color w:val="auto"/>
        </w:rPr>
      </w:pPr>
    </w:p>
    <w:p>
      <w:pPr>
        <w:ind w:left="1020" w:right="10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commission plans, quotas and other compensation-related metrics for our sales representatives;</w:t>
      </w:r>
    </w:p>
    <w:p>
      <w:pPr>
        <w:spacing w:after="0" w:line="117" w:lineRule="exact"/>
        <w:rPr>
          <w:rFonts w:ascii="Times New Roman" w:cs="Times New Roman" w:eastAsia="Times New Roman" w:hAnsi="Times New Roman"/>
          <w:sz w:val="18"/>
          <w:szCs w:val="18"/>
          <w:color w:val="auto"/>
        </w:rPr>
      </w:pPr>
    </w:p>
    <w:p>
      <w:pPr>
        <w:ind w:left="1020" w:right="12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53" w:lineRule="exact"/>
        <w:rPr>
          <w:rFonts w:ascii="Times New Roman" w:cs="Times New Roman" w:eastAsia="Times New Roman" w:hAnsi="Times New Roman"/>
          <w:sz w:val="18"/>
          <w:szCs w:val="18"/>
          <w:color w:val="auto"/>
        </w:rPr>
      </w:pPr>
    </w:p>
    <w:p>
      <w:pPr>
        <w:ind w:left="1020" w:right="26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53" w:lineRule="exact"/>
        <w:rPr>
          <w:rFonts w:ascii="Times New Roman" w:cs="Times New Roman" w:eastAsia="Times New Roman" w:hAnsi="Times New Roman"/>
          <w:sz w:val="18"/>
          <w:szCs w:val="18"/>
          <w:color w:val="auto"/>
        </w:rPr>
      </w:pPr>
    </w:p>
    <w:p>
      <w:pPr>
        <w:ind w:left="102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customer platform in new markets outside of the United States;</w:t>
      </w:r>
    </w:p>
    <w:p>
      <w:pPr>
        <w:spacing w:after="0" w:line="53" w:lineRule="exact"/>
        <w:rPr>
          <w:rFonts w:ascii="Times New Roman" w:cs="Times New Roman" w:eastAsia="Times New Roman" w:hAnsi="Times New Roman"/>
          <w:sz w:val="18"/>
          <w:szCs w:val="18"/>
          <w:color w:val="auto"/>
        </w:rPr>
      </w:pPr>
    </w:p>
    <w:p>
      <w:pPr>
        <w:ind w:left="1020" w:right="320" w:firstLine="6"/>
        <w:spacing w:after="0" w:line="282"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 including disruptions in our hosting network infrastructure and privacy and data security;</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inflation in the economies in which we operate and our ability to control costs, including operating expenses;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59"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condition and results of operations.</w:t>
      </w:r>
    </w:p>
    <w:p>
      <w:pPr>
        <w:spacing w:after="0" w:line="15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apply accounting principles and related pronouncements, implementation guidelines and interpretations to a wide range of matters that are relevant to our business, are highly complex and involve subjective assumptions, estimates and judgments by our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55" w:name="page56"/>
    <w:bookmarkEnd w:id="55"/>
    <w:p>
      <w:pPr>
        <w:ind w:right="500"/>
        <w:spacing w:after="0" w:line="282" w:lineRule="auto"/>
        <w:rPr>
          <w:sz w:val="20"/>
          <w:szCs w:val="20"/>
          <w:color w:val="auto"/>
        </w:rPr>
      </w:pPr>
      <w:r>
        <w:rPr>
          <w:rFonts w:ascii="Times New Roman" w:cs="Times New Roman" w:eastAsia="Times New Roman" w:hAnsi="Times New Roman"/>
          <w:sz w:val="18"/>
          <w:szCs w:val="18"/>
          <w:color w:val="auto"/>
        </w:rPr>
        <w:t>management. Changes in these rules or their interpretation, or changes in underlying assumptions, estimates or judgments by our management, could significantly change our reported or expected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92"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In addition, our indebtedness, combined with our other financial obligations and contractual commitments, could have other important consequences. For example, it could:</w:t>
      </w:r>
    </w:p>
    <w:p>
      <w:pPr>
        <w:spacing w:after="0" w:line="54" w:lineRule="exact"/>
        <w:rPr>
          <w:sz w:val="20"/>
          <w:szCs w:val="20"/>
          <w:color w:val="auto"/>
        </w:rPr>
      </w:pPr>
    </w:p>
    <w:p>
      <w:pPr>
        <w:ind w:left="1020" w:right="520" w:firstLine="6"/>
        <w:spacing w:after="0" w:line="282" w:lineRule="auto"/>
        <w:tabs>
          <w:tab w:leader="none" w:pos="15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the holders thereof will be entitled to convert the 2025 Notes at any time during specified periods at their option. Because the last reported sale price of the Company’s common stock for at least 20 trading days during the period of 30 consecutive trading days ending on the last trading day of the calendar quarter ended March 31, 2024 was equal to or greater than 130% of the applicable conversion price on each applicable trading day, the 2025 Notes are convertible at the option of the holders thereof during the calendar quarter ending June 30, 2024. As of May 3, 2024, the Company has not received any material conversion notices with respect to the 2025 Notes. Whether the Notes that remain outstanding will be convertible following the calendar quarter ended March 31, 2024 will depend on the continued satisfaction of this condition or another conversion condition in the future. If one or more holders elect to convert their Notes, unless we elect to satisfy our conversion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200"/>
        <w:spacing w:after="0" w:line="261" w:lineRule="auto"/>
        <w:rPr>
          <w:sz w:val="20"/>
          <w:szCs w:val="20"/>
          <w:color w:val="auto"/>
        </w:rPr>
      </w:pPr>
      <w:r>
        <w:rPr>
          <w:rFonts w:ascii="Times New Roman" w:cs="Times New Roman" w:eastAsia="Times New Roman" w:hAnsi="Times New Roman"/>
          <w:sz w:val="18"/>
          <w:szCs w:val="18"/>
          <w:color w:val="auto"/>
        </w:rPr>
        <w:t>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w:t>
      </w:r>
    </w:p>
    <w:p>
      <w:pPr>
        <w:spacing w:after="0" w:line="187"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Options.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be unable to sell your shares at or above the price you purchased them.</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March 31, 2024. The market price of our common stock may fluctuate significantly in response to numerous factors, many of which are beyond our control, including:</w:t>
      </w:r>
    </w:p>
    <w:p>
      <w:pPr>
        <w:spacing w:after="0" w:line="72" w:lineRule="exact"/>
        <w:rPr>
          <w:sz w:val="20"/>
          <w:szCs w:val="20"/>
          <w:color w:val="auto"/>
        </w:rPr>
      </w:pPr>
    </w:p>
    <w:p>
      <w:pPr>
        <w:ind w:left="1020" w:right="40" w:firstLine="6"/>
        <w:spacing w:after="0" w:line="282"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 including as a result of the addition or loss of any number of customers;</w:t>
      </w:r>
    </w:p>
    <w:p>
      <w:pPr>
        <w:spacing w:after="0" w:line="53" w:lineRule="exact"/>
        <w:rPr>
          <w:rFonts w:ascii="Times New Roman" w:cs="Times New Roman" w:eastAsia="Times New Roman" w:hAnsi="Times New Roman"/>
          <w:sz w:val="18"/>
          <w:szCs w:val="18"/>
          <w:color w:val="auto"/>
        </w:rPr>
      </w:pPr>
    </w:p>
    <w:p>
      <w:pPr>
        <w:ind w:left="1020" w:right="340" w:firstLine="6"/>
        <w:spacing w:after="0" w:line="282"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17" w:lineRule="exact"/>
        <w:rPr>
          <w:rFonts w:ascii="Times New Roman" w:cs="Times New Roman" w:eastAsia="Times New Roman" w:hAnsi="Times New Roman"/>
          <w:sz w:val="18"/>
          <w:szCs w:val="18"/>
          <w:color w:val="auto"/>
        </w:rPr>
      </w:pPr>
    </w:p>
    <w:p>
      <w:pPr>
        <w:ind w:left="1020" w:right="280" w:firstLine="6"/>
        <w:spacing w:after="0" w:line="282"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firstLine="6"/>
        <w:spacing w:after="0" w:line="282"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cloud-based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right="20" w:firstLine="6"/>
        <w:spacing w:after="0" w:line="282"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trading of our common stock and in the overall stock market, including as a result of trends in the economy as a whole;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or the dilutive effect of our Notes or any other equity or equity-linked financings;</w:t>
      </w:r>
    </w:p>
    <w:p>
      <w:pPr>
        <w:spacing w:after="0" w:line="117" w:lineRule="exact"/>
        <w:rPr>
          <w:rFonts w:ascii="Times New Roman" w:cs="Times New Roman" w:eastAsia="Times New Roman" w:hAnsi="Times New Roman"/>
          <w:sz w:val="18"/>
          <w:szCs w:val="18"/>
          <w:color w:val="auto"/>
        </w:rPr>
      </w:pPr>
    </w:p>
    <w:p>
      <w:pPr>
        <w:ind w:left="1020" w:right="280" w:firstLine="6"/>
        <w:spacing w:after="0" w:line="282"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or industry, including data privacy and data security;</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and</w:t>
      </w:r>
    </w:p>
    <w:p>
      <w:pPr>
        <w:spacing w:after="0" w:line="117" w:lineRule="exact"/>
        <w:rPr>
          <w:rFonts w:ascii="Times New Roman" w:cs="Times New Roman" w:eastAsia="Times New Roman" w:hAnsi="Times New Roman"/>
          <w:sz w:val="18"/>
          <w:szCs w:val="18"/>
          <w:color w:val="auto"/>
        </w:rPr>
      </w:pPr>
    </w:p>
    <w:p>
      <w:pPr>
        <w:ind w:left="1020" w:firstLine="6"/>
        <w:spacing w:after="0" w:line="282"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economic, industry and market conditions and trends, international disputes, wars (such as the conflict between Russia and Ukraine and the evolving events in Israel and Gaza), and political stability.</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7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may delay or prevent an acquisition of our company.</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8" w:lineRule="exact"/>
        <w:rPr>
          <w:sz w:val="20"/>
          <w:szCs w:val="20"/>
          <w:color w:val="auto"/>
        </w:rPr>
      </w:pPr>
    </w:p>
    <w:p>
      <w:pPr>
        <w:ind w:left="1020" w:right="260" w:firstLine="6"/>
        <w:spacing w:after="0" w:line="282"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right="180" w:firstLine="6"/>
        <w:spacing w:after="0" w:line="282"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the chief executive officer or the president;</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firstLine="6"/>
        <w:spacing w:after="0" w:line="282"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right="240" w:firstLine="6"/>
        <w:spacing w:after="0" w:line="282"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modify,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4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could disrupt our business and adversely affect our financial condition and results of operations.</w:t>
      </w:r>
    </w:p>
    <w:p>
      <w:pPr>
        <w:spacing w:after="0" w:line="22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(such as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p>
    <w:p>
      <w:pPr>
        <w:spacing w:after="0" w:line="19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regional epidemics or a global pandemic, such as the COVID-19 pandemic, may have an adverse effect on how we and our customers operate our businesses and our operating and financial results. Our operations may in the future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9" w:name="page60"/>
    <w:bookmarkEnd w:id="59"/>
    <w:p>
      <w:pPr>
        <w:spacing w:after="0" w:line="258" w:lineRule="auto"/>
        <w:rPr>
          <w:sz w:val="20"/>
          <w:szCs w:val="20"/>
          <w:color w:val="auto"/>
        </w:rPr>
      </w:pPr>
      <w:r>
        <w:rPr>
          <w:rFonts w:ascii="Times New Roman" w:cs="Times New Roman" w:eastAsia="Times New Roman" w:hAnsi="Times New Roman"/>
          <w:sz w:val="18"/>
          <w:szCs w:val="18"/>
          <w:color w:val="auto"/>
        </w:rPr>
        <w:t>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the COVID-19 pandemic, harms our business and results of operations, many of the other risks described in this “Risk Factors” section, may be heightened.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could harm our business.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impact on our business</w:t>
      </w:r>
    </w:p>
    <w:p>
      <w:pPr>
        <w:spacing w:after="0" w:line="22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 including requirements recently adopted by the SEC that will be applicable to us beginning with our annual report for the fiscal year ended December 31, 2025.</w:t>
      </w: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and certain officers in the three months ended March 31, 2024, each of which is intended to satisfy the affirmative defense conditions of Exchange Act Rule 10b5-1(c), referred to as Rule 10b5-1 trading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358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Nature of Trading Arrangement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0" w:type="dxa"/>
            <w:vAlign w:val="bottom"/>
          </w:tcPr>
          <w:p>
            <w:pPr>
              <w:spacing w:after="0"/>
              <w:rPr>
                <w:sz w:val="1"/>
                <w:szCs w:val="1"/>
                <w:color w:val="auto"/>
              </w:rPr>
            </w:pPr>
          </w:p>
        </w:tc>
      </w:tr>
      <w:tr>
        <w:trPr>
          <w:trHeight w:val="104"/>
        </w:trPr>
        <w:tc>
          <w:tcPr>
            <w:tcW w:w="222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3580" w:type="dxa"/>
            <w:vAlign w:val="bottom"/>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21"/>
        </w:trPr>
        <w:tc>
          <w:tcPr>
            <w:tcW w:w="22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1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Kate Bueker (Chief Financial</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Adoption (February 16,</w:t>
            </w: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Trading plan intended to satisfy the affirmative</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357 days</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27,787 shares</w:t>
            </w: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defense conditions of Exchange Act Rule 10b5-</w:t>
            </w:r>
          </w:p>
        </w:tc>
        <w:tc>
          <w:tcPr>
            <w:tcW w:w="16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1(c)</w:t>
            </w:r>
          </w:p>
        </w:tc>
        <w:tc>
          <w:tcPr>
            <w:tcW w:w="168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Alyssa Harvey Dawson (Chief Adoption (February 16,</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plan intended to satisfy the affirmative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378 days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5,156 shares</w:t>
            </w: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Officer)</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conditions of Exchange Act Rule 10b5-</w:t>
            </w: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1(c)</w:t>
            </w: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Dharmesh Shah (Co-Founder</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Adoption (February 27,</w:t>
            </w: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Trading plan intended to satisfy the affirmative</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365 days</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51,000 shares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Chief Technology Officer) 2024)</w:t>
            </w: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defense conditions of Exchange Act Rule 10b5-</w:t>
            </w:r>
          </w:p>
        </w:tc>
        <w:tc>
          <w:tcPr>
            <w:tcW w:w="16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1(c)</w:t>
            </w:r>
          </w:p>
        </w:tc>
        <w:tc>
          <w:tcPr>
            <w:tcW w:w="168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Halligan (Co-Founder</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Adoption (February 29,</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plan intended to satisfy the affirmative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183 days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25,500 shares</w:t>
            </w: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Executive Chairperson)</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conditions of Exchange Act Rule 10b5-</w:t>
            </w: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1(c)</w:t>
            </w: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into this Report.</w:t>
      </w:r>
    </w:p>
    <w:p>
      <w:pPr>
        <w:spacing w:after="0" w:line="32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40" w:type="dxa"/>
            <w:vAlign w:val="bottom"/>
            <w:gridSpan w:val="6"/>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11"/>
          </w:tcPr>
          <w:p>
            <w:pPr>
              <w:ind w:left="20"/>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Amended and Restated Certificate of Incorporation of the Registrant</w:t>
              </w:r>
            </w:hyperlink>
          </w:p>
        </w:tc>
        <w:tc>
          <w:tcPr>
            <w:tcW w:w="0" w:type="dxa"/>
            <w:vAlign w:val="bottom"/>
          </w:tcPr>
          <w:p>
            <w:pPr>
              <w:spacing w:after="0"/>
              <w:rPr>
                <w:sz w:val="1"/>
                <w:szCs w:val="1"/>
                <w:color w:val="auto"/>
              </w:rPr>
            </w:pPr>
          </w:p>
        </w:tc>
      </w:tr>
      <w:tr>
        <w:trPr>
          <w:trHeight w:val="37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3.2(2)</w:t>
            </w:r>
          </w:p>
        </w:tc>
        <w:tc>
          <w:tcPr>
            <w:tcW w:w="3940" w:type="dxa"/>
            <w:vAlign w:val="bottom"/>
            <w:tcBorders>
              <w:top w:val="single" w:sz="8" w:color="0000FF"/>
              <w:bottom w:val="single" w:sz="8" w:color="0000EE"/>
            </w:tcBorders>
            <w:gridSpan w:val="5"/>
          </w:tcPr>
          <w:p>
            <w:pPr>
              <w:ind w:left="20"/>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Fifth Amended and Restated Bylaws of the Registrant</w:t>
              </w:r>
            </w:hyperlink>
          </w:p>
        </w:tc>
        <w:tc>
          <w:tcPr>
            <w:tcW w:w="1000" w:type="dxa"/>
            <w:vAlign w:val="bottom"/>
            <w:tcBorders>
              <w:top w:val="single" w:sz="8" w:color="0000FF"/>
            </w:tcBorders>
          </w:tcPr>
          <w:p>
            <w:pPr>
              <w:spacing w:after="0"/>
              <w:rPr>
                <w:sz w:val="24"/>
                <w:szCs w:val="24"/>
                <w:color w:val="auto"/>
              </w:rPr>
            </w:pPr>
          </w:p>
        </w:tc>
        <w:tc>
          <w:tcPr>
            <w:tcW w:w="5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4.1(3)</w:t>
            </w:r>
          </w:p>
        </w:tc>
        <w:tc>
          <w:tcPr>
            <w:tcW w:w="3780" w:type="dxa"/>
            <w:vAlign w:val="bottom"/>
            <w:tcBorders>
              <w:bottom w:val="single" w:sz="8" w:color="0000FF"/>
            </w:tcBorders>
            <w:gridSpan w:val="3"/>
          </w:tcPr>
          <w:p>
            <w:pPr>
              <w:ind w:left="20"/>
              <w:spacing w:after="0"/>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Form of Common Stock certificate of the Registrant</w:t>
              </w:r>
            </w:hyperlink>
          </w:p>
        </w:tc>
        <w:tc>
          <w:tcPr>
            <w:tcW w:w="20" w:type="dxa"/>
            <w:vAlign w:val="bottom"/>
            <w:tcBorders>
              <w:bottom w:val="single" w:sz="8" w:color="0000EE"/>
            </w:tcBorders>
          </w:tcPr>
          <w:p>
            <w:pPr>
              <w:spacing w:after="0"/>
              <w:rPr>
                <w:sz w:val="24"/>
                <w:szCs w:val="24"/>
                <w:color w:val="auto"/>
              </w:rPr>
            </w:pPr>
          </w:p>
        </w:tc>
        <w:tc>
          <w:tcPr>
            <w:tcW w:w="6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31.1**</w:t>
            </w:r>
          </w:p>
        </w:tc>
        <w:tc>
          <w:tcPr>
            <w:tcW w:w="96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amended</w:t>
            </w:r>
          </w:p>
        </w:tc>
        <w:tc>
          <w:tcPr>
            <w:tcW w:w="20" w:type="dxa"/>
            <w:vAlign w:val="bottom"/>
            <w:tcBorders>
              <w:bottom w:val="single" w:sz="8" w:color="0000EE"/>
            </w:tcBorders>
          </w:tcPr>
          <w:p>
            <w:pPr>
              <w:spacing w:after="0"/>
              <w:rPr>
                <w:sz w:val="17"/>
                <w:szCs w:val="17"/>
                <w:color w:val="auto"/>
              </w:rPr>
            </w:pPr>
          </w:p>
        </w:tc>
        <w:tc>
          <w:tcPr>
            <w:tcW w:w="9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31.2**</w:t>
            </w:r>
          </w:p>
        </w:tc>
        <w:tc>
          <w:tcPr>
            <w:tcW w:w="956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amended</w:t>
            </w:r>
          </w:p>
        </w:tc>
        <w:tc>
          <w:tcPr>
            <w:tcW w:w="20" w:type="dxa"/>
            <w:vAlign w:val="bottom"/>
            <w:tcBorders>
              <w:bottom w:val="single" w:sz="8" w:color="0000EE"/>
            </w:tcBorders>
          </w:tcPr>
          <w:p>
            <w:pPr>
              <w:spacing w:after="0"/>
              <w:rPr>
                <w:sz w:val="17"/>
                <w:szCs w:val="17"/>
                <w:color w:val="auto"/>
              </w:rPr>
            </w:pPr>
          </w:p>
        </w:tc>
        <w:tc>
          <w:tcPr>
            <w:tcW w:w="9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32.1*</w:t>
            </w:r>
          </w:p>
        </w:tc>
        <w:tc>
          <w:tcPr>
            <w:tcW w:w="91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Section 906 of the Sarbanes-Oxley Act</w:t>
            </w:r>
          </w:p>
        </w:tc>
        <w:tc>
          <w:tcPr>
            <w:tcW w:w="20" w:type="dxa"/>
            <w:vAlign w:val="bottom"/>
            <w:tcBorders>
              <w:bottom w:val="single" w:sz="8" w:color="0000EE"/>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101.SCH**</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101.CAL**</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101.LAB**</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104**</w:t>
            </w:r>
          </w:p>
        </w:tc>
        <w:tc>
          <w:tcPr>
            <w:tcW w:w="99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307"/>
        <w:spacing w:after="0"/>
        <w:tabs>
          <w:tab w:leader="none" w:pos="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92"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Annual Report on Form 10-K filed on February 24, 2016.</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Current Report on Form 8-K filed on May 1, 2024.</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4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Amendment No. 1 to registrant’s Registration Statement on Form S-1 (SEC file No. 333-198333) filed on September 26, 2014.</w:t>
      </w:r>
    </w:p>
    <w:p>
      <w:pPr>
        <w:spacing w:after="0" w:line="181" w:lineRule="exact"/>
        <w:rPr>
          <w:sz w:val="20"/>
          <w:szCs w:val="20"/>
          <w:color w:val="auto"/>
        </w:rPr>
      </w:pPr>
    </w:p>
    <w:p>
      <w:pPr>
        <w:ind w:left="520" w:right="80" w:hanging="512"/>
        <w:spacing w:after="0" w:line="261" w:lineRule="auto"/>
        <w:tabs>
          <w:tab w:leader="none" w:pos="4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2" w:name="page63"/>
    <w:bookmarkEnd w:id="6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632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01" w:lineRule="exact"/>
        <w:rPr>
          <w:sz w:val="20"/>
          <w:szCs w:val="20"/>
          <w:color w:val="auto"/>
        </w:rPr>
      </w:pPr>
    </w:p>
    <w:tbl>
      <w:tblPr>
        <w:tblLayout w:type="fixed"/>
        <w:tblInd w:w="6320" w:type="dxa"/>
        <w:tblCellMar>
          <w:top w:w="0" w:type="dxa"/>
          <w:left w:w="0" w:type="dxa"/>
          <w:bottom w:w="0" w:type="dxa"/>
          <w:right w:w="0" w:type="dxa"/>
        </w:tblCellMar>
      </w:tblPr>
      <w:tr>
        <w:trPr>
          <w:trHeight w:val="24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Kate Bueker</w:t>
            </w:r>
          </w:p>
        </w:tc>
      </w:tr>
      <w:tr>
        <w:trPr>
          <w:trHeight w:val="22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Kate Bueker</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w:t>
            </w:r>
          </w:p>
        </w:tc>
      </w:tr>
      <w:tr>
        <w:trPr>
          <w:trHeight w:val="236"/>
        </w:trPr>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Authorized Signatory)</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60" w:val="left"/>
          <w:tab w:leader="none" w:pos="73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24860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Yamini Rangan</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Kate Bueker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 Yamini Rangan, certify, pursuant to 18 U.S.C. Section 1350, as adopted pursuant to Section 906 of the Sarbanes-Oxley Act of 2002, that, to my knowledge, the Quarterly Report on Form 10-Q of HubSpot, Inc. for the period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9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Yamini Rangan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 Kate Bueker, certify, pursuant to 18 U.S.C. Section 1350, as adopted pursuant to Section 906 of the Sarbanes-Oxley Act of 2002, that, to my knowledge, the Quarterly Report on Form 10-Q of HubSpot, Inc. for the period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9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Kate Bueker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5"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lvl>
    <w:lvl w:ilvl="1">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83" Type="http://schemas.openxmlformats.org/officeDocument/2006/relationships/hyperlink" Target="https://www.sec.gov/Archives/edgar/data/1404655/000156459016013204/hubs-ex31_768.htm" TargetMode="External"/><Relationship Id="rId284" Type="http://schemas.openxmlformats.org/officeDocument/2006/relationships/hyperlink" Target="https://www.sec.gov/Archives/edgar/data/1404655/000095017024051323/hubs-ex3_1.htm" TargetMode="External"/><Relationship Id="rId285"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2024-05-10T15:14:09Z</dcterms:created>
  <dcterms:modified xsi:type="dcterms:W3CDTF">2024-05-10T15:14:09Z</dcterms:modified>
</cp:coreProperties>
</file>