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200" w:type="dxa"/>
            <w:vAlign w:val="bottom"/>
            <w:gridSpan w:val="5"/>
          </w:tcPr>
          <w:p>
            <w:pPr>
              <w:ind w:left="31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gridSpan w:val="3"/>
          </w:tcPr>
          <w:p>
            <w:pPr>
              <w:spacing w:after="0"/>
              <w:rPr>
                <w:sz w:val="16"/>
                <w:szCs w:val="16"/>
                <w:color w:val="auto"/>
              </w:rPr>
            </w:pPr>
          </w:p>
        </w:tc>
        <w:tc>
          <w:tcPr>
            <w:tcW w:w="4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312"/>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gridSpan w:val="8"/>
          </w:tcPr>
          <w:p>
            <w:pPr>
              <w:jc w:val="center"/>
              <w:ind w:right="3979"/>
              <w:spacing w:after="0"/>
              <w:rPr>
                <w:sz w:val="20"/>
                <w:szCs w:val="20"/>
                <w:color w:val="auto"/>
              </w:rPr>
            </w:pPr>
            <w:r>
              <w:rPr>
                <w:rFonts w:ascii="Times New Roman" w:cs="Times New Roman" w:eastAsia="Times New Roman" w:hAnsi="Times New Roman"/>
                <w:sz w:val="16"/>
                <w:szCs w:val="16"/>
                <w:b w:val="1"/>
                <w:bCs w:val="1"/>
                <w:color w:val="auto"/>
              </w:rPr>
              <w:t>COMMISSION FILE NUMBER 001-36680</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jc w:val="center"/>
              <w:ind w:left="48"/>
              <w:spacing w:after="0"/>
              <w:rPr>
                <w:sz w:val="20"/>
                <w:szCs w:val="20"/>
                <w:color w:val="auto"/>
              </w:rPr>
            </w:pPr>
            <w:r>
              <w:rPr>
                <w:rFonts w:ascii="Times New Roman" w:cs="Times New Roman" w:eastAsia="Times New Roman" w:hAnsi="Times New Roman"/>
                <w:sz w:val="40"/>
                <w:szCs w:val="40"/>
                <w:b w:val="1"/>
                <w:bCs w:val="1"/>
                <w:color w:val="auto"/>
                <w:w w:val="98"/>
              </w:rPr>
              <w:t>HubSpot, Inc.</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7680" w:type="dxa"/>
            <w:vAlign w:val="bottom"/>
            <w:gridSpan w:val="10"/>
          </w:tcPr>
          <w:p>
            <w:pPr>
              <w:jc w:val="center"/>
              <w:ind w:right="34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22"/>
        </w:trPr>
        <w:tc>
          <w:tcPr>
            <w:tcW w:w="3560" w:type="dxa"/>
            <w:vAlign w:val="bottom"/>
            <w:vMerge w:val="restart"/>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40" w:type="dxa"/>
            <w:vAlign w:val="bottom"/>
            <w:gridSpan w:val="3"/>
            <w:vMerge w:val="restart"/>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20-2632791</w:t>
            </w:r>
          </w:p>
        </w:tc>
        <w:tc>
          <w:tcPr>
            <w:tcW w:w="0" w:type="dxa"/>
            <w:vAlign w:val="bottom"/>
          </w:tcPr>
          <w:p>
            <w:pPr>
              <w:spacing w:after="0"/>
              <w:rPr>
                <w:sz w:val="1"/>
                <w:szCs w:val="1"/>
                <w:color w:val="auto"/>
              </w:rPr>
            </w:pPr>
          </w:p>
        </w:tc>
      </w:tr>
      <w:tr>
        <w:trPr>
          <w:trHeight w:val="383"/>
        </w:trPr>
        <w:tc>
          <w:tcPr>
            <w:tcW w:w="3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gridSpan w:val="8"/>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7000" w:type="dxa"/>
            <w:vAlign w:val="bottom"/>
            <w:gridSpan w:val="8"/>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399"/>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Two Canal Park</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5"/>
          </w:tcPr>
          <w:p>
            <w:pPr>
              <w:jc w:val="center"/>
              <w:ind w:left="88"/>
              <w:spacing w:after="0"/>
              <w:rPr>
                <w:sz w:val="20"/>
                <w:szCs w:val="20"/>
                <w:color w:val="auto"/>
              </w:rPr>
            </w:pPr>
            <w:r>
              <w:rPr>
                <w:rFonts w:ascii="Times New Roman" w:cs="Times New Roman" w:eastAsia="Times New Roman" w:hAnsi="Times New Roman"/>
                <w:sz w:val="17"/>
                <w:szCs w:val="17"/>
                <w:b w:val="1"/>
                <w:bCs w:val="1"/>
                <w:color w:val="auto"/>
              </w:rPr>
              <w:t>Cambridge, Massachusetts 02141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60" w:type="dxa"/>
            <w:vAlign w:val="bottom"/>
            <w:gridSpan w:val="8"/>
          </w:tcPr>
          <w:p>
            <w:pPr>
              <w:jc w:val="center"/>
              <w:ind w:right="395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4"/>
                <w:szCs w:val="24"/>
                <w:color w:val="auto"/>
              </w:rPr>
            </w:pPr>
          </w:p>
        </w:tc>
        <w:tc>
          <w:tcPr>
            <w:tcW w:w="2640" w:type="dxa"/>
            <w:vAlign w:val="bottom"/>
            <w:gridSpan w:val="4"/>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(888) 482-7768</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7680" w:type="dxa"/>
            <w:vAlign w:val="bottom"/>
            <w:gridSpan w:val="10"/>
          </w:tcPr>
          <w:p>
            <w:pPr>
              <w:jc w:val="center"/>
              <w:ind w:right="34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4"/>
                <w:szCs w:val="24"/>
                <w:color w:val="auto"/>
              </w:rPr>
            </w:pPr>
          </w:p>
        </w:tc>
        <w:tc>
          <w:tcPr>
            <w:tcW w:w="7680" w:type="dxa"/>
            <w:vAlign w:val="bottom"/>
            <w:gridSpan w:val="10"/>
          </w:tcPr>
          <w:p>
            <w:pPr>
              <w:jc w:val="center"/>
              <w:ind w:right="34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419"/>
        </w:trPr>
        <w:tc>
          <w:tcPr>
            <w:tcW w:w="35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2"/>
        </w:trPr>
        <w:tc>
          <w:tcPr>
            <w:tcW w:w="35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HUBS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p>
      <w:pPr>
        <w:ind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80" w:firstLine="509"/>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1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growth company. See the definitions of “large accelerated filer,” “accelerated filer,” “smaller reporting company,” and “emerging growth company” in Rule 12b-2 of the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3120" w:type="dxa"/>
            <w:vAlign w:val="bottom"/>
            <w:vMerge w:val="restart"/>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spacing w:after="0"/>
              <w:rPr>
                <w:sz w:val="17"/>
                <w:szCs w:val="17"/>
                <w:color w:val="auto"/>
              </w:rPr>
            </w:pPr>
          </w:p>
        </w:tc>
        <w:tc>
          <w:tcPr>
            <w:tcW w:w="16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7"/>
        </w:trPr>
        <w:tc>
          <w:tcPr>
            <w:tcW w:w="24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vMerge w:val="continue"/>
          </w:tcPr>
          <w:p>
            <w:pPr>
              <w:spacing w:after="0"/>
              <w:rPr>
                <w:sz w:val="14"/>
                <w:szCs w:val="14"/>
                <w:color w:val="auto"/>
              </w:rPr>
            </w:pPr>
          </w:p>
        </w:tc>
        <w:tc>
          <w:tcPr>
            <w:tcW w:w="5400" w:type="dxa"/>
            <w:vAlign w:val="bottom"/>
          </w:tcPr>
          <w:p>
            <w:pPr>
              <w:ind w:left="2300"/>
              <w:spacing w:after="0" w:line="167" w:lineRule="exact"/>
              <w:rPr>
                <w:sz w:val="20"/>
                <w:szCs w:val="20"/>
                <w:color w:val="auto"/>
              </w:rPr>
            </w:pPr>
            <w:r>
              <w:rPr>
                <w:rFonts w:ascii="Times New Roman" w:cs="Times New Roman" w:eastAsia="Times New Roman" w:hAnsi="Times New Roman"/>
                <w:sz w:val="16"/>
                <w:szCs w:val="16"/>
                <w:color w:val="auto"/>
              </w:rPr>
              <w:t>Accelerated filer</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0" w:type="dxa"/>
            <w:vAlign w:val="bottom"/>
          </w:tcPr>
          <w:p>
            <w:pPr>
              <w:ind w:left="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right="20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There were 52,385,551 shares of the registrant’s Common Stock issued and outstanding as of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80" w:type="dxa"/>
            <w:vAlign w:val="bottom"/>
            <w:gridSpan w:val="11"/>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HUBSPOT, INC.</w:t>
            </w:r>
          </w:p>
        </w:tc>
        <w:tc>
          <w:tcPr>
            <w:tcW w:w="46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80" w:type="dxa"/>
            <w:vAlign w:val="bottom"/>
            <w:gridSpan w:val="11"/>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60" w:type="dxa"/>
            <w:vAlign w:val="bottom"/>
          </w:tcPr>
          <w:p>
            <w:pPr>
              <w:spacing w:after="0"/>
              <w:rPr>
                <w:sz w:val="24"/>
                <w:szCs w:val="24"/>
                <w:color w:val="auto"/>
              </w:rPr>
            </w:pPr>
          </w:p>
        </w:tc>
      </w:tr>
      <w:tr>
        <w:trPr>
          <w:trHeight w:val="3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80" w:type="dxa"/>
            <w:vAlign w:val="bottom"/>
            <w:gridSpan w:val="11"/>
          </w:tcPr>
          <w:p>
            <w:pPr>
              <w:jc w:val="center"/>
              <w:ind w:right="3940"/>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4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Balance Sheets as of September 30, 2025 and December 31, 2024</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Statements of Operations for the Three and Nine Months Ended September 30, 2025 and 2024</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Statements of Comprehensive Income (Loss) for the Three and Nine Months Ended September 30, 2025 and</w:t>
            </w:r>
          </w:p>
        </w:tc>
        <w:tc>
          <w:tcPr>
            <w:tcW w:w="46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2024</w:t>
            </w:r>
          </w:p>
        </w:tc>
        <w:tc>
          <w:tcPr>
            <w:tcW w:w="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 of Stockholders’ Equity for the Three and Nine Months Ended September 30, 2025 and 2024</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Consolidated Statements of Cash Flows for the Nine Months Ended September 30, 2025 and 2024</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80" w:type="dxa"/>
            <w:vAlign w:val="bottom"/>
            <w:gridSpan w:val="11"/>
          </w:tcPr>
          <w:p>
            <w:pPr>
              <w:jc w:val="center"/>
              <w:ind w:right="40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460" w:type="dxa"/>
            <w:vAlign w:val="bottom"/>
          </w:tcPr>
          <w:p>
            <w:pPr>
              <w:spacing w:after="0"/>
              <w:rPr>
                <w:sz w:val="24"/>
                <w:szCs w:val="24"/>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40" w:type="dxa"/>
            <w:vAlign w:val="bottom"/>
            <w:tcBorders>
              <w:top w:val="single" w:sz="8" w:color="0000FF"/>
            </w:tcBorders>
            <w:gridSpan w:val="4"/>
          </w:tcPr>
          <w:p>
            <w:pPr>
              <w:spacing w:after="0"/>
              <w:rPr>
                <w:sz w:val="24"/>
                <w:szCs w:val="24"/>
                <w:color w:val="auto"/>
              </w:rPr>
            </w:pPr>
          </w:p>
        </w:tc>
        <w:tc>
          <w:tcPr>
            <w:tcW w:w="404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8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18"/>
        </w:trPr>
        <w:tc>
          <w:tcPr>
            <w:tcW w:w="7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EX-31.1</w:t>
            </w:r>
          </w:p>
        </w:tc>
        <w:tc>
          <w:tcPr>
            <w:tcW w:w="38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CERTIFICATION OF THE CEO PURSUANT TO SECTION 302</w:t>
            </w:r>
          </w:p>
        </w:tc>
        <w:tc>
          <w:tcPr>
            <w:tcW w:w="46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EX-31.2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CERTIFICATION OF THE CFO PURSUANT TO SECTION 302</w:t>
            </w:r>
          </w:p>
        </w:tc>
        <w:tc>
          <w:tcPr>
            <w:tcW w:w="460" w:type="dxa"/>
            <w:vAlign w:val="bottom"/>
          </w:tcPr>
          <w:p>
            <w:pPr>
              <w:spacing w:after="0"/>
              <w:rPr>
                <w:sz w:val="18"/>
                <w:szCs w:val="18"/>
                <w:color w:val="auto"/>
              </w:rPr>
            </w:pPr>
          </w:p>
        </w:tc>
      </w:t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EX-32.1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CERTIFICATION OF THE CEO AND CFO PURSUANT TO SECTION 906</w:t>
            </w:r>
          </w:p>
        </w:tc>
        <w:tc>
          <w:tcPr>
            <w:tcW w:w="460" w:type="dxa"/>
            <w:vAlign w:val="bottom"/>
          </w:tcPr>
          <w:p>
            <w:pPr>
              <w:spacing w:after="0"/>
              <w:rPr>
                <w:sz w:val="20"/>
                <w:szCs w:val="20"/>
                <w:color w:val="auto"/>
              </w:rPr>
            </w:pPr>
          </w:p>
        </w:tc>
      </w:tr>
      <w:tr>
        <w:trPr>
          <w:trHeight w:val="1843"/>
        </w:trPr>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1" w:lineRule="exact"/>
        <w:rPr>
          <w:sz w:val="20"/>
          <w:szCs w:val="20"/>
          <w:color w:val="auto"/>
        </w:rPr>
      </w:pPr>
    </w:p>
    <w:p>
      <w:pPr>
        <w:ind w:left="1020" w:right="5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and operational performance, including our expectations regarding our revenue, cost of revenue, gross margin and operating expenses;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customer base and increasing our average subscription revenue per customer;</w:t>
      </w:r>
    </w:p>
    <w:p>
      <w:pPr>
        <w:spacing w:after="0" w:line="198"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 including as a result of new or better use of evolving artificial intelligence (“AI”) technologies;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expectations regarding our ability to manage our future growth;</w:t>
      </w:r>
    </w:p>
    <w:p>
      <w:pPr>
        <w:spacing w:after="0" w:line="18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geo-political conflicts, inflationary pressures, tariffs and trade restrictions, foreign currency movement, macroeconomic stability, and catastrophic events, on our business, the broader economy, our workforce and operations, the markets in which we and our partners and customers operate, and our ability to forecast future financial performance;</w:t>
      </w:r>
    </w:p>
    <w:p>
      <w:pPr>
        <w:spacing w:after="0" w:line="148"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areas of investments, including sales and marketing, research and development, including with respect to AI and machine learning, customer service and support, data center infrastructure and service capabilities, and expectations relating to such investments;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predictions about industry and market trends;</w:t>
      </w:r>
    </w:p>
    <w:p>
      <w:pPr>
        <w:spacing w:after="0" w:line="184"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address the evolution of technology and the technological needs of our customers, to roll-out upgrades to our existing software platform and to develop new and enhanced applications to meet the needs of our customers, including with respect to AI and machine learning;</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marketing, selling and servicing thought leadership position;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corporate culture and our ability to attract, hire and retain necessary qualified employees to expand our operations;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 on our business of litigation to which we are or may become a party;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declaring or paying cash dividends in the foreseeable future; and</w:t>
      </w:r>
    </w:p>
    <w:p>
      <w:pPr>
        <w:spacing w:after="0" w:line="184"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 both in the United States and internationally.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117"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ind w:right="240"/>
        <w:spacing w:after="0" w:line="266" w:lineRule="auto"/>
        <w:rPr>
          <w:sz w:val="20"/>
          <w:szCs w:val="20"/>
          <w:color w:val="auto"/>
        </w:rPr>
      </w:pPr>
      <w:r>
        <w:rPr>
          <w:rFonts w:ascii="Times New Roman" w:cs="Times New Roman" w:eastAsia="Times New Roman" w:hAnsi="Times New Roman"/>
          <w:sz w:val="18"/>
          <w:szCs w:val="18"/>
          <w:color w:val="auto"/>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6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6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the terms “HubSpot,” “we,” “us,” and “our” refer to HubSpot, Inc. and its subsidiaries, unless the context indicates otherwise.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jc w:val="both"/>
        <w:ind w:right="1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67" w:lineRule="exact"/>
        <w:rPr>
          <w:sz w:val="20"/>
          <w:szCs w:val="20"/>
          <w:color w:val="auto"/>
        </w:rPr>
      </w:pPr>
    </w:p>
    <w:p>
      <w:pPr>
        <w:ind w:left="660" w:right="16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customer renewals, the addition of new customers, increased revenue from existing customers and the continued growth of the market for a customer platform.</w:t>
      </w:r>
    </w:p>
    <w:p>
      <w:pPr>
        <w:spacing w:after="0" w:line="53" w:lineRule="exact"/>
        <w:rPr>
          <w:rFonts w:ascii="Times New Roman" w:cs="Times New Roman" w:eastAsia="Times New Roman" w:hAnsi="Times New Roman"/>
          <w:sz w:val="18"/>
          <w:szCs w:val="18"/>
          <w:color w:val="auto"/>
        </w:rPr>
      </w:pPr>
    </w:p>
    <w:p>
      <w:pPr>
        <w:ind w:left="660" w:right="44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in the software market in which we operate, which may harm our ability to add new customers, retain existing customers and grow our business.</w:t>
      </w:r>
    </w:p>
    <w:p>
      <w:pPr>
        <w:spacing w:after="0" w:line="53" w:lineRule="exact"/>
        <w:rPr>
          <w:rFonts w:ascii="Times New Roman" w:cs="Times New Roman" w:eastAsia="Times New Roman" w:hAnsi="Times New Roman"/>
          <w:sz w:val="18"/>
          <w:szCs w:val="18"/>
          <w:color w:val="auto"/>
        </w:rPr>
      </w:pPr>
    </w:p>
    <w:p>
      <w:pPr>
        <w:ind w:left="660" w:right="2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53" w:lineRule="exact"/>
        <w:rPr>
          <w:rFonts w:ascii="Times New Roman" w:cs="Times New Roman" w:eastAsia="Times New Roman" w:hAnsi="Times New Roman"/>
          <w:sz w:val="18"/>
          <w:szCs w:val="18"/>
          <w:color w:val="auto"/>
        </w:rPr>
      </w:pPr>
    </w:p>
    <w:p>
      <w:pPr>
        <w:ind w:left="660" w:right="20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(including AI and machine learning), evolving industry standards and changing customer needs or requirements, our customer platform may become less competitive.</w:t>
      </w:r>
    </w:p>
    <w:p>
      <w:pPr>
        <w:spacing w:after="0" w:line="53" w:lineRule="exact"/>
        <w:rPr>
          <w:rFonts w:ascii="Times New Roman" w:cs="Times New Roman" w:eastAsia="Times New Roman" w:hAnsi="Times New Roman"/>
          <w:sz w:val="18"/>
          <w:szCs w:val="18"/>
          <w:color w:val="auto"/>
        </w:rPr>
      </w:pPr>
    </w:p>
    <w:p>
      <w:pPr>
        <w:ind w:left="660" w:right="280" w:hanging="50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w:t>
      </w:r>
    </w:p>
    <w:p>
      <w:pPr>
        <w:spacing w:after="0" w:line="67" w:lineRule="exact"/>
        <w:rPr>
          <w:rFonts w:ascii="Times New Roman" w:cs="Times New Roman" w:eastAsia="Times New Roman" w:hAnsi="Times New Roman"/>
          <w:sz w:val="18"/>
          <w:szCs w:val="18"/>
          <w:color w:val="auto"/>
        </w:rPr>
      </w:pPr>
    </w:p>
    <w:p>
      <w:pPr>
        <w:ind w:left="660" w:hanging="50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that could adversely affect our financial results.</w:t>
      </w:r>
    </w:p>
    <w:p>
      <w:pPr>
        <w:spacing w:after="0" w:line="117" w:lineRule="exact"/>
        <w:rPr>
          <w:rFonts w:ascii="Times New Roman" w:cs="Times New Roman" w:eastAsia="Times New Roman" w:hAnsi="Times New Roman"/>
          <w:sz w:val="18"/>
          <w:szCs w:val="18"/>
          <w:color w:val="auto"/>
        </w:rPr>
      </w:pPr>
    </w:p>
    <w:p>
      <w:pPr>
        <w:ind w:left="66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including from changes in trade policies, trade wars, tariffs or other trade restrictions or the threat of such actions, may lead to decreased demand for our products and services and otherwise harm our business and results of operations.</w:t>
      </w:r>
    </w:p>
    <w:p>
      <w:pPr>
        <w:spacing w:after="0" w:line="53" w:lineRule="exact"/>
        <w:rPr>
          <w:rFonts w:ascii="Times New Roman" w:cs="Times New Roman" w:eastAsia="Times New Roman" w:hAnsi="Times New Roman"/>
          <w:sz w:val="18"/>
          <w:szCs w:val="18"/>
          <w:color w:val="auto"/>
        </w:rPr>
      </w:pPr>
    </w:p>
    <w:p>
      <w:pPr>
        <w:ind w:left="660" w:right="42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53" w:lineRule="exact"/>
        <w:rPr>
          <w:rFonts w:ascii="Times New Roman" w:cs="Times New Roman" w:eastAsia="Times New Roman" w:hAnsi="Times New Roman"/>
          <w:sz w:val="18"/>
          <w:szCs w:val="18"/>
          <w:color w:val="auto"/>
        </w:rPr>
      </w:pPr>
    </w:p>
    <w:p>
      <w:pPr>
        <w:ind w:left="66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 platform has outages or fails due to defects or similar problems, and if we fail to correct any defect or other software problems, we could lose customers, become subject to service performance or warranty claims or incur significant costs.</w:t>
      </w:r>
    </w:p>
    <w:p>
      <w:pPr>
        <w:spacing w:after="0" w:line="53" w:lineRule="exact"/>
        <w:rPr>
          <w:rFonts w:ascii="Times New Roman" w:cs="Times New Roman" w:eastAsia="Times New Roman" w:hAnsi="Times New Roman"/>
          <w:sz w:val="18"/>
          <w:szCs w:val="18"/>
          <w:color w:val="auto"/>
        </w:rPr>
      </w:pPr>
    </w:p>
    <w:p>
      <w:pPr>
        <w:ind w:left="660" w:right="320" w:hanging="50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spacing w:after="0" w:line="67" w:lineRule="exact"/>
        <w:rPr>
          <w:rFonts w:ascii="Times New Roman" w:cs="Times New Roman" w:eastAsia="Times New Roman" w:hAnsi="Times New Roman"/>
          <w:sz w:val="18"/>
          <w:szCs w:val="18"/>
          <w:color w:val="auto"/>
        </w:rPr>
      </w:pPr>
    </w:p>
    <w:p>
      <w:pPr>
        <w:ind w:left="660" w:hanging="50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become consistently profitable or maintain or increase profitability in the future.</w:t>
      </w:r>
    </w:p>
    <w:p>
      <w:pPr>
        <w:spacing w:after="0" w:line="117" w:lineRule="exact"/>
        <w:rPr>
          <w:rFonts w:ascii="Times New Roman" w:cs="Times New Roman" w:eastAsia="Times New Roman" w:hAnsi="Times New Roman"/>
          <w:sz w:val="18"/>
          <w:szCs w:val="18"/>
          <w:color w:val="auto"/>
        </w:rPr>
      </w:pPr>
    </w:p>
    <w:p>
      <w:pPr>
        <w:ind w:left="660" w:right="22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53" w:lineRule="exact"/>
        <w:rPr>
          <w:rFonts w:ascii="Times New Roman" w:cs="Times New Roman" w:eastAsia="Times New Roman" w:hAnsi="Times New Roman"/>
          <w:sz w:val="18"/>
          <w:szCs w:val="18"/>
          <w:color w:val="auto"/>
        </w:rPr>
      </w:pPr>
    </w:p>
    <w:p>
      <w:pPr>
        <w:ind w:left="660" w:right="840" w:hanging="50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 w:name="page5"/>
    <w:bookmarkEnd w:id="4"/>
    <w:p>
      <w:pPr>
        <w:ind w:left="502" w:hanging="502"/>
        <w:spacing w:after="0"/>
        <w:tabs>
          <w:tab w:leader="none" w:pos="50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capital in the future may be limited, and our failure to raise capital when needed could prevent us from growing.</w:t>
      </w:r>
    </w:p>
    <w:p>
      <w:pPr>
        <w:sectPr>
          <w:pgSz w:w="11900" w:h="16838" w:orient="portrait"/>
          <w:cols w:equalWidth="0" w:num="1">
            <w:col w:w="9982"/>
          </w:cols>
          <w:pgMar w:left="478" w:top="1093" w:right="1439" w:bottom="1440" w:gutter="0" w:footer="0" w:header="0"/>
        </w:sectPr>
      </w:pPr>
    </w:p>
    <w:p>
      <w:pPr>
        <w:spacing w:after="0" w:line="237" w:lineRule="exact"/>
        <w:rPr>
          <w:sz w:val="20"/>
          <w:szCs w:val="20"/>
          <w:color w:val="auto"/>
        </w:rPr>
      </w:pPr>
    </w:p>
    <w:p>
      <w:pPr>
        <w:ind w:left="5422"/>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499110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2"/>
          </w:cols>
          <w:pgMar w:left="478" w:top="1093" w:right="14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614,352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512,667</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1,556,828</w:t>
            </w:r>
          </w:p>
        </w:tc>
        <w:tc>
          <w:tcPr>
            <w:tcW w:w="100" w:type="dxa"/>
            <w:vAlign w:val="bottom"/>
          </w:tcPr>
          <w:p>
            <w:pPr>
              <w:spacing w:after="0"/>
              <w:rPr>
                <w:sz w:val="18"/>
                <w:szCs w:val="18"/>
                <w:color w:val="auto"/>
              </w:rPr>
            </w:pPr>
          </w:p>
        </w:tc>
      </w:tr>
      <w:tr>
        <w:trPr>
          <w:trHeight w:val="198"/>
        </w:trPr>
        <w:tc>
          <w:tcPr>
            <w:tcW w:w="78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 net of allowance for doubtful accounts of $5,912</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at September 30, 2025 and $6,088 at December 31, 2024</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314,510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100" w:type="dxa"/>
            <w:vAlign w:val="bottom"/>
            <w:shd w:val="clear" w:color="auto" w:fill="CFF0FC"/>
          </w:tcPr>
          <w:p>
            <w:pPr>
              <w:spacing w:after="0"/>
              <w:rPr>
                <w:sz w:val="20"/>
                <w:szCs w:val="20"/>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commission expense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148,693</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110,076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2,633,603</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154,212</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114,165</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154,484</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216,230</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commission expense, net of current portion</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160,814</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115,254</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37,563</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274,788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209,508</w:t>
            </w:r>
          </w:p>
        </w:tc>
        <w:tc>
          <w:tcPr>
            <w:tcW w:w="100" w:type="dxa"/>
            <w:vAlign w:val="bottom"/>
          </w:tcPr>
          <w:p>
            <w:pPr>
              <w:spacing w:after="0"/>
              <w:rPr>
                <w:sz w:val="18"/>
                <w:szCs w:val="18"/>
                <w:color w:val="auto"/>
              </w:rPr>
            </w:pPr>
          </w:p>
        </w:tc>
      </w:tr>
      <w:tr>
        <w:trPr>
          <w:trHeight w:val="249"/>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3,502,358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3,795,833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106,503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67,442</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commissions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102,043</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154,178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125,135</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458,184</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882,099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784,253</w:t>
            </w:r>
          </w:p>
        </w:tc>
        <w:tc>
          <w:tcPr>
            <w:tcW w:w="100" w:type="dxa"/>
            <w:vAlign w:val="bottom"/>
          </w:tcPr>
          <w:p>
            <w:pPr>
              <w:spacing w:after="0"/>
              <w:rPr>
                <w:sz w:val="18"/>
                <w:szCs w:val="18"/>
                <w:color w:val="auto"/>
              </w:rPr>
            </w:pPr>
          </w:p>
        </w:tc>
      </w:tr>
      <w:tr>
        <w:trPr>
          <w:trHeight w:val="21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1,315,983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1,573,399</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254,539</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55,640</w:t>
            </w:r>
          </w:p>
        </w:tc>
        <w:tc>
          <w:tcPr>
            <w:tcW w:w="100" w:type="dxa"/>
            <w:vAlign w:val="bottom"/>
          </w:tcPr>
          <w:p>
            <w:pPr>
              <w:spacing w:after="0"/>
              <w:rPr>
                <w:sz w:val="18"/>
                <w:szCs w:val="18"/>
                <w:color w:val="auto"/>
              </w:rPr>
            </w:pPr>
          </w:p>
        </w:tc>
      </w:tr>
      <w:tr>
        <w:trPr>
          <w:trHeight w:val="209"/>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1,646,516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1,887,547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value—500,000 shares authorized; 54,494 and 52,667</w:t>
            </w:r>
          </w:p>
        </w:tc>
        <w:tc>
          <w:tcPr>
            <w:tcW w:w="24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r>
      <w:tr>
        <w:trPr>
          <w:trHeight w:val="216"/>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52,217 and 51,767 shares outstanding at September 30, 2025 and</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8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$0.001 par value—2,277 and 900 shares held at September 30, 2025</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7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2,713,697</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(5,654)</w:t>
            </w: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(808,324)</w:t>
            </w: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(799,809)</w:t>
            </w:r>
          </w:p>
        </w:tc>
      </w:tr>
      <w:tr>
        <w:trPr>
          <w:trHeight w:val="209"/>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1,855,842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1,908,286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3,502,358</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3,795,833</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-5048250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-3659505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-3642360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-1696720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40" w:type="dxa"/>
            <w:vAlign w:val="bottom"/>
            <w:tcBorders>
              <w:bottom w:val="single" w:sz="8" w:color="auto"/>
            </w:tcBorders>
            <w:gridSpan w:val="6"/>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5"/>
                <w:szCs w:val="15"/>
                <w:color w:val="auto"/>
              </w:rPr>
            </w:pPr>
          </w:p>
        </w:tc>
      </w:tr>
      <w:tr>
        <w:trPr>
          <w:trHeight w:val="196"/>
        </w:trPr>
        <w:tc>
          <w:tcPr>
            <w:tcW w:w="44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w:t>
            </w:r>
          </w:p>
        </w:tc>
        <w:tc>
          <w:tcPr>
            <w:tcW w:w="14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791,678</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654,738</w:t>
            </w:r>
          </w:p>
        </w:tc>
        <w:tc>
          <w:tcPr>
            <w:tcW w:w="24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2,234,937</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1,882,241</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809,518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2,284,520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1,924,365</w:t>
            </w:r>
          </w:p>
        </w:tc>
        <w:tc>
          <w:tcPr>
            <w:tcW w:w="100" w:type="dxa"/>
            <w:vAlign w:val="bottom"/>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117,025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247,408</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 of revenues</w:t>
            </w:r>
          </w:p>
        </w:tc>
        <w:tc>
          <w:tcPr>
            <w:tcW w:w="5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133,518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370,786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289,928</w:t>
            </w:r>
          </w:p>
        </w:tc>
        <w:tc>
          <w:tcPr>
            <w:tcW w:w="100" w:type="dxa"/>
            <w:vAlign w:val="bottom"/>
          </w:tcPr>
          <w:p>
            <w:pPr>
              <w:spacing w:after="0"/>
              <w:rPr>
                <w:sz w:val="18"/>
                <w:szCs w:val="18"/>
                <w:color w:val="auto"/>
              </w:rPr>
            </w:pPr>
          </w:p>
        </w:tc>
      </w:tr>
      <w:tr>
        <w:trPr>
          <w:trHeight w:val="210"/>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676,000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570,397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1,913,734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1,634,437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227,714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191,185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685,151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565,001</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355,268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1,021,844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904,010</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244,380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219,380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w:t>
            </w:r>
          </w:p>
        </w:tc>
        <w:tc>
          <w:tcPr>
            <w:tcW w:w="5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8"/>
                <w:szCs w:val="18"/>
                <w:color w:val="auto"/>
              </w:rPr>
            </w:pPr>
          </w:p>
        </w:tc>
      </w:tr>
      <w:tr>
        <w:trPr>
          <w:trHeight w:val="209"/>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664,766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580,028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1,954,597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1,691,238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(9,631)</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(40,863)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(56,801)</w:t>
            </w: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60,877</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(876)</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00" w:type="dxa"/>
            <w:vAlign w:val="bottom"/>
          </w:tcPr>
          <w:p>
            <w:pPr>
              <w:spacing w:after="0"/>
              <w:rPr>
                <w:sz w:val="18"/>
                <w:szCs w:val="18"/>
                <w:color w:val="auto"/>
              </w:rPr>
            </w:pPr>
          </w:p>
        </w:tc>
      </w:tr>
      <w:tr>
        <w:trPr>
          <w:trHeight w:val="210"/>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(2,502)</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(16,322)</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(16,040)</w:t>
            </w:r>
          </w:p>
        </w:tc>
      </w:tr>
      <w:tr>
        <w:trPr>
          <w:trHeight w:val="20"/>
        </w:trPr>
        <w:tc>
          <w:tcPr>
            <w:tcW w:w="44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24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basic</w:t>
            </w:r>
          </w:p>
        </w:tc>
        <w:tc>
          <w:tcPr>
            <w:tcW w:w="1420" w:type="dxa"/>
            <w:vAlign w:val="bottom"/>
            <w:gridSpan w:val="2"/>
            <w:shd w:val="clear" w:color="auto" w:fill="CFF0FC"/>
          </w:tcPr>
          <w:p>
            <w:pPr>
              <w:jc w:val="right"/>
              <w:ind w:right="7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income per share, diluted</w:t>
            </w:r>
          </w:p>
        </w:tc>
        <w:tc>
          <w:tcPr>
            <w:tcW w:w="14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4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used in computing</w:t>
            </w:r>
          </w:p>
        </w:tc>
        <w:tc>
          <w:tcPr>
            <w:tcW w:w="5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net income (loss) income per share:</w:t>
            </w:r>
          </w:p>
        </w:tc>
        <w:tc>
          <w:tcPr>
            <w:tcW w:w="5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52,454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shd w:val="clear" w:color="auto" w:fill="CFF0FC"/>
          </w:tcPr>
          <w:p>
            <w:pPr>
              <w:spacing w:after="0"/>
              <w:rPr>
                <w:sz w:val="20"/>
                <w:szCs w:val="20"/>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used in computing</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-3822700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-3822700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-3822700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-3256915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-3256915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-3256915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-2965450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-2965450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-2125345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-2125345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-2125345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-1276350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-1276350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-1276350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-993775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-993775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8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78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(8,515)</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Changes in unrealized loss on investments, net of income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of $0 for the three and nine months ended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30, 2025 and 2024</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Changes in unrealized loss on cash flow hedges, net of</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 of $51 and $243 for the three and nine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months ended September 30, 2025, and $52 and $115</w:t>
            </w:r>
          </w:p>
        </w:tc>
        <w:tc>
          <w:tcPr>
            <w:tcW w:w="2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 the three and nine months ended September 30, 2024</w:t>
            </w:r>
          </w:p>
        </w:tc>
        <w:tc>
          <w:tcPr>
            <w:tcW w:w="2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120" w:type="dxa"/>
            <w:vAlign w:val="bottom"/>
            <w:gridSpan w:val="3"/>
          </w:tcPr>
          <w:p>
            <w:pPr>
              <w:jc w:val="center"/>
              <w:ind w:left="221"/>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820" w:type="dxa"/>
            <w:vAlign w:val="bottom"/>
          </w:tcPr>
          <w:p>
            <w:pPr>
              <w:spacing w:after="0"/>
              <w:rPr>
                <w:sz w:val="13"/>
                <w:szCs w:val="13"/>
                <w:color w:val="auto"/>
              </w:rPr>
            </w:pPr>
          </w:p>
        </w:tc>
        <w:tc>
          <w:tcPr>
            <w:tcW w:w="1120" w:type="dxa"/>
            <w:vAlign w:val="bottom"/>
            <w:gridSpan w:val="3"/>
          </w:tcPr>
          <w:p>
            <w:pPr>
              <w:jc w:val="center"/>
              <w:ind w:left="201"/>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left="321"/>
              <w:spacing w:after="0"/>
              <w:rPr>
                <w:sz w:val="20"/>
                <w:szCs w:val="20"/>
                <w:color w:val="auto"/>
              </w:rPr>
            </w:pPr>
            <w:r>
              <w:rPr>
                <w:rFonts w:ascii="Times New Roman" w:cs="Times New Roman" w:eastAsia="Times New Roman" w:hAnsi="Times New Roman"/>
                <w:sz w:val="13"/>
                <w:szCs w:val="13"/>
                <w:b w:val="1"/>
                <w:bCs w:val="1"/>
                <w:color w:val="auto"/>
              </w:rPr>
              <w:t>$0.001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82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221"/>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201"/>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76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r>
      <w:tr>
        <w:trPr>
          <w:trHeight w:val="19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51,767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2,713,697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(5,654)</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(799,809)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1,908,286</w:t>
            </w:r>
          </w:p>
        </w:tc>
        <w:tc>
          <w:tcPr>
            <w:tcW w:w="100" w:type="dxa"/>
            <w:vAlign w:val="bottom"/>
            <w:shd w:val="clear" w:color="auto" w:fill="CFF0FC"/>
          </w:tcPr>
          <w:p>
            <w:pPr>
              <w:spacing w:after="0"/>
              <w:rPr>
                <w:sz w:val="17"/>
                <w:szCs w:val="17"/>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Pr>
          <w:p>
            <w:pPr>
              <w:spacing w:after="0"/>
              <w:rPr>
                <w:sz w:val="18"/>
                <w:szCs w:val="18"/>
                <w:color w:val="auto"/>
              </w:rPr>
            </w:pPr>
          </w:p>
        </w:tc>
      </w:tr>
      <w:tr>
        <w:trPr>
          <w:trHeight w:val="192"/>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taxes paid</w:t>
            </w: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(9,070)</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(9,070)</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the 2025 Notes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w:t>
            </w: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121,806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121,806</w:t>
            </w:r>
          </w:p>
        </w:tc>
        <w:tc>
          <w:tcPr>
            <w:tcW w:w="100" w:type="dxa"/>
            <w:vAlign w:val="bottom"/>
            <w:shd w:val="clear" w:color="auto" w:fill="CFF0FC"/>
          </w:tcPr>
          <w:p>
            <w:pPr>
              <w:spacing w:after="0"/>
              <w:rPr>
                <w:sz w:val="17"/>
                <w:szCs w:val="17"/>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tax</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tcPr>
          <w:p>
            <w:pPr>
              <w:spacing w:after="0"/>
              <w:rPr>
                <w:sz w:val="18"/>
                <w:szCs w:val="18"/>
                <w:color w:val="auto"/>
              </w:rPr>
            </w:pPr>
          </w:p>
        </w:tc>
      </w:tr>
      <w:tr>
        <w:trPr>
          <w:trHeight w:val="205"/>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(21,793)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(21,793)</w:t>
            </w:r>
          </w:p>
        </w:tc>
      </w:tr>
      <w:tr>
        <w:trPr>
          <w:trHeight w:val="20"/>
        </w:trPr>
        <w:tc>
          <w:tcPr>
            <w:tcW w:w="28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2,828,754</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(2,660)</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(821,602)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2,004,544</w:t>
            </w:r>
          </w:p>
        </w:tc>
        <w:tc>
          <w:tcPr>
            <w:tcW w:w="10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8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2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100" w:type="dxa"/>
            <w:vAlign w:val="bottom"/>
            <w:shd w:val="clear" w:color="auto" w:fill="CFF0FC"/>
          </w:tcPr>
          <w:p>
            <w:pPr>
              <w:spacing w:after="0"/>
              <w:rPr>
                <w:sz w:val="18"/>
                <w:szCs w:val="18"/>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taxes paid</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(4,744)</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(4,744)</w:t>
            </w:r>
          </w:p>
        </w:tc>
      </w:tr>
      <w:tr>
        <w:trPr>
          <w:trHeight w:val="20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of the 2025 Notes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Capped Call Options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(382)</w:t>
            </w: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(125,004)</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(125,004)</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150,069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150,069</w:t>
            </w:r>
          </w:p>
        </w:tc>
        <w:tc>
          <w:tcPr>
            <w:tcW w:w="100" w:type="dxa"/>
            <w:vAlign w:val="bottom"/>
          </w:tcPr>
          <w:p>
            <w:pPr>
              <w:spacing w:after="0"/>
              <w:rPr>
                <w:sz w:val="17"/>
                <w:szCs w:val="17"/>
                <w:color w:val="auto"/>
              </w:rPr>
            </w:pPr>
          </w:p>
        </w:tc>
      </w:tr>
      <w:tr>
        <w:trPr>
          <w:trHeight w:val="18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of tax</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8,088</w:t>
            </w:r>
          </w:p>
        </w:tc>
        <w:tc>
          <w:tcPr>
            <w:tcW w:w="100" w:type="dxa"/>
            <w:vAlign w:val="bottom"/>
            <w:shd w:val="clear" w:color="auto" w:fill="CFF0FC"/>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(3,258)</w:t>
            </w:r>
          </w:p>
        </w:tc>
      </w:tr>
      <w:tr>
        <w:trPr>
          <w:trHeight w:val="20"/>
        </w:trPr>
        <w:tc>
          <w:tcPr>
            <w:tcW w:w="2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June 30, 2025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52,701</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2,884,434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(824,860)</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2,065,056</w:t>
            </w:r>
          </w:p>
        </w:tc>
        <w:tc>
          <w:tcPr>
            <w:tcW w:w="100" w:type="dxa"/>
            <w:vAlign w:val="bottom"/>
            <w:shd w:val="clear" w:color="auto" w:fill="CFF0FC"/>
          </w:tcPr>
          <w:p>
            <w:pPr>
              <w:spacing w:after="0"/>
              <w:rPr>
                <w:sz w:val="20"/>
                <w:szCs w:val="20"/>
                <w:color w:val="auto"/>
              </w:rPr>
            </w:pPr>
          </w:p>
        </w:tc>
      </w:tr>
      <w:tr>
        <w:trPr>
          <w:trHeight w:val="169"/>
        </w:trPr>
        <w:tc>
          <w:tcPr>
            <w:tcW w:w="282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13"/>
        </w:trPr>
        <w:tc>
          <w:tcPr>
            <w:tcW w:w="2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100" w:type="dxa"/>
            <w:vAlign w:val="bottom"/>
          </w:tcPr>
          <w:p>
            <w:pPr>
              <w:spacing w:after="0"/>
              <w:rPr>
                <w:sz w:val="18"/>
                <w:szCs w:val="18"/>
                <w:color w:val="auto"/>
              </w:rPr>
            </w:pPr>
          </w:p>
        </w:tc>
      </w:tr>
      <w:tr>
        <w:trPr>
          <w:trHeight w:val="192"/>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taxes paid</w:t>
            </w: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(4,362)</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(4,362)</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(780)</w:t>
            </w:r>
          </w:p>
        </w:tc>
        <w:tc>
          <w:tcPr>
            <w:tcW w:w="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(375,015)</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(375,015)</w:t>
            </w: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144,488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144,488</w:t>
            </w:r>
          </w:p>
        </w:tc>
        <w:tc>
          <w:tcPr>
            <w:tcW w:w="100" w:type="dxa"/>
            <w:vAlign w:val="bottom"/>
            <w:shd w:val="clear" w:color="auto" w:fill="CFF0FC"/>
          </w:tcPr>
          <w:p>
            <w:pPr>
              <w:spacing w:after="0"/>
              <w:rPr>
                <w:sz w:val="17"/>
                <w:szCs w:val="17"/>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tax</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r>
      <w:tr>
        <w:trPr>
          <w:trHeight w:val="205"/>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2,658,305</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(808,324)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1,855,842</w:t>
            </w:r>
          </w:p>
        </w:tc>
        <w:tc>
          <w:tcPr>
            <w:tcW w:w="10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-3059430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-3059430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-3059430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-3059430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-3059430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-3059430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-3059430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-1345565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-1328420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-1345565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-1328420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-1345565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-1328420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-1345565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-1328420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-1345565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-1328420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-1345565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-1328420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-1345565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-1328420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-162560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-162560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-162560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-162560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-162560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0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Treasury Stock, $0.001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08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2"/>
                <w:szCs w:val="12"/>
                <w:color w:val="auto"/>
              </w:rPr>
            </w:pPr>
          </w:p>
        </w:tc>
        <w:tc>
          <w:tcPr>
            <w:tcW w:w="36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3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3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50,448</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2,136,908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(804,437)</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1,334,348</w:t>
            </w:r>
          </w:p>
        </w:tc>
        <w:tc>
          <w:tcPr>
            <w:tcW w:w="100" w:type="dxa"/>
            <w:vAlign w:val="bottom"/>
            <w:shd w:val="clear" w:color="auto" w:fill="CFF0FC"/>
          </w:tcPr>
          <w:p>
            <w:pPr>
              <w:spacing w:after="0"/>
              <w:rPr>
                <w:sz w:val="17"/>
                <w:szCs w:val="17"/>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00" w:type="dxa"/>
            <w:vAlign w:val="bottom"/>
          </w:tcPr>
          <w:p>
            <w:pPr>
              <w:spacing w:after="0"/>
              <w:rPr>
                <w:sz w:val="18"/>
                <w:szCs w:val="18"/>
                <w:color w:val="auto"/>
              </w:rPr>
            </w:pPr>
          </w:p>
        </w:tc>
      </w:tr>
      <w:tr>
        <w:trPr>
          <w:trHeight w:val="19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taxes paid</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(8,791)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(8,791)</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115,919</w:t>
            </w:r>
          </w:p>
        </w:tc>
        <w:tc>
          <w:tcPr>
            <w:tcW w:w="100" w:type="dxa"/>
            <w:vAlign w:val="bottom"/>
          </w:tcPr>
          <w:p>
            <w:pPr>
              <w:spacing w:after="0"/>
              <w:rPr>
                <w:sz w:val="17"/>
                <w:szCs w:val="17"/>
                <w:color w:val="auto"/>
              </w:rPr>
            </w:pPr>
          </w:p>
        </w:tc>
      </w:tr>
      <w:tr>
        <w:trPr>
          <w:trHeight w:val="18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of tax</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(4,807)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(4,807)</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00" w:type="dxa"/>
            <w:vAlign w:val="bottom"/>
          </w:tcPr>
          <w:p>
            <w:pPr>
              <w:spacing w:after="0"/>
              <w:rPr>
                <w:sz w:val="17"/>
                <w:szCs w:val="17"/>
                <w:color w:val="auto"/>
              </w:rPr>
            </w:pPr>
          </w:p>
        </w:tc>
      </w:tr>
      <w:tr>
        <w:trPr>
          <w:trHeight w:val="23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March 31, 2024</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50,760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2,250,549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(798,503</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1,449,117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69"/>
        </w:trPr>
        <w:tc>
          <w:tcPr>
            <w:tcW w:w="30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38,074</w:t>
            </w:r>
          </w:p>
        </w:tc>
        <w:tc>
          <w:tcPr>
            <w:tcW w:w="100" w:type="dxa"/>
            <w:vAlign w:val="bottom"/>
          </w:tcPr>
          <w:p>
            <w:pPr>
              <w:spacing w:after="0"/>
              <w:rPr>
                <w:sz w:val="18"/>
                <w:szCs w:val="18"/>
                <w:color w:val="auto"/>
              </w:rPr>
            </w:pPr>
          </w:p>
        </w:tc>
      </w:tr>
      <w:tr>
        <w:trPr>
          <w:trHeight w:val="19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taxes paid</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(4,700)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(4,700)</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134,685</w:t>
            </w:r>
          </w:p>
        </w:tc>
        <w:tc>
          <w:tcPr>
            <w:tcW w:w="100" w:type="dxa"/>
            <w:vAlign w:val="bottom"/>
          </w:tcPr>
          <w:p>
            <w:pPr>
              <w:spacing w:after="0"/>
              <w:rPr>
                <w:sz w:val="17"/>
                <w:szCs w:val="17"/>
                <w:color w:val="auto"/>
              </w:rPr>
            </w:pPr>
          </w:p>
        </w:tc>
      </w:tr>
      <w:tr>
        <w:trPr>
          <w:trHeight w:val="18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of tax</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(1,842)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(1,842)</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(14,435)</w:t>
            </w: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(14,435)</w:t>
            </w:r>
          </w:p>
        </w:tc>
      </w:tr>
      <w:tr>
        <w:trPr>
          <w:trHeight w:val="23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June 30, 2024</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51,142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2,418,608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(812,938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1,600,899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69"/>
        </w:trPr>
        <w:tc>
          <w:tcPr>
            <w:tcW w:w="30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8"/>
                <w:szCs w:val="18"/>
                <w:color w:val="auto"/>
              </w:rPr>
            </w:pPr>
          </w:p>
        </w:tc>
      </w:tr>
      <w:tr>
        <w:trPr>
          <w:trHeight w:val="19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taxes paid</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(4,238)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(4,238)</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135,317</w:t>
            </w:r>
          </w:p>
        </w:tc>
        <w:tc>
          <w:tcPr>
            <w:tcW w:w="100" w:type="dxa"/>
            <w:vAlign w:val="bottom"/>
          </w:tcPr>
          <w:p>
            <w:pPr>
              <w:spacing w:after="0"/>
              <w:rPr>
                <w:sz w:val="17"/>
                <w:szCs w:val="17"/>
                <w:color w:val="auto"/>
              </w:rPr>
            </w:pPr>
          </w:p>
        </w:tc>
      </w:tr>
      <w:tr>
        <w:trPr>
          <w:trHeight w:val="18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of tax</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100" w:type="dxa"/>
            <w:vAlign w:val="bottom"/>
            <w:shd w:val="clear" w:color="auto" w:fill="CFF0FC"/>
          </w:tcPr>
          <w:p>
            <w:pPr>
              <w:spacing w:after="0"/>
              <w:rPr>
                <w:sz w:val="18"/>
                <w:szCs w:val="18"/>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00" w:type="dxa"/>
            <w:vAlign w:val="bottom"/>
          </w:tcPr>
          <w:p>
            <w:pPr>
              <w:spacing w:after="0"/>
              <w:rPr>
                <w:sz w:val="17"/>
                <w:szCs w:val="17"/>
                <w:color w:val="auto"/>
              </w:rPr>
            </w:pPr>
          </w:p>
        </w:tc>
      </w:tr>
      <w:tr>
        <w:trPr>
          <w:trHeight w:val="23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51,407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2,550,974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(804,792</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1,751,882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-2408555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-2390775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-2408555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-2390775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-2408555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-2390775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-2408555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-2390775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-2408555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-2390775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-2408555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-2390775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-2408555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-2390775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-1216660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-1199515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-1216660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-1199515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-1216660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-1199515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-1216660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-1199515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-1216660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-1199515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-1199515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-1216660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-1199515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6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(8,515)</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(355)</w:t>
            </w:r>
          </w:p>
        </w:tc>
      </w:tr>
      <w:tr>
        <w:trPr>
          <w:trHeight w:val="126"/>
        </w:trPr>
        <w:tc>
          <w:tcPr>
            <w:tcW w:w="64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and cash equivalents provided</w:t>
            </w:r>
          </w:p>
        </w:tc>
        <w:tc>
          <w:tcPr>
            <w:tcW w:w="1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by operating activities, net of acquisitions</w:t>
            </w: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64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97,726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68,447</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395,754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370,382</w:t>
            </w:r>
          </w:p>
        </w:tc>
        <w:tc>
          <w:tcPr>
            <w:tcW w:w="100" w:type="dxa"/>
            <w:vAlign w:val="bottom"/>
            <w:shd w:val="clear" w:color="auto" w:fill="CFF0FC"/>
          </w:tcPr>
          <w:p>
            <w:pPr>
              <w:spacing w:after="0"/>
              <w:rPr>
                <w:sz w:val="12"/>
                <w:szCs w:val="12"/>
                <w:color w:val="auto"/>
              </w:rPr>
            </w:pPr>
          </w:p>
        </w:tc>
      </w:tr>
      <w:tr>
        <w:trPr>
          <w:trHeight w:val="148"/>
        </w:trPr>
        <w:tc>
          <w:tcPr>
            <w:tcW w:w="64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Gain on strategic investments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(1,986)</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(18,555)</w:t>
            </w:r>
          </w:p>
        </w:tc>
      </w:tr>
      <w:tr>
        <w:trPr>
          <w:trHeight w:val="148"/>
        </w:trPr>
        <w:tc>
          <w:tcPr>
            <w:tcW w:w="642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Impairment of strategic investments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3,675</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4,094</w:t>
            </w:r>
          </w:p>
        </w:tc>
        <w:tc>
          <w:tcPr>
            <w:tcW w:w="100" w:type="dxa"/>
            <w:vAlign w:val="bottom"/>
            <w:shd w:val="clear" w:color="auto" w:fill="CFF0FC"/>
          </w:tcPr>
          <w:p>
            <w:pPr>
              <w:spacing w:after="0"/>
              <w:rPr>
                <w:sz w:val="12"/>
                <w:szCs w:val="12"/>
                <w:color w:val="auto"/>
              </w:rPr>
            </w:pPr>
          </w:p>
        </w:tc>
      </w:tr>
      <w:tr>
        <w:trPr>
          <w:trHeight w:val="149"/>
        </w:trPr>
        <w:tc>
          <w:tcPr>
            <w:tcW w:w="64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Provision for (benefit from) deferred income taxes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(611)</w:t>
            </w:r>
          </w:p>
        </w:tc>
      </w:tr>
      <w:tr>
        <w:trPr>
          <w:trHeight w:val="148"/>
        </w:trPr>
        <w:tc>
          <w:tcPr>
            <w:tcW w:w="642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FF0FC"/>
          </w:tcPr>
          <w:p>
            <w:pPr>
              <w:spacing w:after="0"/>
              <w:rPr>
                <w:sz w:val="12"/>
                <w:szCs w:val="12"/>
                <w:color w:val="auto"/>
              </w:rPr>
            </w:pPr>
          </w:p>
        </w:tc>
      </w:tr>
      <w:tr>
        <w:trPr>
          <w:trHeight w:val="148"/>
        </w:trPr>
        <w:tc>
          <w:tcPr>
            <w:tcW w:w="64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Accretion of bond discount</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(33,422)</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(36,694)</w:t>
            </w:r>
          </w:p>
        </w:tc>
      </w:tr>
      <w:tr>
        <w:trPr>
          <w:trHeight w:val="148"/>
        </w:trPr>
        <w:tc>
          <w:tcPr>
            <w:tcW w:w="642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Unrealized currency translation</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(1,835)</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(3,377)</w:t>
            </w:r>
          </w:p>
        </w:tc>
      </w:tr>
      <w:tr>
        <w:trPr>
          <w:trHeight w:val="148"/>
        </w:trPr>
        <w:tc>
          <w:tcPr>
            <w:tcW w:w="64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42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35,810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13,861</w:t>
            </w:r>
          </w:p>
        </w:tc>
        <w:tc>
          <w:tcPr>
            <w:tcW w:w="100" w:type="dxa"/>
            <w:vAlign w:val="bottom"/>
            <w:shd w:val="clear" w:color="auto" w:fill="CFF0FC"/>
          </w:tcPr>
          <w:p>
            <w:pPr>
              <w:spacing w:after="0"/>
              <w:rPr>
                <w:sz w:val="12"/>
                <w:szCs w:val="12"/>
                <w:color w:val="auto"/>
              </w:rPr>
            </w:pPr>
          </w:p>
        </w:tc>
      </w:tr>
      <w:tr>
        <w:trPr>
          <w:trHeight w:val="148"/>
        </w:trPr>
        <w:tc>
          <w:tcPr>
            <w:tcW w:w="64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(37,209)</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(8,606)</w:t>
            </w:r>
          </w:p>
        </w:tc>
      </w:tr>
      <w:tr>
        <w:trPr>
          <w:trHeight w:val="148"/>
        </w:trPr>
        <w:tc>
          <w:tcPr>
            <w:tcW w:w="642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Deferred commission expense</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(73,153)</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(61,425)</w:t>
            </w:r>
          </w:p>
        </w:tc>
      </w:tr>
      <w:tr>
        <w:trPr>
          <w:trHeight w:val="148"/>
        </w:trPr>
        <w:tc>
          <w:tcPr>
            <w:tcW w:w="64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26,461</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20,131</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FF0FC"/>
          </w:tcPr>
          <w:p>
            <w:pPr>
              <w:spacing w:after="0"/>
              <w:rPr>
                <w:sz w:val="12"/>
                <w:szCs w:val="12"/>
                <w:color w:val="auto"/>
              </w:rPr>
            </w:pPr>
          </w:p>
        </w:tc>
      </w:tr>
      <w:tr>
        <w:trPr>
          <w:trHeight w:val="149"/>
        </w:trPr>
        <w:tc>
          <w:tcPr>
            <w:tcW w:w="64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61,617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39,322</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(26,301)</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(32,555)</w:t>
            </w:r>
          </w:p>
        </w:tc>
      </w:tr>
      <w:tr>
        <w:trPr>
          <w:trHeight w:val="148"/>
        </w:trPr>
        <w:tc>
          <w:tcPr>
            <w:tcW w:w="64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61,367</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41,119</w:t>
            </w:r>
          </w:p>
        </w:tc>
        <w:tc>
          <w:tcPr>
            <w:tcW w:w="100" w:type="dxa"/>
            <w:vAlign w:val="bottom"/>
          </w:tcPr>
          <w:p>
            <w:pPr>
              <w:spacing w:after="0"/>
              <w:rPr>
                <w:sz w:val="12"/>
                <w:szCs w:val="12"/>
                <w:color w:val="auto"/>
              </w:rPr>
            </w:pPr>
          </w:p>
        </w:tc>
      </w:tr>
      <w:tr>
        <w:trPr>
          <w:trHeight w:val="142"/>
        </w:trPr>
        <w:tc>
          <w:tcPr>
            <w:tcW w:w="6420" w:type="dxa"/>
            <w:vAlign w:val="bottom"/>
            <w:tcBorders>
              <w:bottom w:val="single" w:sz="8" w:color="CFF0FC"/>
            </w:tcBorders>
            <w:shd w:val="clear" w:color="auto" w:fill="CFF0FC"/>
          </w:tcPr>
          <w:p>
            <w:pPr>
              <w:ind w:left="600"/>
              <w:spacing w:after="0" w:line="142" w:lineRule="exact"/>
              <w:rPr>
                <w:sz w:val="20"/>
                <w:szCs w:val="20"/>
                <w:color w:val="auto"/>
              </w:rPr>
            </w:pPr>
            <w:r>
              <w:rPr>
                <w:rFonts w:ascii="Times New Roman" w:cs="Times New Roman" w:eastAsia="Times New Roman" w:hAnsi="Times New Roman"/>
                <w:sz w:val="14"/>
                <w:szCs w:val="14"/>
                <w:color w:val="auto"/>
              </w:rPr>
              <w:t>Net cash and cash equivalents provided by operating activities</w:t>
            </w:r>
          </w:p>
        </w:tc>
        <w:tc>
          <w:tcPr>
            <w:tcW w:w="16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513,287</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404,458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(1,184,999)</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(1,486,338)</w:t>
            </w:r>
          </w:p>
        </w:tc>
      </w:tr>
      <w:tr>
        <w:trPr>
          <w:trHeight w:val="148"/>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Maturities of investments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1,885,937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1,155,555</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Sale of investment</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FF0FC"/>
          </w:tcPr>
          <w:p>
            <w:pPr>
              <w:spacing w:after="0"/>
              <w:rPr>
                <w:sz w:val="12"/>
                <w:szCs w:val="12"/>
                <w:color w:val="auto"/>
              </w:rPr>
            </w:pPr>
          </w:p>
        </w:tc>
      </w:tr>
      <w:tr>
        <w:trPr>
          <w:trHeight w:val="148"/>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(39,715)</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(25,213)</w:t>
            </w:r>
          </w:p>
        </w:tc>
      </w:tr>
      <w:tr>
        <w:trPr>
          <w:trHeight w:val="149"/>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Purchases of strategic investments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(27,747)</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(11,566)</w:t>
            </w:r>
          </w:p>
        </w:tc>
      </w:tr>
      <w:tr>
        <w:trPr>
          <w:trHeight w:val="148"/>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Purchases of intangible assets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30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Capitalization of software development costs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(100,355)</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(66,721)</w:t>
            </w:r>
          </w:p>
        </w:tc>
      </w:tr>
      <w:tr>
        <w:trPr>
          <w:trHeight w:val="148"/>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net working capital settlement</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12"/>
                <w:szCs w:val="12"/>
                <w:color w:val="auto"/>
              </w:rPr>
            </w:pPr>
          </w:p>
        </w:tc>
      </w:tr>
      <w:tr>
        <w:trPr>
          <w:trHeight w:val="149"/>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(71,471)</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4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20" w:type="dxa"/>
            <w:vAlign w:val="bottom"/>
          </w:tcPr>
          <w:p>
            <w:pPr>
              <w:ind w:left="600"/>
              <w:spacing w:after="0" w:line="142" w:lineRule="exact"/>
              <w:rPr>
                <w:sz w:val="20"/>
                <w:szCs w:val="20"/>
                <w:color w:val="auto"/>
              </w:rPr>
            </w:pPr>
            <w:r>
              <w:rPr>
                <w:rFonts w:ascii="Times New Roman" w:cs="Times New Roman" w:eastAsia="Times New Roman" w:hAnsi="Times New Roman"/>
                <w:sz w:val="14"/>
                <w:szCs w:val="14"/>
                <w:color w:val="auto"/>
              </w:rPr>
              <w:t>Net cash and cash equivalents provided by (used in) investing activities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461,371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(430,353)</w:t>
            </w:r>
          </w:p>
        </w:tc>
      </w:tr>
      <w:tr>
        <w:trPr>
          <w:trHeight w:val="142"/>
        </w:trPr>
        <w:tc>
          <w:tcPr>
            <w:tcW w:w="6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6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Employee taxes paid related to the net share settlement of stock-based awards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(18,176)</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(17,777)</w:t>
            </w:r>
          </w:p>
        </w:tc>
      </w:tr>
      <w:tr>
        <w:trPr>
          <w:trHeight w:val="148"/>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 for settlement of 2025 Convertible Notes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(459,811)</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related to the issuance of common stock under stock plans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62,717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61,211</w:t>
            </w:r>
          </w:p>
        </w:tc>
        <w:tc>
          <w:tcPr>
            <w:tcW w:w="100" w:type="dxa"/>
            <w:vAlign w:val="bottom"/>
          </w:tcPr>
          <w:p>
            <w:pPr>
              <w:spacing w:after="0"/>
              <w:rPr>
                <w:sz w:val="12"/>
                <w:szCs w:val="12"/>
                <w:color w:val="auto"/>
              </w:rPr>
            </w:pPr>
          </w:p>
        </w:tc>
      </w:tr>
      <w:tr>
        <w:trPr>
          <w:trHeight w:val="149"/>
        </w:trPr>
        <w:tc>
          <w:tcPr>
            <w:tcW w:w="64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(485,273)</w:t>
            </w:r>
          </w:p>
        </w:tc>
        <w:tc>
          <w:tcPr>
            <w:tcW w:w="3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4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20" w:type="dxa"/>
            <w:vAlign w:val="bottom"/>
          </w:tcPr>
          <w:p>
            <w:pPr>
              <w:ind w:left="600"/>
              <w:spacing w:after="0" w:line="142" w:lineRule="exact"/>
              <w:rPr>
                <w:sz w:val="20"/>
                <w:szCs w:val="20"/>
                <w:color w:val="auto"/>
              </w:rPr>
            </w:pPr>
            <w:r>
              <w:rPr>
                <w:rFonts w:ascii="Times New Roman" w:cs="Times New Roman" w:eastAsia="Times New Roman" w:hAnsi="Times New Roman"/>
                <w:sz w:val="14"/>
                <w:szCs w:val="14"/>
                <w:color w:val="auto"/>
              </w:rPr>
              <w:t>Net cash and cash equivalents (used in) provided by financing activities</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(900,543)</w:t>
            </w:r>
          </w:p>
        </w:tc>
        <w:tc>
          <w:tcPr>
            <w:tcW w:w="3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43,434</w:t>
            </w:r>
          </w:p>
        </w:tc>
        <w:tc>
          <w:tcPr>
            <w:tcW w:w="100" w:type="dxa"/>
            <w:vAlign w:val="bottom"/>
          </w:tcPr>
          <w:p>
            <w:pPr>
              <w:spacing w:after="0"/>
              <w:rPr>
                <w:sz w:val="12"/>
                <w:szCs w:val="12"/>
                <w:color w:val="auto"/>
              </w:rPr>
            </w:pPr>
          </w:p>
        </w:tc>
      </w:tr>
      <w:tr>
        <w:trPr>
          <w:trHeight w:val="142"/>
        </w:trPr>
        <w:tc>
          <w:tcPr>
            <w:tcW w:w="64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6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26,220</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4,534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100,335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22,073</w:t>
            </w:r>
          </w:p>
        </w:tc>
        <w:tc>
          <w:tcPr>
            <w:tcW w:w="100" w:type="dxa"/>
            <w:vAlign w:val="bottom"/>
          </w:tcPr>
          <w:p>
            <w:pPr>
              <w:spacing w:after="0"/>
              <w:rPr>
                <w:sz w:val="12"/>
                <w:szCs w:val="12"/>
                <w:color w:val="auto"/>
              </w:rPr>
            </w:pPr>
          </w:p>
        </w:tc>
      </w:tr>
      <w:tr>
        <w:trPr>
          <w:trHeight w:val="148"/>
        </w:trPr>
        <w:tc>
          <w:tcPr>
            <w:tcW w:w="64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6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516,720</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392,040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68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617,055</w:t>
            </w:r>
          </w:p>
        </w:tc>
        <w:tc>
          <w:tcPr>
            <w:tcW w:w="260" w:type="dxa"/>
            <w:vAlign w:val="bottom"/>
          </w:tcPr>
          <w:p>
            <w:pPr>
              <w:spacing w:after="0"/>
              <w:rPr>
                <w:sz w:val="12"/>
                <w:szCs w:val="12"/>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414,113</w:t>
            </w:r>
          </w:p>
        </w:tc>
        <w:tc>
          <w:tcPr>
            <w:tcW w:w="100" w:type="dxa"/>
            <w:vAlign w:val="bottom"/>
          </w:tcPr>
          <w:p>
            <w:pPr>
              <w:spacing w:after="0"/>
              <w:rPr>
                <w:sz w:val="12"/>
                <w:szCs w:val="12"/>
                <w:color w:val="auto"/>
              </w:rPr>
            </w:pPr>
          </w:p>
        </w:tc>
      </w:tr>
      <w:tr>
        <w:trPr>
          <w:trHeight w:val="20"/>
        </w:trPr>
        <w:tc>
          <w:tcPr>
            <w:tcW w:w="6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4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1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8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14,552</w:t>
            </w:r>
          </w:p>
        </w:tc>
        <w:tc>
          <w:tcPr>
            <w:tcW w:w="26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11,037</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800" w:type="dxa"/>
            <w:vAlign w:val="bottom"/>
            <w:gridSpan w:val="2"/>
            <w:shd w:val="clear" w:color="auto" w:fill="CFF0FC"/>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FF0FC"/>
          </w:tcPr>
          <w:p>
            <w:pPr>
              <w:spacing w:after="0"/>
              <w:rPr>
                <w:sz w:val="12"/>
                <w:szCs w:val="12"/>
                <w:color w:val="auto"/>
              </w:rPr>
            </w:pPr>
          </w:p>
        </w:tc>
      </w:tr>
      <w:tr>
        <w:trPr>
          <w:trHeight w:val="149"/>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18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26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incurred but not yet paid</w:t>
            </w:r>
          </w:p>
        </w:tc>
        <w:tc>
          <w:tcPr>
            <w:tcW w:w="18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w:t>
            </w:r>
          </w:p>
        </w:tc>
        <w:tc>
          <w:tcPr>
            <w:tcW w:w="26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2"/>
                <w:szCs w:val="12"/>
                <w:color w:val="auto"/>
              </w:rPr>
            </w:pPr>
          </w:p>
        </w:tc>
      </w:tr>
      <w:tr>
        <w:trPr>
          <w:trHeight w:val="148"/>
        </w:trPr>
        <w:tc>
          <w:tcPr>
            <w:tcW w:w="6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 in accrued expenses</w:t>
            </w:r>
          </w:p>
        </w:tc>
        <w:tc>
          <w:tcPr>
            <w:tcW w:w="1800" w:type="dxa"/>
            <w:vAlign w:val="bottom"/>
            <w:gridSpan w:val="2"/>
            <w:shd w:val="clear" w:color="auto" w:fill="CFF0FC"/>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14,746</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Settlement of Capped Call Options related to the 2025 Convertible Notes</w:t>
            </w:r>
          </w:p>
        </w:tc>
        <w:tc>
          <w:tcPr>
            <w:tcW w:w="18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50,600</w:t>
            </w:r>
          </w:p>
        </w:tc>
        <w:tc>
          <w:tcPr>
            <w:tcW w:w="26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4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-2914015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-1962150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-1379220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-1174115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-976630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HubSpot, Inc. (the “Company”) provides a customer platform that helps businesses connect and grow better. The Company delivers </w:t>
      </w:r>
      <w:r>
        <w:rPr>
          <w:rFonts w:ascii="Times New Roman" w:cs="Times New Roman" w:eastAsia="Times New Roman" w:hAnsi="Times New Roman"/>
          <w:sz w:val="18"/>
          <w:szCs w:val="18"/>
          <w:color w:val="212529"/>
        </w:rPr>
        <w:t>seamless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connection for customer-facing teams with a unified platform that includes three layers: Artificial Intelligence (</w:t>
      </w:r>
      <w:r>
        <w:rPr>
          <w:rFonts w:ascii="Times New Roman" w:cs="Times New Roman" w:eastAsia="Times New Roman" w:hAnsi="Times New Roman"/>
          <w:sz w:val="18"/>
          <w:szCs w:val="18"/>
          <w:color w:val="000000"/>
        </w:rPr>
        <w:t>“AI”)-</w:t>
      </w:r>
      <w:r>
        <w:rPr>
          <w:rFonts w:ascii="Times New Roman" w:cs="Times New Roman" w:eastAsia="Times New Roman" w:hAnsi="Times New Roman"/>
          <w:sz w:val="18"/>
          <w:szCs w:val="18"/>
          <w:color w:val="212529"/>
        </w:rPr>
        <w:t xml:space="preserve"> powered engagement hubs, a Smart </w:t>
      </w:r>
      <w:r>
        <w:rPr>
          <w:rFonts w:ascii="Times New Roman" w:cs="Times New Roman" w:eastAsia="Times New Roman" w:hAnsi="Times New Roman"/>
          <w:sz w:val="18"/>
          <w:szCs w:val="18"/>
          <w:color w:val="000000"/>
        </w:rPr>
        <w:t>customer relationship management product (“CRM”)</w:t>
      </w:r>
      <w:r>
        <w:rPr>
          <w:rFonts w:ascii="Times New Roman" w:cs="Times New Roman" w:eastAsia="Times New Roman" w:hAnsi="Times New Roman"/>
          <w:sz w:val="18"/>
          <w:szCs w:val="18"/>
          <w:color w:val="212529"/>
        </w:rPr>
        <w:t>, and a connected ecosystem that extends the customer platform with app marketplace integrations,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community network, and an academy of educational content.</w:t>
      </w:r>
    </w:p>
    <w:p>
      <w:pPr>
        <w:spacing w:after="0" w:line="13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AI-powered engagement hubs include Marketing, Sales, Service, Data, Content, and Commerce, as well as other tools and integrations that enable companies to attract, engage, and delight customers throughout the customer experience. The Smart CRM is the foundational layer that combines customer data with AI to power the entire customer platform.</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unaudited consolidated </w:t>
      </w:r>
      <w:r>
        <w:rPr>
          <w:rFonts w:ascii="Times New Roman" w:cs="Times New Roman" w:eastAsia="Times New Roman" w:hAnsi="Times New Roman"/>
          <w:sz w:val="18"/>
          <w:szCs w:val="18"/>
          <w:color w:val="212529"/>
        </w:rPr>
        <w:t>financial statements have been prepared in accordance with generally accepted accounting principles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cs="Times New Roman" w:eastAsia="Times New Roman" w:hAnsi="Times New Roman"/>
          <w:sz w:val="18"/>
          <w:szCs w:val="18"/>
          <w:color w:val="000000"/>
        </w:rPr>
        <w:t>December 31, 2024, and these consolidated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to be expected for any subsequent quarter or for the entire year ending December 31, 2025. The December 31, 2024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3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audited consolidated financial statements and related notes contained in the Company’s Annual Report on Form 10-K filed with the SEC on February 12, 2025. Other than the addition of the accounting policy related to share repurchases in Note 14, there have been no changes in the Company’s significant accounting policies from those that were disclosed in the Company’s Annual Report on Form 10-K that have had a material impact on our consolidated financial statements and related notes.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 accounting standards not included below are not expected to have a material impact on our consolidated financial statements.</w:t>
      </w:r>
    </w:p>
    <w:p>
      <w:pPr>
        <w:spacing w:after="0" w:line="18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is effective for the Company for the annual period beginning on January 1, 2025. The adoption of this standard only impacts annual disclosures and is not expected to have a material impact on the Company's consolidated financial statements.</w:t>
      </w:r>
    </w:p>
    <w:p>
      <w:pPr>
        <w:spacing w:after="0" w:line="13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guidance that requires the disclosure about specific types of expenses included in the expense captions presented on the face of the income statement. The new standard will be effective for the Company for the annual period beginning January 1, 2027, and for interim periods beginning January 1, 2028, with early adoption permitted. The adoption of this standard only impacts annual and quarterly disclosures and is not expected to have a material impact on the Company's consolidated financial statements.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guidance which modernizes the accounting for internal-use software costs. The guidance removes all references to software project development stages and clarifies the recognition threshold entities must meet to begin capitalizing costs. The new standard will be effective for the Company for the annual and interim periods beginning January 1, 2028, with early adoption permitted. The Company is currently evaluating the impact that the adoption of this standard will have on its consolidated financial statements and disclosures.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geographic region (Note 15)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Commission Expense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$488.5 million of revenue was recognized during the three months ended September 30, 2025 that was included in deferred revenue at the beginning of the period. $745.5 million of revenue was recognized during the nine months ended September 30, 2025 that was included in deferred revenue at the beginning of the period. As of September 30, 2025, approximately $1.4 billion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Additional contract liabilities of $5.6 million and $6.4 million were included in accrued expenses and other current liabilities on the consolidated balance sheet as of September 30, 2025 and December 31, 2024.</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incremental direct costs of obtaining a contract, which primarily consist of employee sales and Solutions Partners commissions paid for new subscription contracts, are deferred and amortized on a straight-line basis over a period of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Deferred commission expense during the three months ended September 30, 2025 increased by $23.0 million as a result of deferring incremental costs of obtaining a contract of $77.5 million and was offset by amortization of $54.5 million during the same period. Deferred commission expense during the nine months ended September 30, 2025 increased by $90.6 million as a result of deferring incremental costs of obtaining a contract of $219.7 million and was offset by amortization of $129.1 million during the same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10) are considered to be potential common stock equivalents.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denominator used in the calculation of basic and diluted net income (loss) per share is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(8,515)</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78"/>
        </w:trPr>
        <w:tc>
          <w:tcPr>
            <w:tcW w:w="48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w:t>
            </w: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Dilutive effect of share equivalents resulting from</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 RSUs, ESPP, PSUs, and the</w:t>
            </w:r>
          </w:p>
        </w:tc>
        <w:tc>
          <w:tcPr>
            <w:tcW w:w="1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Conversion Options</w:t>
            </w:r>
          </w:p>
        </w:tc>
        <w:tc>
          <w:tcPr>
            <w:tcW w:w="1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52,671</w:t>
            </w:r>
          </w:p>
        </w:tc>
        <w:tc>
          <w:tcPr>
            <w:tcW w:w="22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51,778</w:t>
            </w: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52,454</w:t>
            </w:r>
          </w:p>
        </w:tc>
        <w:tc>
          <w:tcPr>
            <w:tcW w:w="2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income per share, diluted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-1311275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-1293495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-1311275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-1311275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-1293495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-1311275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-608330</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-608330</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-608330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-608330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treasury stock method and the average market price per share during the period for calculating any potential dilutive effect of the stock options, RSUs, ESPPs, and PSUs.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Since the Company incurred net losses for the nine months ended September 30, 2025 and 2024, diluted net loss per share is the same as basic net loss per share. All of the Company’s outstanding stock options, RSUs, PSUs, and shares issuable under the ESPP, as well as the Conversion Options were excluded in the calculation of diluted net loss per share as the effect would be anti-dilutive.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number of shares outstanding used in the computation of diluted net income (loss) per share does not include the effect of the following potentially outstanding common stock, as the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60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34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20" w:type="dxa"/>
            <w:vAlign w:val="bottom"/>
            <w:gridSpan w:val="2"/>
          </w:tcPr>
          <w:p>
            <w:pPr>
              <w:spacing w:after="0"/>
              <w:rPr>
                <w:sz w:val="12"/>
                <w:szCs w:val="12"/>
                <w:color w:val="auto"/>
              </w:rPr>
            </w:pPr>
          </w:p>
        </w:tc>
        <w:tc>
          <w:tcPr>
            <w:tcW w:w="74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2"/>
          </w:tcPr>
          <w:p>
            <w:pPr>
              <w:jc w:val="right"/>
              <w:ind w:right="782"/>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PSUs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Option of the 2025 Notes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630"/>
        </w:trPr>
        <w:tc>
          <w:tcPr>
            <w:tcW w:w="5860" w:type="dxa"/>
            <w:vAlign w:val="bottom"/>
            <w:gridSpan w:val="3"/>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0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35"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18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the Company’s financial assets and liabilities at September 30,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(in</w:t>
            </w:r>
          </w:p>
        </w:tc>
        <w:tc>
          <w:tcPr>
            <w:tcW w:w="1380" w:type="dxa"/>
            <w:vAlign w:val="bottom"/>
            <w:gridSpan w:val="3"/>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137,327</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137,327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277,416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277,416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692,169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692,169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Strategic investments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137,327</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1,047,440</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1,201,671</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00" w:type="dxa"/>
            <w:vAlign w:val="bottom"/>
            <w:gridSpan w:val="3"/>
            <w:shd w:val="clear" w:color="auto" w:fill="CFF0FC"/>
          </w:tcPr>
          <w:p>
            <w:pPr>
              <w:jc w:val="center"/>
              <w:ind w:left="4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284,575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284,575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1,307,363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1,307,363</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Strategic investments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1,718,301</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1,791,819</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6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-4053840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-4036695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-4053840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-4036695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-4053840</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-4036695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-4053840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-4036695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-3470910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-3453765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-3470910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-3453765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-3470910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-3453765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-3470910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-3453765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-1516380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-1499870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-1516380</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-1499870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-1516380</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-1499870</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-1516380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-1499870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-933450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-916305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-933450</wp:posOffset>
            </wp:positionV>
            <wp:extent cx="59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30, 2025 and December 31, 2024,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Foreign currency derivative assets and liabilities are classified as Level 2 and are valued using observable inputs, such as quotations on forward and spot rates for currencies, interest rates and credit derivative market rates.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Restricted cash is comprised of money market funds related to landlord guarantees for leased facilities. These restricted cash balances have been excluded from our cash and cash equivalents balance in our consolidated balance sheets.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composition of our short- and long-term investments at September 30, 2025 and December 31, 2024.</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3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20" w:type="dxa"/>
            <w:vAlign w:val="bottom"/>
          </w:tcPr>
          <w:p>
            <w:pPr>
              <w:spacing w:after="0"/>
              <w:rPr>
                <w:sz w:val="10"/>
                <w:szCs w:val="10"/>
                <w:color w:val="auto"/>
              </w:rPr>
            </w:pPr>
          </w:p>
        </w:tc>
      </w:tr>
      <w:tr>
        <w:trPr>
          <w:trHeight w:val="173"/>
        </w:trPr>
        <w:tc>
          <w:tcPr>
            <w:tcW w:w="3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4"/>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2,248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277,416</w:t>
            </w: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71,865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71,928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692,169</w:t>
            </w: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1,042,303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1,475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1,043,761</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520"/>
        </w:trPr>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7"/>
        </w:trPr>
        <w:tc>
          <w:tcPr>
            <w:tcW w:w="3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20" w:type="dxa"/>
            <w:vAlign w:val="bottom"/>
          </w:tcPr>
          <w:p>
            <w:pPr>
              <w:spacing w:after="0"/>
              <w:rPr>
                <w:sz w:val="10"/>
                <w:szCs w:val="10"/>
                <w:color w:val="auto"/>
              </w:rPr>
            </w:pPr>
          </w:p>
        </w:tc>
      </w:tr>
      <w:tr>
        <w:trPr>
          <w:trHeight w:val="173"/>
        </w:trPr>
        <w:tc>
          <w:tcPr>
            <w:tcW w:w="3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4"/>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4,941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4,941</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284,575</w:t>
            </w: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117,369</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1,304,155</w:t>
            </w: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1,709,820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1,711,040</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-1388110</wp:posOffset>
            </wp:positionV>
            <wp:extent cx="59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-1370965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-1388110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-1370965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-1388110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-1370965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-1388110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-1370965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59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available-for-sale debt securities, any realized gains and losses are determined based on the specific identification method and are reported in other (expense) income in the consolidated statements of operations. For securities in an unrealized loss position, the Company first assesses whether it intends to sell or if it is more likely than not that the Company will be required to sell the security before the recovery of its entire amortized cost basis. If either of these criteria is met, the security’s amortized cost basis is written down to fair value through other (expense) income in the consolidated statements of operations. The Company does not intend to sell these investments and it is more likely than not that the Company will not be required to sell these investments before recovery of their amortized cost basis.</w:t>
      </w:r>
    </w:p>
    <w:p>
      <w:pPr>
        <w:spacing w:after="0" w:line="14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If neither of the above criteria is met, the Company further assesses whether the decline in fair value below amortized cost is due to credit or non-credit 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(expense) income in the consolidated statements of operations. Non-credit related unrealized losses and unrealized gains on available-for-sale debt securities are included in accumulated other comprehensive income (loss). In considering the underlying risk of its portfolio, the Company notes that it has a zero-loss expectation for U.S. treasury and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U.S. government agency securities, which represents the majority of its debt investment available-for-sale securities portfolio. As of September 30, 2025 and December 31, 2024, no allowance for credit losses in investments was recorded.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short-term and long-term investments held at September 30, 2025 and December 31, 2024 are as follows: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3"/>
                <w:szCs w:val="13"/>
                <w:color w:val="auto"/>
              </w:rPr>
            </w:pPr>
          </w:p>
        </w:tc>
        <w:tc>
          <w:tcPr>
            <w:tcW w:w="24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17"/>
        </w:trPr>
        <w:tc>
          <w:tcPr>
            <w:tcW w:w="4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r>
      <w:tr>
        <w:trPr>
          <w:trHeight w:val="173"/>
        </w:trPr>
        <w:tc>
          <w:tcPr>
            <w:tcW w:w="4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3"/>
          </w:tcPr>
          <w:p>
            <w:pPr>
              <w:jc w:val="center"/>
              <w:ind w:right="71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870,786</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871,547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1,555,656</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1,556,828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2 years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172,214</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154,164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154,212</w:t>
            </w:r>
          </w:p>
        </w:tc>
      </w:tr>
      <w:tr>
        <w:trPr>
          <w:trHeight w:val="20"/>
        </w:trPr>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1,042,303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1,043,761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1,709,820</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1,711,040</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strategic investments in non-marketable equity securities of privately held companies. These investments are included in other assets on the consolidated balance sheets.</w:t>
      </w:r>
    </w:p>
    <w:p>
      <w:pPr>
        <w:spacing w:after="0" w:line="13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1D1C1D"/>
        </w:rPr>
        <w:t>Strategic investments that consist of non-controlling equity investments without readily determinable fair values in privately held companies f</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which the Company does not have the ability to exercise significant influence are measured under the measurement alternative method. Under the measurement alternative method of accounting, the non-marketable equity securities are carried at cost less any impairment, plus or minus adjustments resulting from observable price changes in orderly transactions for the identical or a similar investment of the same issuer. Any associated gains and losses are recorded in other (expense) income in the consolidated statement of operations. T</w:t>
      </w:r>
      <w:r>
        <w:rPr>
          <w:rFonts w:ascii="Times New Roman" w:cs="Times New Roman" w:eastAsia="Times New Roman" w:hAnsi="Times New Roman"/>
          <w:sz w:val="18"/>
          <w:szCs w:val="18"/>
          <w:color w:val="1D1C1D"/>
        </w:rPr>
        <w:t>he Company has certain other non-marketable strategic investments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D1C1D"/>
        </w:rPr>
        <w:t>that do not qualify for the measurement alternative method. These investments are measured at fair value with any gains and losses recorded in other (expense) income in the consolidated statement of operations.</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Strategic investments that consist of non-controlling equity investments without readily determinable fair values, in which the Company has significant influence over the investee’s operating and financial policies, are accounted for under the equity method of accounting. Under the equity method of accounting, the Company's proportionate share of the investments' net earnings are recorded in other (expense) income in the consolidated statements of operations and the related increase or decrease to the investment balance is recorded on the consolidated balance sheets.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values of Company’s strategic investments broken down by categories mentioned above are as follows: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24"/>
        </w:trPr>
        <w:tc>
          <w:tcPr>
            <w:tcW w:w="4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right"/>
              <w:ind w:right="76"/>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700" w:type="dxa"/>
            <w:vAlign w:val="bottom"/>
            <w:gridSpan w:val="3"/>
          </w:tcPr>
          <w:p>
            <w:pPr>
              <w:jc w:val="center"/>
              <w:ind w:right="1074"/>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0"/>
                <w:szCs w:val="10"/>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Measurement alternative method</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88,235</w:t>
            </w:r>
          </w:p>
        </w:tc>
        <w:tc>
          <w:tcPr>
            <w:tcW w:w="3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72,456</w:t>
            </w:r>
          </w:p>
        </w:tc>
        <w:tc>
          <w:tcPr>
            <w:tcW w:w="100" w:type="dxa"/>
            <w:vAlign w:val="bottom"/>
          </w:tcPr>
          <w:p>
            <w:pPr>
              <w:spacing w:after="0"/>
              <w:rPr>
                <w:sz w:val="20"/>
                <w:szCs w:val="20"/>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00" w:type="dxa"/>
            <w:vAlign w:val="bottom"/>
          </w:tcPr>
          <w:p>
            <w:pPr>
              <w:spacing w:after="0"/>
              <w:rPr>
                <w:sz w:val="18"/>
                <w:szCs w:val="18"/>
                <w:color w:val="auto"/>
              </w:rPr>
            </w:pPr>
          </w:p>
        </w:tc>
      </w:tr>
      <w:tr>
        <w:trPr>
          <w:trHeight w:val="230"/>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119,602</w:t>
            </w:r>
          </w:p>
        </w:tc>
        <w:tc>
          <w:tcPr>
            <w:tcW w:w="360" w:type="dxa"/>
            <w:vAlign w:val="bottom"/>
            <w:gridSpan w:val="2"/>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w:t>
            </w:r>
          </w:p>
        </w:tc>
        <w:tc>
          <w:tcPr>
            <w:tcW w:w="100" w:type="dxa"/>
            <w:vAlign w:val="bottom"/>
            <w:shd w:val="clear" w:color="auto" w:fill="CFF0FC"/>
          </w:tcPr>
          <w:p>
            <w:pPr>
              <w:spacing w:after="0"/>
              <w:rPr>
                <w:sz w:val="19"/>
                <w:szCs w:val="19"/>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associated with the Company’s strategic investments, which is reported on the Company’s consolidated statement of operations as other (expense)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Strategic investments:</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0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Gains</w:t>
            </w:r>
          </w:p>
        </w:tc>
        <w:tc>
          <w:tcPr>
            <w:tcW w:w="1540" w:type="dxa"/>
            <w:vAlign w:val="bottom"/>
            <w:gridSpan w:val="2"/>
            <w:shd w:val="clear" w:color="auto" w:fill="CFF0FC"/>
          </w:tcPr>
          <w:p>
            <w:pPr>
              <w:jc w:val="center"/>
              <w:ind w:left="10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10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included in other income</w:t>
            </w:r>
          </w:p>
        </w:tc>
        <w:tc>
          <w:tcPr>
            <w:tcW w:w="1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center"/>
              <w:ind w:right="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4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17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-933450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-916305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-933450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-916305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6. Derivatives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Company is subject to master netting arrangements with certain counterparties of the contracts, under which the Company is allowed to net settle transactions of the same currency. The Company's policy is to present the derivatives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September 30, 2025, the Company had designated cash flow hedge forward contracts with notional amounts equivalent to $43.4 million.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hedges</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hedge certain foreign currency denominated monetary assets or liabilities, which are not designated as cash flow hedges. These contracts have maturities of 12 months or less. Changes in the value of the foreign exchange contracts are recognized in other (expense) income, net and are designed to offset the foreign exchange gain or loss on the underlying net monetary assets or liabilities. Cash flows from the settlement of these forward contracts are classified as operating activities on the consolidated statements of cash flows. As of September 30, 2025, the Company had non-designated forward contracts with notional amounts of $42.5 million.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the fair value of derivative financial instruments as of September 30, 2025 and December 31, 2024:</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5"/>
          </w:tcPr>
          <w:p>
            <w:pPr>
              <w:ind w:left="9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Balance sheet hedges</w:t>
            </w:r>
          </w:p>
        </w:tc>
        <w:tc>
          <w:tcPr>
            <w:tcW w:w="1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Cash flow hedges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-710565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-710565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78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of foreign currency forward contracts designated as hedging instruments and the impact of these derivatives on AOCI:</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80" w:type="dxa"/>
            <w:vAlign w:val="bottom"/>
          </w:tcPr>
          <w:p>
            <w:pPr>
              <w:spacing w:after="0"/>
              <w:rPr>
                <w:sz w:val="12"/>
                <w:szCs w:val="12"/>
                <w:color w:val="auto"/>
              </w:rPr>
            </w:pPr>
          </w:p>
        </w:tc>
        <w:tc>
          <w:tcPr>
            <w:tcW w:w="1000" w:type="dxa"/>
            <w:vAlign w:val="bottom"/>
            <w:tcBorders>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gridSpan w:val="3"/>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Beginning accumulated other comprehensive (income) loss at January 1</w:t>
            </w:r>
          </w:p>
        </w:tc>
        <w:tc>
          <w:tcPr>
            <w:tcW w:w="1000" w:type="dxa"/>
            <w:vAlign w:val="bottom"/>
            <w:shd w:val="clear" w:color="auto" w:fill="CFF0FC"/>
          </w:tcPr>
          <w:p>
            <w:pPr>
              <w:jc w:val="right"/>
              <w:ind w:right="84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tcBorders>
              <w:right w:val="single" w:sz="8" w:color="CFF0FC"/>
            </w:tcBorders>
            <w:shd w:val="clear" w:color="auto" w:fill="CFF0FC"/>
          </w:tcPr>
          <w:p>
            <w:pPr>
              <w:spacing w:after="0"/>
              <w:rPr>
                <w:sz w:val="17"/>
                <w:szCs w:val="17"/>
                <w:color w:val="auto"/>
              </w:rPr>
            </w:pP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losses recognized in other comprehensive income, net of tax</w:t>
            </w:r>
          </w:p>
        </w:tc>
        <w:tc>
          <w:tcPr>
            <w:tcW w:w="10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(1,605)</w:t>
            </w: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losses reclassified from AOCI to earnings</w:t>
            </w:r>
          </w:p>
        </w:tc>
        <w:tc>
          <w:tcPr>
            <w:tcW w:w="1000" w:type="dxa"/>
            <w:vAlign w:val="bottom"/>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(397)</w:t>
            </w:r>
          </w:p>
        </w:tc>
        <w:tc>
          <w:tcPr>
            <w:tcW w:w="10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(310)</w:t>
            </w:r>
          </w:p>
        </w:tc>
      </w:tr>
      <w:tr>
        <w:trPr>
          <w:trHeight w:val="20"/>
        </w:trPr>
        <w:tc>
          <w:tcPr>
            <w:tcW w:w="67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Ending accumulated other comprehensive (income) loss at September 30</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(1,081)</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-161925</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 of hedges on the consolidated statements of operations are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3"/>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40" w:type="dxa"/>
            <w:vAlign w:val="bottom"/>
          </w:tcPr>
          <w:p>
            <w:pPr>
              <w:spacing w:after="0"/>
              <w:rPr>
                <w:sz w:val="15"/>
                <w:szCs w:val="15"/>
                <w:color w:val="auto"/>
              </w:rPr>
            </w:pPr>
          </w:p>
        </w:tc>
        <w:tc>
          <w:tcPr>
            <w:tcW w:w="18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5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2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2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Income (losses) reclassified from AOCI related to cash flow hedges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center"/>
              <w:ind w:left="603"/>
              <w:spacing w:after="0"/>
              <w:rPr>
                <w:sz w:val="20"/>
                <w:szCs w:val="20"/>
                <w:color w:val="auto"/>
              </w:rPr>
            </w:pPr>
            <w:r>
              <w:rPr>
                <w:rFonts w:ascii="Times New Roman" w:cs="Times New Roman" w:eastAsia="Times New Roman" w:hAnsi="Times New Roman"/>
                <w:sz w:val="17"/>
                <w:szCs w:val="17"/>
                <w:color w:val="auto"/>
              </w:rPr>
              <w:t>162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(254)</w:t>
            </w: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(397)</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(310)</w:t>
            </w:r>
          </w:p>
        </w:tc>
      </w:tr>
      <w:tr>
        <w:trPr>
          <w:trHeight w:val="203"/>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Gains related to non-designated hedges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2"/>
        </w:trPr>
        <w:tc>
          <w:tcPr>
            <w:tcW w:w="5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(expense) income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center"/>
              <w:ind w:left="603"/>
              <w:spacing w:after="0"/>
              <w:rPr>
                <w:sz w:val="20"/>
                <w:szCs w:val="20"/>
                <w:color w:val="auto"/>
              </w:rPr>
            </w:pPr>
            <w:r>
              <w:rPr>
                <w:rFonts w:ascii="Times New Roman" w:cs="Times New Roman" w:eastAsia="Times New Roman" w:hAnsi="Times New Roman"/>
                <w:sz w:val="17"/>
                <w:szCs w:val="17"/>
                <w:color w:val="auto"/>
              </w:rPr>
              <w:t>428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178"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estimates the net amount of unrealized gain (losses) before tax on the foreign currency contracts expected to be reclassified into revenue over the next 12 months is approximately $0.5 million.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Restricted Cash</w:t>
      </w:r>
    </w:p>
    <w:p>
      <w:pPr>
        <w:spacing w:after="0" w:line="20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 of cash flows for the nine months ended September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614,352</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410,060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Restricted cash, included in prepaid expenses and</w:t>
            </w:r>
          </w:p>
        </w:tc>
        <w:tc>
          <w:tcPr>
            <w:tcW w:w="4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3"/>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617,055</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414,113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1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4"/>
          </w:tcPr>
          <w:p>
            <w:pPr>
              <w:jc w:val="right"/>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computer equipment</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122,408</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(167,032)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(146,577)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-2416810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-2416810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-2416810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-453390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$8.7 million for the three months ended September 30, 2025, $24.8 million for the nine months ended September 30, 2025, $7.8 million for the three months ended September 30, 2024 and $21.9 million for the nine months ended September 30,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Capitalized Software Development Costs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Capitalized software development costs, exclusive of those recorded within property and equipment,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gridSpan w:val="2"/>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20" w:type="dxa"/>
            <w:vAlign w:val="bottom"/>
            <w:gridSpan w:val="4"/>
          </w:tcPr>
          <w:p>
            <w:pPr>
              <w:jc w:val="right"/>
              <w:ind w:right="115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0" w:type="dxa"/>
            <w:vAlign w:val="bottom"/>
            <w:gridSpan w:val="2"/>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capitalized software development costs</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500,535</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374,127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(219,643)</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154,484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84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9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-933450</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-916305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9" w:name="page20"/>
    <w:bookmarkEnd w:id="19"/>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These capitalized software development costs are associated with software developed for the Company's customer platform. Capitalized software development costs recorded within property and equipment are associated with software developed for Company use.</w:t>
      </w:r>
    </w:p>
    <w:p>
      <w:pPr>
        <w:spacing w:after="0" w:line="13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Amortization of capitalized software development costs, exclusive of costs recorded within property and equipment, was $33.2 million for the three months ended September 30, 2025, $88.8 million for the nine months ended September 30, 2025, $21.0 million for three months ended September 30, 2024, and $54.8 million for the nine months ended September 30, 2024. Amortization expense is included in cost of subscription revenue in the consolidated statement of operations.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Senior Notes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 and Capped Call Options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was fixed at 0.375% per annum and was payable semi-annually in arrears on June 1 and December 1 of each year. The total net proceeds from the debt offering, after deducting initial purchase discounts and debt issuance costs, were approximately $450.1 million.</w:t>
      </w:r>
    </w:p>
    <w:p>
      <w:pPr>
        <w:spacing w:after="0" w:line="1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Each $1,000 of principal amount of the 2025 Notes was initially convertible into 3.5396 shares of the Company’s common stock (the “Conversion Option of the 2025 Notes”), which was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could convert their 2025 Notes at any time, under certain circumstances as described in the indenture governing the 2025 Notes (the “Indenture”). Upon conversion, the Company would pay or deliver, as the case may be, cash, shares of the Company’s common stock or combination of cash and shares of the Company’s common stock, at the Company’s election. During the six months ended June 30, 2025, upon the election of holders to convert, the Company settled $233.4 million of principal balance of the 2025 Notes in cash and issued 0.5 million shares for the conversion premium in excess of the principal amount. In June 2025, upon the maturity of the 2025 Notes, the Company paid $225.6 million to satisfy the remaining aggregate principal amount due and issued 0.4 million shares for the conversion premium in excess of the principal amount.</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related to the 2025 Notes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20" w:type="dxa"/>
            <w:vAlign w:val="bottom"/>
            <w:tcBorders>
              <w:bottom w:val="single" w:sz="8" w:color="auto"/>
            </w:tcBorders>
            <w:gridSpan w:val="5"/>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r>
      <w:tr>
        <w:trPr>
          <w:trHeight w:val="142"/>
        </w:trPr>
        <w:tc>
          <w:tcPr>
            <w:tcW w:w="3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3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5"/>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6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FF0F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8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18"/>
                <w:szCs w:val="18"/>
                <w:color w:val="auto"/>
              </w:rPr>
            </w:pPr>
          </w:p>
        </w:tc>
      </w:tr>
      <w:tr>
        <w:trPr>
          <w:trHeight w:val="249"/>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interest expense</w:t>
            </w:r>
          </w:p>
        </w:tc>
        <w:tc>
          <w:tcPr>
            <w:tcW w:w="8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-25400</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2025 Notes, the Company purchased capped call options (“Capped Call Options”) with respect to its common stock for $50.6 million. The Capped Call Options were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Upon the maturity of the 2025 Notes, the Capped Call Options were exercised, which the Company net share settled and received 0.4 million shares of its common stock. At settlement, the $50.6 million paid for the Capped Call Options was recorded in treasury stock and netted within additional paid-in capital.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leases office facilities under non-cancelable operating leases that expire at various dates through February 2035.</w:t>
      </w:r>
    </w:p>
    <w:p>
      <w:pPr>
        <w:spacing w:after="0" w:line="19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Operating lease expense and cash payments related to operating lease liabilities for the three and nine months ended September 30, 2025 and 2024 are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0" w:name="page21"/>
    <w:bookmarkEnd w:id="20"/>
    <w:tbl>
      <w:tblPr>
        <w:tblLayout w:type="fixed"/>
        <w:tblInd w:w="86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83"/>
        </w:trPr>
        <w:tc>
          <w:tcPr>
            <w:tcW w:w="2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78"/>
        </w:trPr>
        <w:tc>
          <w:tcPr>
            <w:tcW w:w="2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3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tcPr>
          <w:p>
            <w:pPr>
              <w:spacing w:after="0"/>
              <w:rPr>
                <w:sz w:val="20"/>
                <w:szCs w:val="20"/>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100" w:type="dxa"/>
            <w:vAlign w:val="bottom"/>
            <w:shd w:val="clear" w:color="auto" w:fill="CFF0FC"/>
          </w:tcPr>
          <w:p>
            <w:pPr>
              <w:spacing w:after="0"/>
              <w:rPr>
                <w:sz w:val="18"/>
                <w:szCs w:val="18"/>
                <w:color w:val="auto"/>
              </w:rPr>
            </w:pPr>
          </w:p>
        </w:tc>
      </w:tr>
    </w:tbl>
    <w:p>
      <w:pPr>
        <w:spacing w:after="0" w:line="15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subleases some of its unused spaces to third parties. Operating sublease income generated under all operating lease agreements for the three and nine months ended September 30, 2025 and 2024 are as follows:</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209"/>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23"/>
        </w:trPr>
        <w:tc>
          <w:tcPr>
            <w:tcW w:w="36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center"/>
              <w:ind w:left="6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sublease income</w:t>
            </w:r>
          </w:p>
        </w:tc>
        <w:tc>
          <w:tcPr>
            <w:tcW w:w="1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1,867 $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5,196 $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Pr>
          <w:p>
            <w:pPr>
              <w:spacing w:after="0"/>
              <w:rPr>
                <w:sz w:val="20"/>
                <w:szCs w:val="20"/>
                <w:color w:val="auto"/>
              </w:rPr>
            </w:pPr>
          </w:p>
        </w:tc>
      </w:tr>
    </w:tbl>
    <w:p>
      <w:pPr>
        <w:spacing w:after="0" w:line="364" w:lineRule="exact"/>
        <w:rPr>
          <w:sz w:val="20"/>
          <w:szCs w:val="20"/>
          <w:color w:val="auto"/>
        </w:rPr>
      </w:pPr>
    </w:p>
    <w:p>
      <w:pPr>
        <w:ind w:left="540" w:right="8420" w:hanging="532"/>
        <w:spacing w:after="0" w:line="483" w:lineRule="auto"/>
        <w:tabs>
          <w:tab w:leader="none" w:pos="27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Contractual Obligations</w:t>
      </w: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$93.1 million.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under all operating lease agreements as of September 30, 2025 are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80" w:type="dxa"/>
            <w:vAlign w:val="bottom"/>
          </w:tcPr>
          <w:p>
            <w:pPr>
              <w:spacing w:after="0"/>
              <w:rPr>
                <w:sz w:val="20"/>
                <w:szCs w:val="20"/>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50,202</w:t>
            </w:r>
          </w:p>
        </w:tc>
        <w:tc>
          <w:tcPr>
            <w:tcW w:w="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37,647</w:t>
            </w:r>
          </w:p>
        </w:tc>
        <w:tc>
          <w:tcPr>
            <w:tcW w:w="8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131,470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328,233</w:t>
            </w:r>
          </w:p>
        </w:tc>
        <w:tc>
          <w:tcPr>
            <w:tcW w:w="8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certain non-cancelable vendor commitments, which require the future purchase of goods or services. Future minimum payments under all non-cancelable vendor commitments as of September 30, 2025 are as follows:</w:t>
      </w:r>
    </w:p>
    <w:p>
      <w:pPr>
        <w:spacing w:after="0" w:line="14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80" w:type="dxa"/>
            <w:vAlign w:val="bottom"/>
          </w:tcPr>
          <w:p>
            <w:pPr>
              <w:spacing w:after="0"/>
              <w:rPr>
                <w:sz w:val="20"/>
                <w:szCs w:val="20"/>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257,430</w:t>
            </w: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199,201</w:t>
            </w:r>
          </w:p>
        </w:tc>
        <w:tc>
          <w:tcPr>
            <w:tcW w:w="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487,468</w:t>
            </w:r>
          </w:p>
        </w:tc>
        <w:tc>
          <w:tcPr>
            <w:tcW w:w="80" w:type="dxa"/>
            <w:vAlign w:val="bottom"/>
            <w:tcBorders>
              <w:top w:val="single" w:sz="8" w:color="CFF0FC"/>
            </w:tcBorders>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0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13. Changes in Accumulated Other Comprehensive Income (Loss)</w:t>
      </w:r>
    </w:p>
    <w:p>
      <w:pPr>
        <w:spacing w:after="0" w:line="20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which is reported as a component of stockholders’ equity, for the nine months ended September 30, 2025 and 2024.</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balance at January 1, 2025</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8"/>
          </w:tcPr>
          <w:p>
            <w:pPr>
              <w:jc w:val="right"/>
              <w:ind w:right="1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reclassifications</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9,223</w:t>
            </w: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revenue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at September 30, 2025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24"/>
                <w:szCs w:val="24"/>
                <w:color w:val="auto"/>
              </w:rPr>
            </w:pPr>
          </w:p>
        </w:tc>
        <w:tc>
          <w:tcPr>
            <w:tcW w:w="11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Unrealized Gain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Derivate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balance at January 1, 2024</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tcBorders>
              <w:bottom w:val="single" w:sz="8" w:color="auto"/>
            </w:tcBorders>
            <w:gridSpan w:val="5"/>
          </w:tcPr>
          <w:p>
            <w:pPr>
              <w:jc w:val="center"/>
              <w:ind w:right="85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0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4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reclassifications</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revenue</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at September 30, 2024</w:t>
            </w: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34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-1748155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-1731010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-1748155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-1731010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-1748155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-1731010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-1748155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-1731010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59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596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and Stock-Based Compensation Expense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two tables show stock-based compensation expense by award type and where the stock-based compensation expense is recorded in the Company’s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20" w:type="dxa"/>
            <w:vAlign w:val="bottom"/>
          </w:tcPr>
          <w:p>
            <w:pPr>
              <w:spacing w:after="0"/>
              <w:rPr>
                <w:sz w:val="13"/>
                <w:szCs w:val="13"/>
                <w:color w:val="auto"/>
              </w:rPr>
            </w:pPr>
          </w:p>
        </w:tc>
        <w:tc>
          <w:tcPr>
            <w:tcW w:w="30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30,</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30,</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420"/>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420"/>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360,799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334,637</w:t>
            </w:r>
          </w:p>
        </w:tc>
        <w:tc>
          <w:tcPr>
            <w:tcW w:w="10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138,086</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130,266</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395,754</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370,382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-1079500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-1079500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-1079500</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Cost of revenue, subscription</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Cost of revenue, professional services and other</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3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30,</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ind w:left="400"/>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54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395,754</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-719455</wp:posOffset>
            </wp:positionV>
            <wp:extent cx="606044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-445135</wp:posOffset>
            </wp:positionV>
            <wp:extent cx="606044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-162560</wp:posOffset>
            </wp:positionV>
            <wp:extent cx="606044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060" w:space="720"/>
            <w:col w:w="5460"/>
          </w:cols>
          <w:pgMar w:left="320" w:top="1358" w:right="339" w:bottom="1440" w:gutter="0" w:footer="0" w:header="0"/>
        </w:sect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excluded from stock-based compensation expense were $15.3 million for the three months ended September 30, 2025, $44.2 million for the nine months ended September 30, 2025, $10.7 million for the three months ended September 30, 2024, and $29.7 million for the nine months ended September 30,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May 6, 2025, the Company’s Board of Directors authorized a share repurchase program for the repurchase of shares of the Company’s common stock, in an aggregate amount of up to $500 million (the “2025 Share Repurchase Program”), exclusive of any transaction costs related to such repurchases, over a period of up to 12 months. All repurchases under the 2025 Share Repurchase Program are made through open market trades pursuant to 10b5-1 plans. The 2025 Share Repurchase Program does not obligate the Company to acquire a specified number of shares, and may be suspended, modified, or terminated at any time and will be funded using the Company's cash and cash equivalents. Consideration paid for the shares repurchased is recorded as a reduction to stockholders’ equity on the consolidated balance sheets. As of September 30, 2025, the Company has completed the 2025 Share Repurchase Program.</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under the 2025 Share Repurchase Program (in thousands, except per share data):</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0" w:type="dxa"/>
            <w:vAlign w:val="bottom"/>
          </w:tcPr>
          <w:p>
            <w:pPr>
              <w:spacing w:after="0"/>
              <w:rPr>
                <w:sz w:val="13"/>
                <w:szCs w:val="13"/>
                <w:color w:val="auto"/>
              </w:rPr>
            </w:pPr>
          </w:p>
        </w:tc>
        <w:tc>
          <w:tcPr>
            <w:tcW w:w="23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2"/>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Pr>
          <w:p>
            <w:pPr>
              <w:spacing w:after="0"/>
              <w:rPr>
                <w:sz w:val="15"/>
                <w:szCs w:val="15"/>
                <w:color w:val="auto"/>
              </w:rPr>
            </w:pPr>
          </w:p>
        </w:tc>
        <w:tc>
          <w:tcPr>
            <w:tcW w:w="23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top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8"/>
                <w:szCs w:val="18"/>
                <w:color w:val="auto"/>
              </w:rPr>
            </w:pP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Pr>
          <w:p>
            <w:pPr>
              <w:spacing w:after="0"/>
              <w:rPr>
                <w:sz w:val="18"/>
                <w:szCs w:val="18"/>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stock price per share</w:t>
            </w:r>
          </w:p>
        </w:tc>
        <w:tc>
          <w:tcPr>
            <w:tcW w:w="15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501.67</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Aggregate repurchase amount</w:t>
            </w:r>
          </w:p>
        </w:tc>
        <w:tc>
          <w:tcPr>
            <w:tcW w:w="15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 and Geographic Data</w:t>
      </w:r>
    </w:p>
    <w:p>
      <w:pPr>
        <w:spacing w:after="0" w:line="20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Commerce Hub.</w:t>
      </w:r>
    </w:p>
    <w:p>
      <w:pPr>
        <w:spacing w:after="0" w:line="13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supplemental to those disclosed in these consolidated financial statements that is regularly provided to the CODM. The allocation of resources and assessment of performance of the operating segment is based on consolidated net income (loss) as shown in the consolidated statements of operations. The CODM considers net income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type w:val="continuous"/>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geographical region:</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7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17"/>
              <w:spacing w:after="0" w:line="137"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center"/>
              <w:ind w:right="10"/>
              <w:spacing w:after="0" w:line="137"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476,957</w:t>
            </w:r>
          </w:p>
        </w:tc>
        <w:tc>
          <w:tcPr>
            <w:tcW w:w="280" w:type="dxa"/>
            <w:vAlign w:val="bottom"/>
          </w:tcPr>
          <w:p>
            <w:pPr>
              <w:spacing w:after="0"/>
              <w:rPr>
                <w:sz w:val="20"/>
                <w:szCs w:val="20"/>
                <w:color w:val="auto"/>
              </w:rPr>
            </w:pPr>
          </w:p>
        </w:tc>
        <w:tc>
          <w:tcPr>
            <w:tcW w:w="4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404,347</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1,372,742</w:t>
            </w:r>
          </w:p>
        </w:tc>
        <w:tc>
          <w:tcPr>
            <w:tcW w:w="20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267,871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210,893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731,468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64,690</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809,518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2,284,520</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Percentage of revenues generated outside of the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5"/>
                <w:szCs w:val="15"/>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5"/>
                <w:szCs w:val="15"/>
                <w:color w:val="auto"/>
              </w:rPr>
            </w:pP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4"/>
        </w:trPr>
        <w:tc>
          <w:tcPr>
            <w:tcW w:w="3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-299720</wp:posOffset>
            </wp:positionV>
            <wp:extent cx="111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-282575</wp:posOffset>
            </wp:positionV>
            <wp:extent cx="1111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-299720</wp:posOffset>
            </wp:positionV>
            <wp:extent cx="1111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-282575</wp:posOffset>
            </wp:positionV>
            <wp:extent cx="1111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-299720</wp:posOffset>
            </wp:positionV>
            <wp:extent cx="111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-282575</wp:posOffset>
            </wp:positionV>
            <wp:extent cx="111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-299720</wp:posOffset>
            </wp:positionV>
            <wp:extent cx="1117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-282575</wp:posOffset>
            </wp:positionV>
            <wp:extent cx="1117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Revenue derived from customers outside the United States (international) was approximately 49% of total revenue in the three months ended September 30, 2025, 48% in the nine months ended September 30, 2025, and 47% in the three and nine months ended September 30, 2024. Revenues of Americas attributed to the United States were 96% in the three and nine months ended September 30, 2025, 95% in the three months ended September 30, 2024, and 96% in the nine months ended September 30, 2024. Revenues of Europe attributed to Ireland were 50% in the three months ended September 30, 2025, 51% in the nine months ended September 30, 2025, 46% in the three months ended September 30, 2024, and 47% in the nine months ended September 30, 2024.</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long-lived assets by geographical region:</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237,767</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231,984</w:t>
            </w:r>
          </w:p>
        </w:tc>
        <w:tc>
          <w:tcPr>
            <w:tcW w:w="1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93,288</w:t>
            </w:r>
          </w:p>
        </w:tc>
        <w:tc>
          <w:tcPr>
            <w:tcW w:w="18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long-lived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344,616</w:t>
            </w:r>
          </w:p>
        </w:tc>
        <w:tc>
          <w:tcPr>
            <w:tcW w:w="2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330,395</w:t>
            </w:r>
          </w:p>
        </w:tc>
        <w:tc>
          <w:tcPr>
            <w:tcW w:w="18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7"/>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Percentage of long-lived assets held outside of the Americas</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-333375</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-333375</wp:posOffset>
            </wp:positionV>
            <wp:extent cx="1117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1117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Long-lived assets of Americas attributed to the United States were 97% as of September 30, 2025 and December 31, 2024. Long-lived assets of Europe attributed to Ireland were 81% as of September 30, 2025 and 80% as of December 31,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Acquisitions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Dashworks Technologies, Inc.</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May 1, 2025, </w:t>
      </w:r>
      <w:r>
        <w:rPr>
          <w:rFonts w:ascii="Times New Roman" w:cs="Times New Roman" w:eastAsia="Times New Roman" w:hAnsi="Times New Roman"/>
          <w:sz w:val="18"/>
          <w:szCs w:val="18"/>
          <w:color w:val="1D1C1D"/>
        </w:rPr>
        <w:t>the Company acquired all outstanding shares</w:t>
      </w:r>
      <w:r>
        <w:rPr>
          <w:rFonts w:ascii="Times New Roman" w:cs="Times New Roman" w:eastAsia="Times New Roman" w:hAnsi="Times New Roman"/>
          <w:sz w:val="18"/>
          <w:szCs w:val="18"/>
          <w:color w:val="auto"/>
        </w:rPr>
        <w:t xml:space="preserve"> of Dashworks Technologies, Inc. (“Dashworks”), an AI-powered knowledge search assistant. The total cash purchase price for the acquisition was $17.8 million, net of cash acquired. </w:t>
      </w:r>
      <w:r>
        <w:rPr>
          <w:rFonts w:ascii="Times New Roman" w:cs="Times New Roman" w:eastAsia="Times New Roman" w:hAnsi="Times New Roman"/>
          <w:sz w:val="18"/>
          <w:szCs w:val="18"/>
          <w:color w:val="1D1C1D"/>
        </w:rPr>
        <w:t>There was approximately $6.6 million of post-combination consideration, which is contingent upon post-acquisition employment that will be recognized as compensation expense in the consolidated statement of operations over a period of three years. The transaction costs associated with the acquisition were approximately $0.9 million and were recorded in general and administrative expense.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assets acquired and liabilities assumed as of the date of acquisition.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jc w:val="right"/>
              <w:ind w:right="514"/>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Cash</w:t>
            </w:r>
          </w:p>
        </w:tc>
        <w:tc>
          <w:tcPr>
            <w:tcW w:w="2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purchase price</w:t>
            </w:r>
          </w:p>
        </w:tc>
        <w:tc>
          <w:tcPr>
            <w:tcW w:w="2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6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51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net tangible and identifiable intangible assets and liabilities acquired was recorded as goodwill. The Company expects to leverage Dashworks' expertise in deep search and reasoning to advance the Company's vision of equipping every go-to-market team member with an AI assistant and enhancing search and context gathering capabilities across Breeze. The goodwill recognized is not deductible for U.S. income tax purposes.</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intangible asset acquired in the business combination was developed technology and the fair value of the developed technology was estimated to be $1.6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subscription revenue in the consolidated statements of operations.</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included the operating results of Dashworks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Dashworks have not been presented as the effect of this acquisition was not material to our financial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Frame Technology, Inc.</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January 6, 2025, the Company acquired all outstanding shares of Frame Technology, Inc. (“Frame AI”), an AI-powered conversation intelligence platform. The total cash purchase price for the acquisition was $50.9 million, net of cash acquired. </w:t>
      </w:r>
      <w:r>
        <w:rPr>
          <w:rFonts w:ascii="Times New Roman" w:cs="Times New Roman" w:eastAsia="Times New Roman" w:hAnsi="Times New Roman"/>
          <w:sz w:val="18"/>
          <w:szCs w:val="18"/>
          <w:color w:val="1D1C1D"/>
        </w:rPr>
        <w:t>There was approximately $8.2 million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post-combination consideration, which is contingent upon post-acquisition employment that will be recognized as compensation expense in the consolidated statement of operations over a period of two years. The transaction costs associated with the acquisition were approximately $1.0 million and were recorded in general and administrative expense.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assets acquired and liabilities assumed as of the date of acquisition.</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4"/>
        </w:trPr>
        <w:tc>
          <w:tcPr>
            <w:tcW w:w="57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right"/>
              <w:ind w:right="474"/>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20"/>
                <w:szCs w:val="20"/>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44,998</w:t>
            </w:r>
          </w:p>
        </w:tc>
        <w:tc>
          <w:tcPr>
            <w:tcW w:w="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57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purchase price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51,444</w:t>
            </w:r>
          </w:p>
        </w:tc>
        <w:tc>
          <w:tcPr>
            <w:tcW w:w="80" w:type="dxa"/>
            <w:vAlign w:val="bottom"/>
            <w:tcBorders>
              <w:top w:val="single" w:sz="8" w:color="CFF0FC"/>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net tangible and identifiable intangible assets and liabilities acquired was recorded as goodwill. The Company expects to derive value from Frame AI's capabilities by accelerating its ability to unify structured and unstructured data across the customer journey at scale and empower go-to-market teams to transform conversations into actionable intelligence. The goodwill recognized is not deductible for U.S. income tax purposes.</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intangible asset acquired in the business combination was developed technology and the fair value of the developed technology was estimated to be $6.3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subscription revenue in the consolidated statements of operations.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included the operating results of Frame AI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Frame AI have not been presented as the effect of this acquisition was not material to our financial results.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October 30, 2025, the Company entered into an agreement to acquire all outstanding shares of XFunnel, Inc. (“XFunnel”), an Answer Engine Optimization ("AEO") platform, for cash consideration of approximately $30.0 million, subject to customary post-closing adjustments and conditions. The acquisition will strengthen the Company's AEO capabilities within 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marketing products, enabling customers to gain insights into how their brand is represented across AI tools and offering actionable recommendations to improve their visibility. The acquisition is expected to close during the fourth quarter ended December 31, 2025.</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85" w:right="659" w:bottom="1440" w:gutter="0" w:footer="0" w:header="0"/>
        </w:sectPr>
      </w:pPr>
    </w:p>
    <w:bookmarkStart w:id="26" w:name="page27"/>
    <w:bookmarkEnd w:id="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2024 filed with the SEC on February 12, 2025.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ind w:right="180" w:firstLine="544"/>
        <w:spacing w:after="0" w:line="266" w:lineRule="auto"/>
        <w:rPr>
          <w:sz w:val="20"/>
          <w:szCs w:val="20"/>
          <w:color w:val="auto"/>
        </w:rPr>
      </w:pPr>
      <w:r>
        <w:rPr>
          <w:rFonts w:ascii="Times New Roman" w:cs="Times New Roman" w:eastAsia="Times New Roman" w:hAnsi="Times New Roman"/>
          <w:sz w:val="18"/>
          <w:szCs w:val="18"/>
          <w:color w:val="212529"/>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an academy of educational content.</w:t>
      </w:r>
    </w:p>
    <w:p>
      <w:pPr>
        <w:spacing w:after="0" w:line="149" w:lineRule="exact"/>
        <w:rPr>
          <w:sz w:val="20"/>
          <w:szCs w:val="20"/>
          <w:color w:val="auto"/>
        </w:rPr>
      </w:pPr>
    </w:p>
    <w:p>
      <w:pPr>
        <w:ind w:firstLine="544"/>
        <w:spacing w:after="0" w:line="261" w:lineRule="auto"/>
        <w:rPr>
          <w:sz w:val="20"/>
          <w:szCs w:val="20"/>
          <w:color w:val="auto"/>
        </w:rPr>
      </w:pPr>
      <w:r>
        <w:rPr>
          <w:rFonts w:ascii="Times New Roman" w:cs="Times New Roman" w:eastAsia="Times New Roman" w:hAnsi="Times New Roman"/>
          <w:sz w:val="18"/>
          <w:szCs w:val="18"/>
          <w:color w:val="auto"/>
        </w:rPr>
        <w:t>Our AI-powered engagement hubs include Marketing, Sales, Service, Data, Content, and Commerce, as well as other tools and integrations that enable companies to attract, engage, and delight customers throughout the customer lifecycle.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spacing w:after="0" w:line="139" w:lineRule="exact"/>
        <w:rPr>
          <w:sz w:val="20"/>
          <w:szCs w:val="20"/>
          <w:color w:val="auto"/>
        </w:rPr>
      </w:pPr>
    </w:p>
    <w:p>
      <w:pPr>
        <w:ind w:right="40" w:firstLine="544"/>
        <w:spacing w:after="0" w:line="258" w:lineRule="auto"/>
        <w:rPr>
          <w:sz w:val="20"/>
          <w:szCs w:val="20"/>
          <w:color w:val="auto"/>
        </w:rPr>
      </w:pPr>
      <w:r>
        <w:rPr>
          <w:rFonts w:ascii="Times New Roman" w:cs="Times New Roman" w:eastAsia="Times New Roman" w:hAnsi="Times New Roman"/>
          <w:sz w:val="18"/>
          <w:szCs w:val="18"/>
          <w:color w:val="auto"/>
        </w:rPr>
        <w:t>Breeze is our AI that powers the customer platform, including our Smart CRM, engagement Hubs, and the connected ecosystem. The core of our customer platform is our Smart CRM: a unified data platform of lead and customer information that allows businesses to track their interactions with contacts and customers, manage their customer activities, report on their pipeline and sales, and manage and govern their team and business processes.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w:t>
      </w:r>
    </w:p>
    <w:p>
      <w:pPr>
        <w:spacing w:after="0" w:line="143" w:lineRule="exact"/>
        <w:rPr>
          <w:sz w:val="20"/>
          <w:szCs w:val="20"/>
          <w:color w:val="auto"/>
        </w:rPr>
      </w:pPr>
    </w:p>
    <w:p>
      <w:pPr>
        <w:ind w:right="40" w:firstLine="544"/>
        <w:spacing w:after="0" w:line="266" w:lineRule="auto"/>
        <w:rPr>
          <w:sz w:val="20"/>
          <w:szCs w:val="20"/>
          <w:color w:val="auto"/>
        </w:rPr>
      </w:pPr>
      <w:r>
        <w:rPr>
          <w:rFonts w:ascii="Times New Roman" w:cs="Times New Roman" w:eastAsia="Times New Roman" w:hAnsi="Times New Roman"/>
          <w:sz w:val="18"/>
          <w:szCs w:val="18"/>
          <w:color w:val="212529"/>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49" w:lineRule="exact"/>
        <w:rPr>
          <w:sz w:val="20"/>
          <w:szCs w:val="20"/>
          <w:color w:val="auto"/>
        </w:rPr>
      </w:pPr>
    </w:p>
    <w:p>
      <w:pPr>
        <w:ind w:right="20" w:firstLine="544"/>
        <w:spacing w:after="0" w:line="254" w:lineRule="auto"/>
        <w:rPr>
          <w:sz w:val="20"/>
          <w:szCs w:val="20"/>
          <w:color w:val="auto"/>
        </w:rPr>
      </w:pPr>
      <w:r>
        <w:rPr>
          <w:rFonts w:ascii="Times New Roman" w:cs="Times New Roman" w:eastAsia="Times New Roman" w:hAnsi="Times New Roman"/>
          <w:sz w:val="18"/>
          <w:szCs w:val="18"/>
          <w:color w:val="212529"/>
        </w:rPr>
        <w:t>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traditional and AI-enhanced engagement strategies,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As of September 30, 2025, we had 8,824 full-time employees and 278,880 Customers of varying sizes in more than 135 countries, representing many industries.</w:t>
      </w:r>
    </w:p>
    <w:p>
      <w:pPr>
        <w:spacing w:after="0" w:line="148" w:lineRule="exact"/>
        <w:rPr>
          <w:sz w:val="20"/>
          <w:szCs w:val="20"/>
          <w:color w:val="auto"/>
        </w:rPr>
      </w:pPr>
    </w:p>
    <w:p>
      <w:pPr>
        <w:ind w:right="140" w:firstLine="544"/>
        <w:spacing w:after="0" w:line="255" w:lineRule="auto"/>
        <w:rPr>
          <w:sz w:val="20"/>
          <w:szCs w:val="20"/>
          <w:color w:val="auto"/>
        </w:rPr>
      </w:pPr>
      <w:r>
        <w:rPr>
          <w:rFonts w:ascii="Times New Roman" w:cs="Times New Roman" w:eastAsia="Times New Roman" w:hAnsi="Times New Roman"/>
          <w:sz w:val="18"/>
          <w:szCs w:val="18"/>
          <w:color w:val="auto"/>
        </w:rPr>
        <w:t>We derive most of our revenue from subscriptions to our cloud-based customer platform and related professional services, which consist of customer on-boarding, training and consulting services. Subscription revenue accounted for 98% of our total revenue for the three and nine months ended September 30, 2025 and 2024. We sell multiple product plans at different base prices on a subscription basis, each of which includes our Smart CRM and integrated applications to meet the needs of the various customers we serve. We also generate revenue through usage and consumption-based models. Customers pay additional fees if the number of contacts stored and tracked in the customer’s database exceeds specified thresholds. We also generate additional revenue based on the purchase of additional subscriptions, products and seats, and the number of account users. Most of our Customers’ subscriptions are one year or less in duration.</w:t>
      </w:r>
    </w:p>
    <w:p>
      <w:pPr>
        <w:spacing w:after="0" w:line="148" w:lineRule="exact"/>
        <w:rPr>
          <w:sz w:val="20"/>
          <w:szCs w:val="20"/>
          <w:color w:val="auto"/>
        </w:rPr>
      </w:pPr>
    </w:p>
    <w:p>
      <w:pPr>
        <w:ind w:right="40" w:firstLine="544"/>
        <w:spacing w:after="0" w:line="266" w:lineRule="auto"/>
        <w:rPr>
          <w:sz w:val="20"/>
          <w:szCs w:val="20"/>
          <w:color w:val="auto"/>
        </w:rPr>
      </w:pPr>
      <w:r>
        <w:rPr>
          <w:rFonts w:ascii="Times New Roman" w:cs="Times New Roman" w:eastAsia="Times New Roman" w:hAnsi="Times New Roman"/>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7" w:name="page28"/>
    <w:bookmarkEnd w:id="27"/>
    <w:p>
      <w:pPr>
        <w:ind w:right="300" w:firstLine="544"/>
        <w:spacing w:after="0" w:line="261" w:lineRule="auto"/>
        <w:rPr>
          <w:sz w:val="20"/>
          <w:szCs w:val="20"/>
          <w:color w:val="auto"/>
        </w:rPr>
      </w:pPr>
      <w:r>
        <w:rPr>
          <w:rFonts w:ascii="Times New Roman" w:cs="Times New Roman" w:eastAsia="Times New Roman" w:hAnsi="Times New Roman"/>
          <w:sz w:val="18"/>
          <w:szCs w:val="18"/>
          <w:color w:val="auto"/>
        </w:rPr>
        <w:t>Many of our customers purchase on-boarding, training, and consulting services, which are designed to help customers enhance their ability to attract, engage and delight their customers using our customer platform. We also generate revenue from Commerce Hub and a number of revenue-share agreements with other companies. Professional services and other revenue accounted for 2% of total revenue for the three and nine months ended September 30, 2025 and 2024.</w:t>
      </w:r>
    </w:p>
    <w:p>
      <w:pPr>
        <w:spacing w:after="0" w:line="153" w:lineRule="exact"/>
        <w:rPr>
          <w:sz w:val="20"/>
          <w:szCs w:val="20"/>
          <w:color w:val="auto"/>
        </w:rPr>
      </w:pPr>
    </w:p>
    <w:p>
      <w:pPr>
        <w:ind w:right="140" w:firstLine="544"/>
        <w:spacing w:after="0" w:line="266" w:lineRule="auto"/>
        <w:rPr>
          <w:sz w:val="20"/>
          <w:szCs w:val="20"/>
          <w:color w:val="auto"/>
        </w:rPr>
      </w:pPr>
      <w:r>
        <w:rPr>
          <w:rFonts w:ascii="Times New Roman" w:cs="Times New Roman" w:eastAsia="Times New Roman" w:hAnsi="Times New Roman"/>
          <w:sz w:val="18"/>
          <w:szCs w:val="18"/>
          <w:color w:val="auto"/>
        </w:rPr>
        <w:t>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changes in our industry.</w:t>
      </w:r>
    </w:p>
    <w:p>
      <w:pPr>
        <w:spacing w:after="0" w:line="135" w:lineRule="exact"/>
        <w:rPr>
          <w:sz w:val="20"/>
          <w:szCs w:val="20"/>
          <w:color w:val="auto"/>
        </w:rPr>
      </w:pPr>
    </w:p>
    <w:p>
      <w:pPr>
        <w:ind w:right="20" w:firstLine="544"/>
        <w:spacing w:after="0" w:line="253" w:lineRule="auto"/>
        <w:rPr>
          <w:sz w:val="20"/>
          <w:szCs w:val="20"/>
          <w:color w:val="auto"/>
        </w:rPr>
      </w:pPr>
      <w:r>
        <w:rPr>
          <w:rFonts w:ascii="Times New Roman" w:cs="Times New Roman" w:eastAsia="Times New Roman" w:hAnsi="Times New Roman"/>
          <w:sz w:val="18"/>
          <w:szCs w:val="18"/>
          <w:color w:val="auto"/>
        </w:rPr>
        <w:t>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Included in these investments are AI-enabled tools for guided selling and content generation to drive efficiencies and improve conversion rates, as well as machine learning capabilities to accelerate innovation, increase productivity, and support automated ticket resolution. We expect to use our cash flow from operations to fund these growth strategies and support our business and may break-even from a profitability perspective in the next 12 months.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w:t>
      </w:r>
    </w:p>
    <w:p>
      <w:pPr>
        <w:spacing w:after="0" w:line="189" w:lineRule="exact"/>
        <w:rPr>
          <w:sz w:val="20"/>
          <w:szCs w:val="20"/>
          <w:color w:val="auto"/>
        </w:rPr>
      </w:pPr>
    </w:p>
    <w:p>
      <w:pPr>
        <w:ind w:right="20" w:firstLine="544"/>
        <w:spacing w:after="0" w:line="255" w:lineRule="auto"/>
        <w:rPr>
          <w:sz w:val="20"/>
          <w:szCs w:val="20"/>
          <w:color w:val="auto"/>
        </w:rPr>
      </w:pPr>
      <w:r>
        <w:rPr>
          <w:rFonts w:ascii="Times New Roman" w:cs="Times New Roman" w:eastAsia="Times New Roman" w:hAnsi="Times New Roman"/>
          <w:sz w:val="18"/>
          <w:szCs w:val="18"/>
          <w:color w:val="auto"/>
        </w:rPr>
        <w:t>Our results of operations may be significantly influenced by general macroeconomic conditions, including, but not limited to, the impact of pandemics, geo-political conflicts, foreign currency fluctuations, interest rates, inflation, recession risks, tariffs or other trade restrictions, and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Customers. </w:t>
      </w:r>
      <w:r>
        <w:rPr>
          <w:rFonts w:ascii="Times New Roman" w:cs="Times New Roman" w:eastAsia="Times New Roman" w:hAnsi="Times New Roman"/>
          <w:sz w:val="18"/>
          <w:szCs w:val="18"/>
          <w:color w:val="auto"/>
        </w:rPr>
        <w:t>We believe that our ability to increase our customer base is an indicator of our market penetration, the growth of our business,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spacing w:after="0" w:line="182"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Average Subscription Revenue per Customer. </w:t>
      </w:r>
      <w:r>
        <w:rPr>
          <w:rFonts w:ascii="Times New Roman" w:cs="Times New Roman" w:eastAsia="Times New Roman" w:hAnsi="Times New Roman"/>
          <w:sz w:val="18"/>
          <w:szCs w:val="18"/>
          <w:color w:val="auto"/>
        </w:rPr>
        <w:t>We believe that our ability to increase the Average Subscription Revenue per Customer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w:t>
      </w:r>
    </w:p>
    <w:p>
      <w:pPr>
        <w:spacing w:after="0" w:line="171"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We believe that our ability to retain and expand a customer relationship is an indicator of the stability of our revenue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w:t>
      </w:r>
    </w:p>
    <w:p>
      <w:pPr>
        <w:spacing w:after="0" w:line="181"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Retained Subscription Revenue. </w:t>
      </w:r>
      <w:r>
        <w:rPr>
          <w:rFonts w:ascii="Times New Roman" w:cs="Times New Roman" w:eastAsia="Times New Roman" w:hAnsi="Times New Roman"/>
          <w:sz w:val="18"/>
          <w:szCs w:val="18"/>
          <w:color w:val="auto"/>
        </w:rPr>
        <w:t>Contractual Monthly Subscription Revenue of the same cohort of Customers as those that comprise the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Revenue at the end of the same month.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Retention Base Revenue. </w:t>
      </w:r>
      <w:r>
        <w:rPr>
          <w:rFonts w:ascii="Times New Roman" w:cs="Times New Roman" w:eastAsia="Times New Roman" w:hAnsi="Times New Roman"/>
          <w:sz w:val="18"/>
          <w:szCs w:val="18"/>
          <w:color w:val="auto"/>
        </w:rPr>
        <w:t>Contractual Monthly Subscription Revenue of our Customers as of the beginning of each month.</w:t>
      </w:r>
    </w:p>
    <w:p>
      <w:pPr>
        <w:spacing w:after="0" w:line="225" w:lineRule="exact"/>
        <w:rPr>
          <w:sz w:val="20"/>
          <w:szCs w:val="20"/>
          <w:color w:val="auto"/>
        </w:rPr>
      </w:pPr>
    </w:p>
    <w:p>
      <w:pPr>
        <w:ind w:right="760" w:firstLine="50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Contractual Monthly Subscription Revenue. </w:t>
      </w:r>
      <w:r>
        <w:rPr>
          <w:rFonts w:ascii="Times New Roman" w:cs="Times New Roman" w:eastAsia="Times New Roman" w:hAnsi="Times New Roman"/>
          <w:sz w:val="17"/>
          <w:szCs w:val="17"/>
          <w:color w:val="auto"/>
        </w:rPr>
        <w:t>The subscription fees contractually committed to be paid for a full month under our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converted into USD at fixed rates that are held consistent over time, excluding commissions owed to our Solutions Partners.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derive our revenue from two major sources, revenue from subscriptions to our customer platform and professional services and other revenue consisting mainly of on-boarding, training, consulting services fees, and Commerce Hub.</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Subscription-based revenue is derived from customers using our customer platform for their marketing, sales, service, data, and content management needs. Our customer platform includes a system of engagement for efficiently engaging customers through SEO, web content, social, blogging, email, marketing automation, messaging, support ticketing, knowledge base, commerce, conversation routing, video hosting, and data enrichment. Over 2,000 integrations and applications are available for our 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a subscription to our customer platform.</w:t>
      </w:r>
    </w:p>
    <w:p>
      <w:pPr>
        <w:spacing w:after="0" w:line="16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Professional services and other revenue are derived primarily from customer on-boarding, training, consulting services, and Commerce Hub. Depending on which Hubs and services a customer purchases, they receive on-boarding guidance or one-on-one training from one of our on-boarding, inbound consultants, or technical consultants via web meetings.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a number of revenue-share agreements with other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Operating and Other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facilities, depreciation of fixed assets, and costs related to information technology.</w:t>
      </w:r>
    </w:p>
    <w:p>
      <w:pPr>
        <w:spacing w:after="0" w:line="13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 which we define as facilities, depreciation of fixed assets, and costs related to information technology. It also consists of costs associated with our other service offerings, including Commerce Hub.</w:t>
      </w:r>
    </w:p>
    <w:p>
      <w:pPr>
        <w:spacing w:after="0" w:line="13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 cost of subscription and professional services and other revenue will increase in absolute dollars as we continue to invest in growing our business. Over time, we expect to gain benefits of scale associated with our costs of hosting our customer platform relative to subscription revenues, resulting in improved subscription gross margin, exclusive of stock-based compensation. We expect professional services and other margins to break-even in the next 12 months, exclusive of stock-based compensation.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ind w:right="140"/>
        <w:spacing w:after="0" w:line="261" w:lineRule="auto"/>
        <w:rPr>
          <w:sz w:val="20"/>
          <w:szCs w:val="20"/>
          <w:color w:val="auto"/>
        </w:rPr>
      </w:pPr>
      <w:r>
        <w:rPr>
          <w:rFonts w:ascii="Times New Roman" w:cs="Times New Roman" w:eastAsia="Times New Roman" w:hAnsi="Times New Roman"/>
          <w:sz w:val="18"/>
          <w:szCs w:val="18"/>
          <w:color w:val="auto"/>
        </w:rPr>
        <w:t>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remain consistent as a percentage of total revenue, exclusive of stock-based compensation expense.</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w:t>
      </w:r>
    </w:p>
    <w:p>
      <w:pPr>
        <w:spacing w:after="0" w:line="14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as we incur the costs of compliance associated with being a publicly traded company, and remain relatively consistent as a percentage of total revenue, exclusive of stock-based compensation expense, as we focus on processes, systems and controls to enable our internal support functions to scale with the growth of our business.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Restructuring expenses primarily consist of variable lease costs related to properties vacated under our restructuring plan. 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Future variable facilities related costs for vacated properties will continue to be recorded to restructuring charges.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Interest income primarily consists of interest earned on invested cash and cash equivalents balances and investments. Interest expense primarily consists of amortization of issuance costs and contractual interest expense related to our 2025 Notes. Other (expense) income primarily consists of the impact of foreign currency transaction gains and losses associated with monetary assets and liabilities and any gains, losses on, or impairments of our strategic investments.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consists of current and deferred taxes for U.S. and foreign jurisdictions.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2025 and 2024</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140" w:type="dxa"/>
        <w:tblCellMar>
          <w:top w:w="0" w:type="dxa"/>
          <w:left w:w="0" w:type="dxa"/>
          <w:bottom w:w="0" w:type="dxa"/>
          <w:right w:w="0" w:type="dxa"/>
        </w:tblCellMar>
      </w:tblPr>
      <w:tr>
        <w:trPr>
          <w:trHeight w:val="156"/>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2440" w:type="dxa"/>
            <w:vAlign w:val="bottom"/>
            <w:gridSpan w:val="6"/>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8"/>
          </w:tcPr>
          <w:p>
            <w:pPr>
              <w:jc w:val="right"/>
              <w:ind w:right="200"/>
              <w:spacing w:after="0" w:line="156"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top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Subscription</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791,678</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654,738</w:t>
            </w:r>
          </w:p>
        </w:tc>
        <w:tc>
          <w:tcPr>
            <w:tcW w:w="80" w:type="dxa"/>
            <w:vAlign w:val="bottom"/>
            <w:tcBorders>
              <w:right w:val="single" w:sz="8" w:color="CFF0FC"/>
            </w:tcBorders>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2,234,937</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1,882,241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49,583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42,124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809,518</w:t>
            </w:r>
          </w:p>
        </w:tc>
        <w:tc>
          <w:tcPr>
            <w:tcW w:w="2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669,721</w:t>
            </w: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2,284,520</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1,924,365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Subscription</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117,025</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85,066</w:t>
            </w: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323,925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247,408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14,258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46,861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42,520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cost of revenues</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133,518</w:t>
            </w:r>
          </w:p>
        </w:tc>
        <w:tc>
          <w:tcPr>
            <w:tcW w:w="2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99,324</w:t>
            </w: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370,786</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289,928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676,000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570,397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1,913,734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1,634,437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191,185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685,151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565,001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355,268</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309,928</w:t>
            </w: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1,021,844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904,010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77,928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244,380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Restructuring</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987</w:t>
            </w: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3,222</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2,847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664,766</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580,028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1,954,597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1,691,238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11,234</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(9,631)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(40,863)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(56,801)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21,780</w:t>
            </w: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53,106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60,877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Borders>
              <w:right w:val="single" w:sz="8" w:color="CFF0FC"/>
            </w:tcBorders>
            <w:shd w:val="clear" w:color="auto" w:fill="CFF0FC"/>
          </w:tcPr>
          <w:p>
            <w:pPr>
              <w:spacing w:after="0"/>
              <w:rPr>
                <w:sz w:val="17"/>
                <w:szCs w:val="17"/>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(2,346)</w:t>
            </w: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(3,560)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14,381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Total other income</w:t>
            </w:r>
          </w:p>
        </w:tc>
        <w:tc>
          <w:tcPr>
            <w:tcW w:w="18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11,902</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20,279</w:t>
            </w:r>
          </w:p>
        </w:tc>
        <w:tc>
          <w:tcPr>
            <w:tcW w:w="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48,670</w:t>
            </w: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72,486</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23,136</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10,648</w:t>
            </w: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7,807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15,685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(6,600)</w:t>
            </w:r>
          </w:p>
        </w:tc>
        <w:tc>
          <w:tcPr>
            <w:tcW w:w="18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(16,322)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8,146</w:t>
            </w:r>
          </w:p>
        </w:tc>
        <w:tc>
          <w:tcPr>
            <w:tcW w:w="8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6"/>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540" w:type="dxa"/>
            <w:vAlign w:val="bottom"/>
            <w:gridSpan w:val="10"/>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Subscription</w:t>
            </w:r>
          </w:p>
        </w:tc>
        <w:tc>
          <w:tcPr>
            <w:tcW w:w="180" w:type="dxa"/>
            <w:vAlign w:val="bottom"/>
            <w:tcBorders>
              <w:right w:val="single" w:sz="8" w:color="CFF0FC"/>
            </w:tcBorders>
            <w:shd w:val="clear" w:color="auto" w:fill="CFF0FC"/>
          </w:tcPr>
          <w:p>
            <w:pPr>
              <w:spacing w:after="0"/>
              <w:rPr>
                <w:sz w:val="17"/>
                <w:szCs w:val="17"/>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Subscription</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Restructuring</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other income</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180" w:type="dxa"/>
            <w:vAlign w:val="bottom"/>
            <w:tcBorders>
              <w:righ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right w:val="single" w:sz="8" w:color="CFF0FC"/>
            </w:tcBorders>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-5682615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-5682615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-5682615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-5682615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-5151120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-5151120</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-5151120</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-5151120</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-4362450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-4362450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-4362450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-4362450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-4088130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-4088130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-4088130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-4088130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-3565525</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-3565525</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-3565525</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-3565525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-3025140</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-3007995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-3025140</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-3007995</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-3025140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-3007995</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-3025140</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-3007995</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-2150745</wp:posOffset>
            </wp:positionV>
            <wp:extent cx="939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-2150745</wp:posOffset>
            </wp:positionV>
            <wp:extent cx="946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-2150745</wp:posOffset>
            </wp:positionV>
            <wp:extent cx="1289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-2150745</wp:posOffset>
            </wp:positionV>
            <wp:extent cx="1282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-1619250</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-1619250</wp:posOffset>
            </wp:positionV>
            <wp:extent cx="946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-1619250</wp:posOffset>
            </wp:positionV>
            <wp:extent cx="1289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-1619250</wp:posOffset>
            </wp:positionV>
            <wp:extent cx="1282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-831215</wp:posOffset>
            </wp:positionV>
            <wp:extent cx="939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-831215</wp:posOffset>
            </wp:positionV>
            <wp:extent cx="946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-831215</wp:posOffset>
            </wp:positionV>
            <wp:extent cx="1289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-831215</wp:posOffset>
            </wp:positionV>
            <wp:extent cx="1282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939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939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946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946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1289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2890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1282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1282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8270" cy="8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Percentages are based on actual values. Totals may not sum due to rounding.</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 Compared to the Three and Nine Months Ended September 30, 2024</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2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28"/>
        </w:trPr>
        <w:tc>
          <w:tcPr>
            <w:tcW w:w="2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4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Subscription</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791,678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654,738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136,940</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6"/>
                <w:szCs w:val="16"/>
                <w:color w:val="auto"/>
              </w:rPr>
              <w:t>21%$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2,234,937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1,882,241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352,696</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120" w:type="dxa"/>
            <w:vAlign w:val="bottom"/>
            <w:tcBorders>
              <w:bottom w:val="single" w:sz="8" w:color="CFF0FC"/>
            </w:tcBorders>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49,583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42,124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14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6"/>
        </w:trPr>
        <w:tc>
          <w:tcPr>
            <w:tcW w:w="2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809,518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139,797</w:t>
            </w:r>
          </w:p>
        </w:tc>
        <w:tc>
          <w:tcPr>
            <w:tcW w:w="1280" w:type="dxa"/>
            <w:vAlign w:val="bottom"/>
            <w:gridSpan w:val="4"/>
          </w:tcPr>
          <w:p>
            <w:pPr>
              <w:ind w:left="800"/>
              <w:spacing w:after="0" w:line="196" w:lineRule="exact"/>
              <w:rPr>
                <w:sz w:val="20"/>
                <w:szCs w:val="20"/>
                <w:color w:val="auto"/>
              </w:rPr>
            </w:pPr>
            <w:r>
              <w:rPr>
                <w:rFonts w:ascii="Times New Roman" w:cs="Times New Roman" w:eastAsia="Times New Roman" w:hAnsi="Times New Roman"/>
                <w:sz w:val="13"/>
                <w:szCs w:val="13"/>
                <w:color w:val="auto"/>
              </w:rPr>
              <w:t>21%</w:t>
            </w:r>
            <w:r>
              <w:rPr>
                <w:rFonts w:ascii="Times New Roman" w:cs="Times New Roman" w:eastAsia="Times New Roman" w:hAnsi="Times New Roman"/>
                <w:sz w:val="22"/>
                <w:szCs w:val="22"/>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2,284,520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1,924,365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360,155</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-162560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-162560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-162560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-162560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-162560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Subscription revenue increased during the three months ended September 30, 2025 compared to the same period in 2024 primarily due to the increase in Customers, which grew from 238,128 as of September 30, 2024 to 278,880 as of September 30, 2025. Average Subscription Revenue per Customer increased from $11,235 for the three months ended September 30, 2024 to $11,578 for the three months ended September 30, 2025. The increase in Average Subscription Revenue per Customer was primarily driven by increased demand for our Professional and Enterprise products and the impact of foreign currency translation primarily attributable to the decrease in the value of the U.S. Dollar relative to the Euro and British Pound Sterling, offset by continued purchases of our lower-priced Starter products.</w:t>
      </w:r>
    </w:p>
    <w:p>
      <w:pPr>
        <w:spacing w:after="0" w:line="14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 increased during the three months ended September 30, 2025 compared to the same period in 2024 primarily due to an increase in other revenue streams, including Commerce Hub.</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Subscription revenue increased during the nine months ended September 30, 2025 compared to the same period in 2024 primarily due to the increase in Customers, which grew from 238,128 as of September 30, 2024 to 278,880 as of September 30, 2025. Average Subscription Revenue per Customer decreased from $11,324 for the nine months ended September 30, 2024 to $11,307 for the nine months ended September 30, 2025. The growth in Customers was primarily driven by increased demand for our lower-priced Starter products. The decrease in Average Subscription Revenue per Customer was primarily driven by continued purchases of our lower-priced Starter products, offset by increased demand for our Professional and Enterprise products and the impact of foreign currency translation primarily attributable to the decrease in the value of the U.S. Dollar relative to the Euro and British Pound Sterling.</w:t>
      </w:r>
    </w:p>
    <w:p>
      <w:pPr>
        <w:spacing w:after="0" w:line="14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 increased during the nine months ended September 30, 2025 compared to the same period in 2024 primarily due to an increase in other revenue streams, including Commerce Hub.</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40" w:type="dxa"/>
            <w:vAlign w:val="bottom"/>
          </w:tcPr>
          <w:p>
            <w:pPr>
              <w:spacing w:after="0"/>
              <w:rPr>
                <w:sz w:val="13"/>
                <w:szCs w:val="13"/>
                <w:color w:val="auto"/>
              </w:rPr>
            </w:pPr>
          </w:p>
        </w:tc>
        <w:tc>
          <w:tcPr>
            <w:tcW w:w="212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40" w:type="dxa"/>
            <w:vAlign w:val="bottom"/>
          </w:tcPr>
          <w:p>
            <w:pPr>
              <w:spacing w:after="0"/>
              <w:rPr>
                <w:sz w:val="13"/>
                <w:szCs w:val="13"/>
                <w:color w:val="auto"/>
              </w:rPr>
            </w:pPr>
          </w:p>
        </w:tc>
        <w:tc>
          <w:tcPr>
            <w:tcW w:w="780" w:type="dxa"/>
            <w:vAlign w:val="bottom"/>
            <w:vMerge w:val="restart"/>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00" w:type="dxa"/>
            <w:vAlign w:val="bottom"/>
          </w:tcPr>
          <w:p>
            <w:pPr>
              <w:spacing w:after="0"/>
              <w:rPr>
                <w:sz w:val="13"/>
                <w:szCs w:val="13"/>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40" w:type="dxa"/>
            <w:vAlign w:val="bottom"/>
            <w:tcBorders>
              <w:bottom w:val="single" w:sz="8" w:color="auto"/>
            </w:tcBorders>
            <w:vMerge w:val="continue"/>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0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133,518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99,324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34,194</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370,786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289,928</w:t>
            </w:r>
          </w:p>
        </w:tc>
        <w:tc>
          <w:tcPr>
            <w:tcW w:w="1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80,858</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676,000</w:t>
            </w:r>
          </w:p>
        </w:tc>
        <w:tc>
          <w:tcPr>
            <w:tcW w:w="1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570,397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105,603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1,913,734</w:t>
            </w:r>
          </w:p>
        </w:tc>
        <w:tc>
          <w:tcPr>
            <w:tcW w:w="14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1,634,437</w:t>
            </w:r>
          </w:p>
        </w:tc>
        <w:tc>
          <w:tcPr>
            <w:tcW w:w="1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279,297</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percentage</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3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Total cost of revenue for the three and nine months ended September 30, 2025 increased compared to the same period in 2024 primarily due to an increase in subscription and hosting costs, amortization of capitalized software development costs, and amortization of acquired technology, offset by decreases in allocated overhead expenses and employee-related costs. Gross margins remained relatively consistent year-over-year.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1"/>
              </w:rPr>
              <w:t>$ Change</w:t>
            </w:r>
          </w:p>
        </w:tc>
        <w:tc>
          <w:tcPr>
            <w:tcW w:w="100" w:type="dxa"/>
            <w:vAlign w:val="bottom"/>
          </w:tcPr>
          <w:p>
            <w:pPr>
              <w:spacing w:after="0"/>
              <w:rPr>
                <w:sz w:val="13"/>
                <w:szCs w:val="13"/>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3"/>
                <w:szCs w:val="13"/>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3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1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Subscription cost of revenue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117,025</w:t>
            </w:r>
          </w:p>
        </w:tc>
        <w:tc>
          <w:tcPr>
            <w:tcW w:w="16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85,066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323,925</w:t>
            </w:r>
          </w:p>
        </w:tc>
        <w:tc>
          <w:tcPr>
            <w:tcW w:w="16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247,408</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76,517</w:t>
            </w:r>
          </w:p>
        </w:tc>
        <w:tc>
          <w:tcPr>
            <w:tcW w:w="10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subscription revenue</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increase in subscription cost of revenue for the three and nine months ended September 30, 2025 compared to the same period in 2024 was primarily due to the following:</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5"/>
          </w:tcPr>
          <w:p>
            <w:pPr>
              <w:jc w:val="right"/>
              <w:ind w:right="1160"/>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and hosting costs</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80" w:type="dxa"/>
            <w:vAlign w:val="bottom"/>
            <w:tcBorders>
              <w:lef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lef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31,959</w:t>
            </w:r>
          </w:p>
        </w:tc>
        <w:tc>
          <w:tcPr>
            <w:tcW w:w="320" w:type="dxa"/>
            <w:vAlign w:val="bottom"/>
            <w:tcBorders>
              <w:lef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514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Subscription and hosting costs increased primarily due to growth in our Customer base from 238,128 as of September 30, 2024 to 278,880 as of September 30, 2025. We also saw higher subscription and hosting costs as we continued to support the growth of our customer base, increased usage of our customer platform, and continued investments to expand AI functionality.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acquisitions of Frame AI and Dashworks in 2025. Employee-related costs decreased as a result of improved resource alignment and operational efficiencies by leveraging AI to resolve customer inquiries. Allocated overhead expenses decreased primarily due to the decreased proportional allocation of shared company expenses associated with headcount in subscription cost of revenue.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Subscription and hosting costs increased primarily due to growth in our Customer base from 238,128 as of September 30, 2024 to 278,880 as of September 30, 2025. We also saw higher subscription and hosting costs as we continued to support the growth of our customer base, increased usage of our customer platform, and continued investments to expand AI functionality.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acquisitions of Frame AI and Dashworks in 2025. Employee-related costs decreased as a result of improved resource alignment and operational efficiencies by leveraging AI to resolve customer inquiries. Allocated overhead expenses decreased primarily due to the decreased proportional allocation of shared company expenses associated with headcount in subscription cost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0" w:type="dxa"/>
            <w:vAlign w:val="bottom"/>
          </w:tcPr>
          <w:p>
            <w:pPr>
              <w:spacing w:after="0"/>
              <w:rPr>
                <w:sz w:val="13"/>
                <w:szCs w:val="13"/>
                <w:color w:val="auto"/>
              </w:rPr>
            </w:pPr>
          </w:p>
        </w:tc>
        <w:tc>
          <w:tcPr>
            <w:tcW w:w="176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Pr>
          <w:p>
            <w:pPr>
              <w:spacing w:after="0"/>
              <w:rPr>
                <w:sz w:val="13"/>
                <w:szCs w:val="13"/>
                <w:color w:val="auto"/>
              </w:rPr>
            </w:pPr>
          </w:p>
        </w:tc>
        <w:tc>
          <w:tcPr>
            <w:tcW w:w="198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316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7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85"/>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7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85"/>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16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Professional services and other cost</w:t>
            </w:r>
          </w:p>
        </w:tc>
        <w:tc>
          <w:tcPr>
            <w:tcW w:w="2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revenue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4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46,861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professional services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and other revenue</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increase in professional services and other cost of revenue for three and nine months ended September 30, 2025 compared to the same period in 2024 was primarily due to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4"/>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7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0" w:type="dxa"/>
            <w:vAlign w:val="bottom"/>
            <w:gridSpan w:val="7"/>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170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Commerce payment processing fees</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(4,455)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00" w:type="dxa"/>
            <w:vAlign w:val="bottom"/>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700" w:type="dxa"/>
            <w:vAlign w:val="bottom"/>
          </w:tcPr>
          <w:p>
            <w:pPr>
              <w:spacing w:after="0"/>
              <w:rPr>
                <w:sz w:val="24"/>
                <w:szCs w:val="24"/>
                <w:color w:val="auto"/>
              </w:rPr>
            </w:pPr>
          </w:p>
        </w:tc>
        <w:tc>
          <w:tcPr>
            <w:tcW w:w="4380" w:type="dxa"/>
            <w:vAlign w:val="bottom"/>
            <w:tcBorders>
              <w:top w:val="single" w:sz="8" w:color="CFF0FC"/>
            </w:tcBorders>
          </w:tcPr>
          <w:p>
            <w:pPr>
              <w:ind w:left="384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-933450</wp:posOffset>
            </wp:positionV>
            <wp:extent cx="514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51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-933450</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187"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Commerce payment processing fees increased due to higher payment volume and merchant activity. Amortization of capitalized software development costs increased as we continued to increase functionality with our internally built software platform. Amortization of acquired technology increased due to the amortization of acquired technology associated with our acquisition of Cacheflow in the fourth quarter of 2024. Employee-related costs decreased and professional fees increased as we continue to leverage our Solutions Partners to deliver on-boarding and other professional services. Allocated overhead expenses decreased primarily due to the decreased proportional allocation of shared company expenses associated with headcount in subscription cost of revenue.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227"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Commerce payment processing fees increased due to higher payment volume and merchant activity. Amortization of capitalized software development costs increased as we continued to increase functionality with our internally built software platform. Amortization of acquired technology increased due to the amortization of acquired technology associated with our acquisition of Cacheflow in the fourth quarter of 2024. Employee-related costs decreased and professional fees increased as we continue to leverage our Solutions Partners to deliver on-boarding and other professional services. Allocated overhead expenses decreased primarily due to the decreased proportional allocation of shared company expenses associated with headcount in subscription cost of revenue.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0" w:type="dxa"/>
            <w:vAlign w:val="bottom"/>
          </w:tcPr>
          <w:p>
            <w:pPr>
              <w:spacing w:after="0"/>
              <w:rPr>
                <w:sz w:val="13"/>
                <w:szCs w:val="13"/>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20" w:type="dxa"/>
            <w:vAlign w:val="bottom"/>
          </w:tcPr>
          <w:p>
            <w:pPr>
              <w:spacing w:after="0"/>
              <w:rPr>
                <w:sz w:val="13"/>
                <w:szCs w:val="13"/>
                <w:color w:val="auto"/>
              </w:rPr>
            </w:pP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Pr>
          <w:p>
            <w:pPr>
              <w:spacing w:after="0"/>
              <w:rPr>
                <w:sz w:val="13"/>
                <w:szCs w:val="13"/>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60" w:type="dxa"/>
            <w:vAlign w:val="bottom"/>
            <w:tcBorders>
              <w:bottom w:val="single" w:sz="8" w:color="auto"/>
            </w:tcBorders>
            <w:vMerge w:val="continue"/>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45"/>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3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2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227,714</w:t>
            </w:r>
          </w:p>
        </w:tc>
        <w:tc>
          <w:tcPr>
            <w:tcW w:w="16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191,185</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36,529</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685,151</w:t>
            </w:r>
          </w:p>
        </w:tc>
        <w:tc>
          <w:tcPr>
            <w:tcW w:w="1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565,001</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120,150</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for the three and nine months ended September 30, 2025 compared to the same period in 2024 was primarily due to the following:</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4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31,454</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36,529</w:t>
            </w: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431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Professional fees increased due to an increase in the use of third party services and contractors as we continued to grow our engineering organization.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20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Professional fees increased due to an increase in the use of third party services and contractors as we continued to grow our engineering organization.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2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Pr>
          <w:p>
            <w:pPr>
              <w:spacing w:after="0"/>
              <w:rPr>
                <w:sz w:val="13"/>
                <w:szCs w:val="13"/>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0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3"/>
                <w:szCs w:val="13"/>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4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5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2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3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4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355,268</w:t>
            </w:r>
          </w:p>
        </w:tc>
        <w:tc>
          <w:tcPr>
            <w:tcW w:w="14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309,928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1,021,844</w:t>
            </w:r>
          </w:p>
        </w:tc>
        <w:tc>
          <w:tcPr>
            <w:tcW w:w="16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904,010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117,834</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increase in sales and marketing expense for the three and nine months ended September 30, 2025 compared to the same period in 2024 was primarily due to the following:</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31,782</w:t>
            </w:r>
          </w:p>
        </w:tc>
        <w:tc>
          <w:tcPr>
            <w:tcW w:w="80" w:type="dxa"/>
            <w:vAlign w:val="bottom"/>
          </w:tcPr>
          <w:p>
            <w:pPr>
              <w:spacing w:after="0"/>
              <w:rPr>
                <w:sz w:val="20"/>
                <w:szCs w:val="20"/>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programs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Solutions Partner commissions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(4,570)</w:t>
            </w:r>
          </w:p>
        </w:tc>
        <w:tc>
          <w:tcPr>
            <w:tcW w:w="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18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 Solutions Partner commissions decreased as we changed the duration and eligibility of lifetime commissions for certain Solutions Partner to better align with the value delivered to customers. The decrease from the change in duration of commissions was offset by increased revenue generated through our Solutions Partners.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18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 Solutions Partner commissions decreased as we changed the duration and eligibility of lifetime commissions for certain Solutions Partner to better align with the value delivered to customers. The decrease from the change in duration of commissions was offset by increased revenue generated through our Solutions Partners.</w:t>
      </w: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4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140" w:type="dxa"/>
            <w:vAlign w:val="bottom"/>
          </w:tcPr>
          <w:p>
            <w:pPr>
              <w:spacing w:after="0"/>
              <w:rPr>
                <w:sz w:val="13"/>
                <w:szCs w:val="13"/>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00" w:type="dxa"/>
            <w:vAlign w:val="bottom"/>
          </w:tcPr>
          <w:p>
            <w:pPr>
              <w:spacing w:after="0"/>
              <w:rPr>
                <w:sz w:val="13"/>
                <w:szCs w:val="13"/>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8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9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8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9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30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80,747</w:t>
            </w:r>
          </w:p>
        </w:tc>
        <w:tc>
          <w:tcPr>
            <w:tcW w:w="14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244,380</w:t>
            </w:r>
          </w:p>
        </w:tc>
        <w:tc>
          <w:tcPr>
            <w:tcW w:w="1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219,380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5" w:name="page36"/>
    <w:bookmarkEnd w:id="35"/>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three and nine months ended September 30, 2025 compared to the same period in 2024 was primarily due to the following:</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credit card fees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43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20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Professional fees increased primarily due to increase in the use of third-party services and contractors. Allocated overhead expenses increased due to an increase in shared company expenses associated with our systems and infrastructure as we continued to grow our business.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22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Professional fees increased primarily due to increase in the use of third-party services and contractors. Allocated overhead expenses increased due to an increase in shared company expenses associated with our systems and infrastructure as we continued to grow our business.</w:t>
      </w:r>
    </w:p>
    <w:p>
      <w:pPr>
        <w:spacing w:after="0" w:line="3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94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gridSpan w:val="3"/>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Borders>
              <w:bottom w:val="single" w:sz="8" w:color="auto"/>
            </w:tcBorders>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700" w:type="dxa"/>
            <w:vAlign w:val="bottom"/>
          </w:tcPr>
          <w:p>
            <w:pPr>
              <w:jc w:val="right"/>
              <w:ind w:right="546"/>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1,037</w:t>
            </w:r>
          </w:p>
        </w:tc>
        <w:tc>
          <w:tcPr>
            <w:tcW w:w="120" w:type="dxa"/>
            <w:vAlign w:val="bottom"/>
          </w:tcPr>
          <w:p>
            <w:pPr>
              <w:spacing w:after="0"/>
              <w:rPr>
                <w:sz w:val="17"/>
                <w:szCs w:val="17"/>
                <w:color w:val="auto"/>
              </w:rPr>
            </w:pPr>
          </w:p>
        </w:tc>
        <w:tc>
          <w:tcPr>
            <w:tcW w:w="740" w:type="dxa"/>
            <w:vAlign w:val="bottom"/>
          </w:tcPr>
          <w:p>
            <w:pPr>
              <w:jc w:val="right"/>
              <w:ind w:right="584"/>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3"/>
          </w:tcPr>
          <w:p>
            <w:pPr>
              <w:jc w:val="right"/>
              <w:ind w:right="508"/>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3,222</w:t>
            </w:r>
          </w:p>
        </w:tc>
        <w:tc>
          <w:tcPr>
            <w:tcW w:w="120" w:type="dxa"/>
            <w:vAlign w:val="bottom"/>
          </w:tcPr>
          <w:p>
            <w:pPr>
              <w:spacing w:after="0"/>
              <w:rPr>
                <w:sz w:val="17"/>
                <w:szCs w:val="17"/>
                <w:color w:val="auto"/>
              </w:rPr>
            </w:pPr>
          </w:p>
        </w:tc>
        <w:tc>
          <w:tcPr>
            <w:tcW w:w="660" w:type="dxa"/>
            <w:vAlign w:val="bottom"/>
          </w:tcPr>
          <w:p>
            <w:pPr>
              <w:jc w:val="right"/>
              <w:ind w:right="50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2,847</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charges in the three and nine months ended September 30, 2025 and 2024 consisted of variable facilities-related costs on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space.</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9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2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160" w:type="dxa"/>
            <w:vAlign w:val="bottom"/>
          </w:tcPr>
          <w:p>
            <w:pPr>
              <w:spacing w:after="0"/>
              <w:rPr>
                <w:sz w:val="17"/>
                <w:szCs w:val="17"/>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21,780</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(7,528)</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53,106</w:t>
            </w:r>
          </w:p>
        </w:tc>
        <w:tc>
          <w:tcPr>
            <w:tcW w:w="160" w:type="dxa"/>
            <w:vAlign w:val="bottom"/>
          </w:tcPr>
          <w:p>
            <w:pPr>
              <w:spacing w:after="0"/>
              <w:rPr>
                <w:sz w:val="17"/>
                <w:szCs w:val="17"/>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60,877</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340" w:firstLine="544"/>
        <w:spacing w:after="0" w:line="282" w:lineRule="auto"/>
        <w:rPr>
          <w:sz w:val="20"/>
          <w:szCs w:val="20"/>
          <w:color w:val="auto"/>
        </w:rPr>
      </w:pPr>
      <w:r>
        <w:rPr>
          <w:rFonts w:ascii="Times New Roman" w:cs="Times New Roman" w:eastAsia="Times New Roman" w:hAnsi="Times New Roman"/>
          <w:sz w:val="18"/>
          <w:szCs w:val="18"/>
          <w:color w:val="auto"/>
        </w:rPr>
        <w:t>The decrease during the three and nine months ended September 30, 2025 is primarily due to lower average investment balances driven by cash outlays from our 2025 Notes settlements and 2025 Share Repurchase Program.</w:t>
      </w: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82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auto"/>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780" w:type="dxa"/>
            <w:vAlign w:val="bottom"/>
          </w:tcPr>
          <w:p>
            <w:pPr>
              <w:jc w:val="right"/>
              <w:ind w:right="626"/>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tcPr>
          <w:p>
            <w:pPr>
              <w:jc w:val="right"/>
              <w:ind w:right="508"/>
              <w:spacing w:after="0"/>
              <w:rPr>
                <w:sz w:val="20"/>
                <w:szCs w:val="20"/>
                <w:color w:val="auto"/>
              </w:rPr>
            </w:pPr>
            <w:r>
              <w:rPr>
                <w:rFonts w:ascii="Times New Roman" w:cs="Times New Roman" w:eastAsia="Times New Roman" w:hAnsi="Times New Roman"/>
                <w:sz w:val="16"/>
                <w:szCs w:val="16"/>
                <w:color w:val="auto"/>
              </w:rPr>
              <w:t>(4)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(936)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98" w:lineRule="exact"/>
        <w:rPr>
          <w:sz w:val="20"/>
          <w:szCs w:val="20"/>
          <w:color w:val="auto"/>
        </w:rPr>
      </w:pPr>
    </w:p>
    <w:p>
      <w:pPr>
        <w:ind w:right="280" w:firstLine="544"/>
        <w:spacing w:after="0" w:line="282" w:lineRule="auto"/>
        <w:rPr>
          <w:sz w:val="20"/>
          <w:szCs w:val="20"/>
          <w:color w:val="auto"/>
        </w:rPr>
      </w:pPr>
      <w:r>
        <w:rPr>
          <w:rFonts w:ascii="Times New Roman" w:cs="Times New Roman" w:eastAsia="Times New Roman" w:hAnsi="Times New Roman"/>
          <w:sz w:val="18"/>
          <w:szCs w:val="18"/>
          <w:color w:val="auto"/>
        </w:rPr>
        <w:t>Interest expense decreased due to the early conversion of a portion of our 2025 Notes in the first quarter of 2025 and settlement of the remaining 2025 Notes upon maturity in June 2025.</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5"/>
                <w:szCs w:val="15"/>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(2,346) $</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(565)</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   (1,781)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315%$</w:t>
            </w:r>
          </w:p>
        </w:tc>
        <w:tc>
          <w:tcPr>
            <w:tcW w:w="12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(3,560)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14,381</w:t>
            </w:r>
          </w:p>
        </w:tc>
        <w:tc>
          <w:tcPr>
            <w:tcW w:w="14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(17,941)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other (expense) income during the three and nine months ended September 30, 2025 is primarily due to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 and losses</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strategic investments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(2,075)</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Gain on strategic investments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(16,569)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(1,781)</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(17,941)</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187" w:lineRule="exact"/>
        <w:rPr>
          <w:sz w:val="20"/>
          <w:szCs w:val="20"/>
          <w:color w:val="auto"/>
        </w:rPr>
      </w:pPr>
    </w:p>
    <w:p>
      <w:pPr>
        <w:ind w:right="100" w:firstLine="544"/>
        <w:spacing w:after="0" w:line="266" w:lineRule="auto"/>
        <w:rPr>
          <w:sz w:val="20"/>
          <w:szCs w:val="20"/>
          <w:color w:val="auto"/>
        </w:rPr>
      </w:pPr>
      <w:r>
        <w:rPr>
          <w:rFonts w:ascii="Times New Roman" w:cs="Times New Roman" w:eastAsia="Times New Roman" w:hAnsi="Times New Roman"/>
          <w:sz w:val="18"/>
          <w:szCs w:val="18"/>
          <w:color w:val="auto"/>
        </w:rPr>
        <w:t>The change in foreign currency gains and losses transactions is primarily attributable to the value of the U.S. Dollar relative to the Euro and British Pound Sterling. The increase in the impairment of strategic investments is due to impairments of $2.1 million in the three months ended September 30, 2025 that did not occur in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187" w:lineRule="exact"/>
        <w:rPr>
          <w:sz w:val="20"/>
          <w:szCs w:val="20"/>
          <w:color w:val="auto"/>
        </w:rPr>
      </w:pPr>
    </w:p>
    <w:p>
      <w:pPr>
        <w:ind w:right="20" w:firstLine="544"/>
        <w:spacing w:after="0" w:line="258" w:lineRule="auto"/>
        <w:rPr>
          <w:sz w:val="20"/>
          <w:szCs w:val="20"/>
          <w:color w:val="auto"/>
        </w:rPr>
      </w:pPr>
      <w:r>
        <w:rPr>
          <w:rFonts w:ascii="Times New Roman" w:cs="Times New Roman" w:eastAsia="Times New Roman" w:hAnsi="Times New Roman"/>
          <w:sz w:val="18"/>
          <w:szCs w:val="18"/>
          <w:color w:val="auto"/>
        </w:rPr>
        <w:t>The change in foreign currency gains and losses transactions is primarily attributable to the value of the U.S. Dollar relative to the Euro and British Pound Sterling. The decrease in the impairment of strategic investments is due to an impairment of $4.1 million in the nine months ended September 30, 2024 compared to $3.7 million in the nine months ended September 30, 2025. The decrease in gain on strategic investments is due to gains of $18.6 million from observable price changes in the value of certain strategic investments in the nine months ended September 30, 2024 compared to $2.0 million in the nine months ended September 30, 2025.</w:t>
      </w:r>
    </w:p>
    <w:p>
      <w:pPr>
        <w:spacing w:after="0" w:line="3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18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0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2"/>
                <w:szCs w:val="12"/>
                <w:color w:val="auto"/>
              </w:rPr>
            </w:pPr>
          </w:p>
        </w:tc>
      </w:tr>
      <w:tr>
        <w:trPr>
          <w:trHeight w:val="19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20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100" w:type="dxa"/>
            <w:vAlign w:val="bottom"/>
          </w:tcPr>
          <w:p>
            <w:pPr>
              <w:spacing w:after="0"/>
              <w:rPr>
                <w:sz w:val="17"/>
                <w:szCs w:val="17"/>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(16,322)</w:t>
            </w:r>
          </w:p>
        </w:tc>
        <w:tc>
          <w:tcPr>
            <w:tcW w:w="20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w:t>
            </w:r>
          </w:p>
        </w:tc>
        <w:tc>
          <w:tcPr>
            <w:tcW w:w="20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7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(209)%</w:t>
            </w: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 change</w:t>
      </w:r>
    </w:p>
    <w:p>
      <w:pPr>
        <w:spacing w:after="0" w:line="22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increase in the income tax expense was primarily driven by the timing of when our foreign entities realize pre-tax earnings and losses throughout the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 change</w:t>
      </w:r>
    </w:p>
    <w:p>
      <w:pPr>
        <w:spacing w:after="0" w:line="22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increase in the income tax expense is a result of increased foreign tax expense offset by the timing of when our US entity realizes pre-tax earnings and losses throughout the year.</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4th, 2025, the One Big Beautiful Bill Act (“OBBBA”) was enacted, introducing changes to U.S. tax law. The effects of the OBBBA have been incorporated into the income tax provision computation for the accompanying financial statements for the three and nine months ended September 30, 2025 and the impact was not material. We will continue to evaluate the changes from OBBBA, monitor developments, and assess our tax position as further guidance becomes available.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to date have been cash and cash equivalents, net accounts receivable, our common stock offerings, and our convertible notes offerings.</w:t>
      </w:r>
    </w:p>
    <w:p>
      <w:pPr>
        <w:spacing w:after="0" w:line="121" w:lineRule="exact"/>
        <w:rPr>
          <w:sz w:val="20"/>
          <w:szCs w:val="20"/>
          <w:color w:val="auto"/>
        </w:rPr>
      </w:pPr>
    </w:p>
    <w:p>
      <w:pPr>
        <w:jc w:val="both"/>
        <w:ind w:right="60" w:firstLine="554"/>
        <w:spacing w:after="0" w:line="266" w:lineRule="auto"/>
        <w:rPr>
          <w:sz w:val="20"/>
          <w:szCs w:val="20"/>
          <w:color w:val="auto"/>
        </w:rPr>
      </w:pPr>
      <w:r>
        <w:rPr>
          <w:rFonts w:ascii="Times New Roman" w:cs="Times New Roman" w:eastAsia="Times New Roman" w:hAnsi="Times New Roman"/>
          <w:sz w:val="18"/>
          <w:szCs w:val="18"/>
          <w:color w:val="auto"/>
        </w:rPr>
        <w:t>The following table shows cash and cash equivalents, working capital, net cash and cash equivalents provided by operating activities, net cash and cash equivalents provided by (used in) investing activities, and net cash and cash equivalents (used in) provided by financing activities for the nine months ended September 30, 2025 and 2024.</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4"/>
        </w:trPr>
        <w:tc>
          <w:tcPr>
            <w:tcW w:w="5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center"/>
              <w:ind w:right="588"/>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614,352</w:t>
            </w:r>
          </w:p>
        </w:tc>
        <w:tc>
          <w:tcPr>
            <w:tcW w:w="160" w:type="dxa"/>
            <w:vAlign w:val="bottom"/>
          </w:tcPr>
          <w:p>
            <w:pPr>
              <w:spacing w:after="0"/>
              <w:rPr>
                <w:sz w:val="20"/>
                <w:szCs w:val="20"/>
                <w:color w:val="auto"/>
              </w:rPr>
            </w:pP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410,060</w:t>
            </w:r>
          </w:p>
        </w:tc>
        <w:tc>
          <w:tcPr>
            <w:tcW w:w="120" w:type="dxa"/>
            <w:vAlign w:val="bottom"/>
          </w:tcPr>
          <w:p>
            <w:pPr>
              <w:spacing w:after="0"/>
              <w:rPr>
                <w:sz w:val="20"/>
                <w:szCs w:val="20"/>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950,157</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operating activities</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404,458</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(430,353)</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provided by financing activities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(900,543)</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43,434</w:t>
            </w:r>
          </w:p>
        </w:tc>
        <w:tc>
          <w:tcPr>
            <w:tcW w:w="120" w:type="dxa"/>
            <w:vAlign w:val="bottom"/>
          </w:tcPr>
          <w:p>
            <w:pPr>
              <w:spacing w:after="0"/>
              <w:rPr>
                <w:sz w:val="20"/>
                <w:szCs w:val="20"/>
                <w:color w:val="auto"/>
              </w:rPr>
            </w:pPr>
          </w:p>
        </w:tc>
      </w:tr>
    </w:tbl>
    <w:p>
      <w:pPr>
        <w:spacing w:after="0" w:line="13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cash and cash equivalents at September 30, 2025 were held for working capital purposes. At September 30, 2025, $321.9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5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Provided by Operating Activities</w:t>
      </w:r>
    </w:p>
    <w:p>
      <w:pPr>
        <w:spacing w:after="0" w:line="1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consist primarily of net income (loss) adjusted for certain non-cash items, including stock-based compensation, depreciation and amortization and other non-cash charges, net.</w:t>
      </w:r>
    </w:p>
    <w:p>
      <w:pPr>
        <w:spacing w:after="0" w:line="135" w:lineRule="exact"/>
        <w:rPr>
          <w:sz w:val="20"/>
          <w:szCs w:val="20"/>
          <w:color w:val="auto"/>
        </w:rPr>
      </w:pPr>
    </w:p>
    <w:p>
      <w:pPr>
        <w:ind w:firstLine="544"/>
        <w:spacing w:after="0" w:line="254"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nine months ended September 30, 2025 primarily reflected our net loss of $8.5 million, $97.7 million of depreciation and amortization, $395.8 million in stock-based compensation, impairments of strategic investments of $3.7 million, and $0.6 million of amortization of debt discount and issuance costs, offset by non-cash expenses that included $33.4 million accretion of bond discounts, gains on strategic investments of $2.0 million, and $1.8 million of unrealized currency translation. Working capital sources of cash and cash equivalents primarily included a $35.8 million decrease in accounts receivable related to increased collection, a $19.3 million decrease in right-of-use asset, a $20.1 million increase in accounts payable related to timing of bill payments, a $61.6 million increase in accrued expenses and other liabilities, and a $61.4 million increase in deferred revenue primarily resulting from the growth in the number of customers invoiced during the period. These sources of cash and cash equivalents were offset by a $37.2 million increase in prepaid expenses and other assets, a $73.2 million increase in deferred commissions, and a $26.3 million decrease in operating lease liabilities.</w:t>
      </w:r>
    </w:p>
    <w:p>
      <w:pPr>
        <w:spacing w:after="0" w:line="148" w:lineRule="exact"/>
        <w:rPr>
          <w:sz w:val="20"/>
          <w:szCs w:val="20"/>
          <w:color w:val="auto"/>
        </w:rPr>
      </w:pPr>
    </w:p>
    <w:p>
      <w:pPr>
        <w:ind w:right="60" w:firstLine="544"/>
        <w:spacing w:after="0" w:line="258"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nine months ended September 30, 2024 primarily reflected our net loss of $0.4 million, $68.4 million of depreciation and amortization, $370.4 million in stock-based compensation, an impairment of strategic investments of $4.1 million, and $1.5 million of amortization of debt discount and issuance costs, offset by non-cash expenses that included $36.7 million accretion of bond discounts, a gain on strategic investments of $18.5 million, $0.6 million benefit from deferred income taxes, and $3.4 million of unrealized currency translation. Working capital sources of cash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38" w:name="page39"/>
    <w:bookmarkEnd w:id="38"/>
    <w:p>
      <w:pPr>
        <w:ind w:right="160"/>
        <w:spacing w:after="0" w:line="258" w:lineRule="auto"/>
        <w:rPr>
          <w:sz w:val="20"/>
          <w:szCs w:val="20"/>
          <w:color w:val="auto"/>
        </w:rPr>
      </w:pPr>
      <w:r>
        <w:rPr>
          <w:rFonts w:ascii="Times New Roman" w:cs="Times New Roman" w:eastAsia="Times New Roman" w:hAnsi="Times New Roman"/>
          <w:sz w:val="18"/>
          <w:szCs w:val="18"/>
          <w:color w:val="auto"/>
        </w:rPr>
        <w:t>cash equivalents primarily included a $41.1 million increase in deferred revenue primarily resulting from the growth in the number of customers invoiced during the period, a $13.9 million decrease in accounts receivable related to increased collection, a $39.3 million increase in accrued expenses and other liabilities, a $26.5 million decrease in right-of-use asset, and a $1.4 million increase in accounts payable related to timing of bill payments. These sources of cash and cash equivalents were offset by a $8.6 million increase in prepaid expenses and other assets, a $32.6 million decrease in operating lease liabilities, and a $61.4 million increase in deferred commissions.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Provided by (Used in) Investing Activities</w:t>
      </w:r>
    </w:p>
    <w:p>
      <w:pPr>
        <w:spacing w:after="0" w:line="187" w:lineRule="exact"/>
        <w:rPr>
          <w:sz w:val="20"/>
          <w:szCs w:val="20"/>
          <w:color w:val="auto"/>
        </w:rPr>
      </w:pPr>
    </w:p>
    <w:p>
      <w:pPr>
        <w:ind w:right="220" w:firstLine="544"/>
        <w:spacing w:after="0" w:line="266" w:lineRule="auto"/>
        <w:rPr>
          <w:sz w:val="20"/>
          <w:szCs w:val="20"/>
          <w:color w:val="auto"/>
        </w:rPr>
      </w:pPr>
      <w:r>
        <w:rPr>
          <w:rFonts w:ascii="Times New Roman" w:cs="Times New Roman" w:eastAsia="Times New Roman" w:hAnsi="Times New Roman"/>
          <w:sz w:val="18"/>
          <w:szCs w:val="18"/>
          <w:color w:val="auto"/>
        </w:rPr>
        <w:t>Our investing activities have consisted primarily of purchases and maturities of investments, property and equipment purchases, purchases of strategic investments, capitalization of software development costs, and business acquisitions. Capitalized software development costs are related to new products or improvements to our existing software platform that expand the functionality for our customers.</w:t>
      </w:r>
    </w:p>
    <w:p>
      <w:pPr>
        <w:spacing w:after="0" w:line="135" w:lineRule="exact"/>
        <w:rPr>
          <w:sz w:val="20"/>
          <w:szCs w:val="20"/>
          <w:color w:val="auto"/>
        </w:rPr>
      </w:pPr>
    </w:p>
    <w:p>
      <w:pPr>
        <w:ind w:right="40" w:firstLine="544"/>
        <w:spacing w:after="0" w:line="266" w:lineRule="auto"/>
        <w:rPr>
          <w:sz w:val="20"/>
          <w:szCs w:val="20"/>
          <w:color w:val="auto"/>
        </w:rPr>
      </w:pPr>
      <w:r>
        <w:rPr>
          <w:rFonts w:ascii="Times New Roman" w:cs="Times New Roman" w:eastAsia="Times New Roman" w:hAnsi="Times New Roman"/>
          <w:sz w:val="18"/>
          <w:szCs w:val="18"/>
          <w:color w:val="auto"/>
        </w:rPr>
        <w:t>Net cash and cash equivalents provided by investing activities during the nine months ended September 30, 2025 consisted primarily of $1.9 billion received related to the maturity of investments, offset by $1.2 billion purchases of investments, $39.7 million of purchased property and equipment, $27.7 million purchases of strategic investments, $100.4 million of capitalized software development costs, and $71.5 million related to business acquisitions.</w:t>
      </w:r>
    </w:p>
    <w:p>
      <w:pPr>
        <w:spacing w:after="0" w:line="149" w:lineRule="exact"/>
        <w:rPr>
          <w:sz w:val="20"/>
          <w:szCs w:val="20"/>
          <w:color w:val="auto"/>
        </w:rPr>
      </w:pPr>
    </w:p>
    <w:p>
      <w:pPr>
        <w:ind w:right="220" w:firstLine="544"/>
        <w:spacing w:after="0" w:line="261"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nine months ended September 30, 2024 consisted primarily of cash used for $1.5 billion purchases of investments, $7.6 million of purchases of strategic investments, $3.9 million in an equity method investment, $25.2 million of purchased property and equipment, and $66.7 million of capitalized software development costs, offset by $1.2 billion received related to the maturity of investments, $2.0 million of proceeds from sale of investments, and $1.9 million of proceeds from a net working capital settlement.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(Used in) Provided by Financing Activities</w:t>
      </w:r>
    </w:p>
    <w:p>
      <w:pPr>
        <w:spacing w:after="0" w:line="187"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have consisted primarily of the repayment of our 2025 Notes, repurchases of our common stock, the issuance of common stock under our stock plans, and payments of employee taxes related to the net share settlement of stock-based awards.</w:t>
      </w:r>
    </w:p>
    <w:p>
      <w:pPr>
        <w:spacing w:after="0" w:line="135" w:lineRule="exact"/>
        <w:rPr>
          <w:sz w:val="20"/>
          <w:szCs w:val="20"/>
          <w:color w:val="auto"/>
        </w:rPr>
      </w:pPr>
    </w:p>
    <w:p>
      <w:pPr>
        <w:jc w:val="both"/>
        <w:ind w:right="240" w:firstLine="54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cash used in financing activities consisted of $485.3 million used for repurchases of our common stock, $459.8 million for repayments of the 2025 Notes attributable to the principal, and $18.2 million used for payment of employee taxes related to the net share settlement of stock-based awards, offset by $62.7 million of proceeds related to issuance of common stock under stock plans.</w:t>
      </w:r>
    </w:p>
    <w:p>
      <w:pPr>
        <w:spacing w:after="0" w:line="135" w:lineRule="exact"/>
        <w:rPr>
          <w:sz w:val="20"/>
          <w:szCs w:val="20"/>
          <w:color w:val="auto"/>
        </w:rPr>
      </w:pPr>
    </w:p>
    <w:p>
      <w:pPr>
        <w:jc w:val="both"/>
        <w:ind w:right="260" w:firstLine="544"/>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2024 cash provided in financing activities consisted of $61.2 million of proceeds related to issuance of common stock under stock plans, offset by $17.8 million used for payment of employee taxes related to the net share settlement of stock-based awards.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Considerations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September 30, 2025, the total obligation for operating leases was $328.2 million, of which $58.1 million is expected in the next twelve months. As of September 30, 2025, our vendor commitment was $487.5 million, of which $219.2 million is expected in the next twelve months. See Note 12 for all obligations the Company is committed to in the notes to the consolidated financial statements included elsewhere in this Quarterly Report on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0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May 2025, the Company’s Board of Directors authorized a share repurchase program for the repurchase of shares of the Company’s common stock, in an aggregate amount of up to $500 million (the “2025 Share Repurchase Program”) over a period of up to 12 months. All repurchases under the 2025 Share Repurchase Program are made through open market trades pursuant to 10b5-1 plans. The 2025 Share Repurchase Program does not obligate the Company to acquire a specified number of shares, and may be suspended, modified, or terminated at any time, and will be funded using the Company's cash and cash equivalents. During the nine months ended September 30, 2025, the Company repurchased 1.0 million shares of its common stock at an average price of $501.67 per share, for an aggregate repurchase amount of $500.0 million. As of September 30, 2025, the Company has completed the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ind w:right="480"/>
        <w:spacing w:after="0" w:line="406" w:lineRule="auto"/>
        <w:rPr>
          <w:sz w:val="20"/>
          <w:szCs w:val="20"/>
          <w:color w:val="auto"/>
        </w:rPr>
      </w:pPr>
      <w:r>
        <w:rPr>
          <w:rFonts w:ascii="Times New Roman" w:cs="Times New Roman" w:eastAsia="Times New Roman" w:hAnsi="Times New Roman"/>
          <w:sz w:val="18"/>
          <w:szCs w:val="18"/>
          <w:color w:val="auto"/>
        </w:rPr>
        <w:t xml:space="preserve">Share Repurchase Program. See Note 14 of the notes to consolidated financial statements included elsewhere in this Quarterly Report on Form 10-Q. </w:t>
      </w:r>
      <w:r>
        <w:rPr>
          <w:rFonts w:ascii="Times New Roman" w:cs="Times New Roman" w:eastAsia="Times New Roman" w:hAnsi="Times New Roman"/>
          <w:sz w:val="18"/>
          <w:szCs w:val="18"/>
          <w:i w:val="1"/>
          <w:iCs w:val="1"/>
          <w:color w:val="auto"/>
        </w:rPr>
        <w:t>Letters of Credit</w:t>
      </w:r>
    </w:p>
    <w:p>
      <w:pPr>
        <w:spacing w:after="0" w:line="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had a total of $2.7 million in letters of credit outstanding for office space. These irrevocable letters of credit are expected to remain in effect, in some cases, until 2029.</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off-balance sheet arrangements as of September 30, 2025 exclusive of items described above and indemnifications of officers, directors and employees for certain events or occurrences while the officer, director or employee is, or was, serving at our request in such capacity.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480" w:firstLine="54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September 30, 2025 as compared to the critical accounting policies and estimates disclosed in our Annual Report on Form 10-K for the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recent accounting pronouncements, see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the notes to the consolidated financial statements appearing elsewhere in this Quarterly Report on Form 10-Q.</w:t>
      </w: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foreign currency risks related to our revenue, cost of revenue, and operating expenses denominated in currencies other than the U.S. dollar.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we translate foreign currencies into U.S. dollars for financial reporting purposes, currency fluctuations can have an impact on our financial results.</w:t>
      </w:r>
    </w:p>
    <w:p>
      <w:pPr>
        <w:spacing w:after="0" w:line="20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income as a result of transaction gains or losses related to revaluing monetary assets and liabilities that are denominated in currencies other than the functional currency of the entities in which they are recorded. Our hedging program allows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for impact of the hedging program to our financial statements.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ind w:firstLine="544"/>
        <w:spacing w:after="0" w:line="253" w:lineRule="auto"/>
        <w:rPr>
          <w:sz w:val="20"/>
          <w:szCs w:val="20"/>
          <w:color w:val="auto"/>
        </w:rPr>
      </w:pPr>
      <w:r>
        <w:rPr>
          <w:rFonts w:ascii="Times New Roman" w:cs="Times New Roman" w:eastAsia="Times New Roman" w:hAnsi="Times New Roman"/>
          <w:sz w:val="18"/>
          <w:szCs w:val="18"/>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Our cash and cash equivalents and short- and long-term investments are subject to market risk due to changes in interest rates. Fixed rate securities may have their market value adversely affected due to a rise in interest rates. As our short- and long-term investments are classified as available-for-sale, no gains or losses are recognized in our consolidated statements of operations due to changes in interest rates unless such securities are sold prior to maturity or the decline in fair value is caused by expected credit losses. As of September 30, 2025, a hypothetical increase of 100-basis points in interest rates would not have a material impact on the value of our cash and cash equivalents or short- and long-term investments in our consolidated financial statements. This estimate is based on a sensitivity model that measures market value changes when changes in interest rates occur. We do not currently hedge our interest rate exposure and do not enter into financial instruments for trading or speculative purposes.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spacing w:after="0"/>
        <w:tabs>
          <w:tab w:leader="none" w:pos="700" w:val="left"/>
        </w:tabs>
        <w:rPr>
          <w:sz w:val="20"/>
          <w:szCs w:val="20"/>
          <w:color w:val="auto"/>
        </w:rPr>
      </w:pPr>
      <w:r>
        <w:rPr>
          <w:rFonts w:ascii="Times New Roman" w:cs="Times New Roman" w:eastAsia="Times New Roman" w:hAnsi="Times New Roman"/>
          <w:sz w:val="18"/>
          <w:szCs w:val="18"/>
          <w:color w:val="auto"/>
        </w:rPr>
        <w:t>Item 4.</w:t>
        <w:tab/>
        <w:t>Controls and Procedures</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Inherent Limitations of Internal Controls</w:t>
      </w:r>
      <w:r>
        <w:rPr>
          <w:rFonts w:ascii="Times New Roman" w:cs="Times New Roman" w:eastAsia="Times New Roman" w:hAnsi="Times New Roman"/>
          <w:sz w:val="18"/>
          <w:szCs w:val="18"/>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 renewals, the addition of new customers, increased revenue from existing customers and the continued growth of the market for a customer platform.</w:t>
      </w:r>
    </w:p>
    <w:p>
      <w:pPr>
        <w:spacing w:after="0" w:line="1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to derive, a substantial portion of our revenue from the sale of subscriptions to our customer platform. The market for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and consumption-based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subscription renewal rates may decrease, and any decrease could harm our future revenue and operating results.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right="180"/>
        <w:spacing w:after="0" w:line="266" w:lineRule="auto"/>
        <w:rPr>
          <w:sz w:val="20"/>
          <w:szCs w:val="20"/>
          <w:color w:val="auto"/>
        </w:rPr>
      </w:pPr>
      <w:r>
        <w:rPr>
          <w:rFonts w:ascii="Times New Roman" w:cs="Times New Roman" w:eastAsia="Times New Roman" w:hAnsi="Times New Roman"/>
          <w:sz w:val="18"/>
          <w:szCs w:val="18"/>
          <w:color w:val="auto"/>
        </w:rPr>
        <w:t>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in the software market in which we operate, which may harm our ability to add new customers, retain existing customers and grow our business.</w:t>
      </w:r>
    </w:p>
    <w:p>
      <w:pPr>
        <w:spacing w:after="0" w:line="15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other software companies in the market we operate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automation and CRM software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software providers;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systems.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organizational change in recent periods and expect growth of headcount and operations over the long-term. If we fail to manage growth and organizational change effectively, we may be unable to execute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plan, maintain high levels of service or address competitive challenges adequately.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headcount and operations continue to grow. For example, we had 8,824 full-time employees as of September 30, 2025 and 8,246 as of December 31, 2024.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customer platform capabilities could harm our ability to increase our customer base and achieve broader market acceptance of our platform.</w:t>
      </w:r>
    </w:p>
    <w:p>
      <w:pPr>
        <w:spacing w:after="0" w:line="159"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The rate of growth of our business depends on the continued participation and level of service of our Solutions Partners.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thought leadership position, our business may suffer.</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marketing, sales, services, operations, commerce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ind w:right="160"/>
        <w:spacing w:after="0" w:line="282" w:lineRule="auto"/>
        <w:rPr>
          <w:sz w:val="20"/>
          <w:szCs w:val="20"/>
          <w:color w:val="auto"/>
        </w:rPr>
      </w:pPr>
      <w:r>
        <w:rPr>
          <w:rFonts w:ascii="Times New Roman" w:cs="Times New Roman" w:eastAsia="Times New Roman" w:hAnsi="Times New Roman"/>
          <w:sz w:val="18"/>
          <w:szCs w:val="18"/>
          <w:color w:val="auto"/>
        </w:rPr>
        <w:t>revenue, and even if they do, any increased revenue may not offset the expenses we incurred in building our brand. If we fail to successfully promote and maintain our brand, our business could suffer.</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requirements, our customer platform may become less competitive.</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marketing software and related applications at lower prices, more efficiently, more conveniently or more securely, such technologies could adversely affect our ability to compete.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may suffer.</w:t>
      </w:r>
    </w:p>
    <w:p>
      <w:pPr>
        <w:spacing w:after="0" w:line="22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5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w:t>
      </w:r>
    </w:p>
    <w:p>
      <w:pPr>
        <w:spacing w:after="0" w:line="17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w:t>
      </w:r>
    </w:p>
    <w:p>
      <w:pPr>
        <w:spacing w:after="0" w:line="1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development of next-generation solutions that utilize new and advanced features, including AI and machine learning, such as Breeze, involves making predictions regarding the willingness of the market to adopt such technologies over legacy solutions. The Company may be required to commit significant resources to developing new products, software and services, such as Breeze, before knowing whether such investment will result in products or services that the market will accept.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 applications such as generative AI content creation, including Breeze, may require additional investment in the development or acquisition of proprietary datasets, machine learning models and systems to test for accuracy, bias and other variables, which are often complex. Development of new approaches and processes to provide attribution or 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businesses that purchase our platform or in the applications within our customer platform purchased or used by our customers could negatively affect our operating results.</w:t>
      </w:r>
    </w:p>
    <w:p>
      <w:pPr>
        <w:spacing w:after="0" w:line="15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including data handling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p>
    <w:p>
      <w:pPr>
        <w:spacing w:after="0" w:line="9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spacing w:after="0" w:line="10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our company culture with a dispersed and distant workforce;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data, particularly in the European Union;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 including tariffs or other trade restrictions;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caused by global political events, including changes in trade policies, including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disputes, wars, political instability or terrorist activities and resulting economic instability;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relating to the use of new and evolving technologies, such as AI, in our offerings may result in reputational harm and liability.</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experience changes in our workforce, we could lose the innovation, teamwork, passion and focus on execution that we believe contribute to our success and our business may be harmed.</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spacing w:after="0" w:line="19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Global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adversely affect our financial results.</w:t>
      </w:r>
    </w:p>
    <w:p>
      <w:pPr>
        <w:spacing w:after="0" w:line="229" w:lineRule="exact"/>
        <w:rPr>
          <w:sz w:val="20"/>
          <w:szCs w:val="20"/>
          <w:color w:val="auto"/>
        </w:rPr>
      </w:pPr>
    </w:p>
    <w:p>
      <w:pPr>
        <w:ind w:right="40" w:firstLine="554"/>
        <w:spacing w:after="0" w:line="252" w:lineRule="auto"/>
        <w:rPr>
          <w:sz w:val="20"/>
          <w:szCs w:val="20"/>
          <w:color w:val="auto"/>
        </w:rPr>
      </w:pPr>
      <w:r>
        <w:rPr>
          <w:rFonts w:ascii="Times New Roman" w:cs="Times New Roman" w:eastAsia="Times New Roman" w:hAnsi="Times New Roman"/>
          <w:sz w:val="18"/>
          <w:szCs w:val="18"/>
          <w:color w:val="auto"/>
        </w:rPr>
        <w:t>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harm our industry, business and results of operations.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trade issues, such as trade wars, tariffs or other trade restrictions or the threat of such actions. For example, on October 1, 2025, the U.S. federal government entered a shutdown suspending services deemed non-essential as a result of the failure by Congress to enact regular appropriations for the 2026 fiscal year. If the shutdown continues for a prolonged period of time, it could result in increased uncertainty and volatility in the global economy and financial markets which could have an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Further, weak market conditions have, and could in the future result in, impairment of our investments and long-lived assets.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conflicts between Russia and Ukraine and in Israel, Gaza, and Iran. The effects of such conflicts,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may lead to decreased demand for our products and services and otherwise harm our business and 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Impacts of economic weakness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falling overall demand for goods and services, leading to reduced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borrowing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labor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credit, equity and foreign exchange markets;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Economic weakness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Technical Operations Infrastructure and Dependence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 from our third-party data center providers could impair our ability to deliver our platform to our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resulting in customer dissatisfaction, damage to our reputation, loss of customers, limited growth and reduction in revenue.</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w:t>
      </w:r>
    </w:p>
    <w:p>
      <w:pPr>
        <w:spacing w:after="0" w:line="17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Similarly, security vulnerabilities or data breaches with our third-party providers could impact the security and availability of our platform.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 platform has outages or fails due to defects or similar problems, and if we fail to correct any defect or other software problems, we could lose customers, become subject to service performance or warranty claims or incur significant costs.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9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80"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From time to time, we find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1" w:name="page52"/>
    <w:bookmarkEnd w:id="51"/>
    <w:p>
      <w:pPr>
        <w:ind w:right="400"/>
        <w:spacing w:after="0" w:line="282" w:lineRule="auto"/>
        <w:rPr>
          <w:sz w:val="20"/>
          <w:szCs w:val="20"/>
          <w:color w:val="auto"/>
        </w:rPr>
      </w:pPr>
      <w:r>
        <w:rPr>
          <w:rFonts w:ascii="Times New Roman" w:cs="Times New Roman" w:eastAsia="Times New Roman" w:hAnsi="Times New Roman"/>
          <w:sz w:val="18"/>
          <w:szCs w:val="18"/>
          <w:color w:val="auto"/>
        </w:rPr>
        <w:t>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data hosting and transmission services.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or cannot maintain the compatibility of our customer platform with third-party applications that our customers use in their businesses, our revenue will decline.</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the loss of which could limit the functionality of our platform and disrupt our business.</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end users’ acceptance of Internet behavior tracking may limit the applicability, use and adoption of our customer platform.</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right="20"/>
        <w:spacing w:after="0" w:line="282" w:lineRule="auto"/>
        <w:rPr>
          <w:sz w:val="20"/>
          <w:szCs w:val="20"/>
          <w:color w:val="auto"/>
        </w:rPr>
      </w:pPr>
      <w:r>
        <w:rPr>
          <w:rFonts w:ascii="Times New Roman" w:cs="Times New Roman" w:eastAsia="Times New Roman" w:hAnsi="Times New Roman"/>
          <w:sz w:val="18"/>
          <w:szCs w:val="18"/>
          <w:color w:val="auto"/>
        </w:rPr>
        <w:t>burdens imposed by these groups’ policies and actions may limit the use and adoption of our customer platform and reduce overall demand for it, or lead to significant fines, penalties or liabilities for any noncompliance or loss of any such action.</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spacing w:after="0" w:line="17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spacing w:after="0" w:line="200" w:lineRule="exact"/>
        <w:rPr>
          <w:sz w:val="20"/>
          <w:szCs w:val="20"/>
          <w:color w:val="auto"/>
        </w:rPr>
      </w:pPr>
    </w:p>
    <w:p>
      <w:pPr>
        <w:spacing w:after="0" w:line="20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Cyber-attacks, denial-of-service attacks, ransomware attacks, supply chain attacks, business email compromises, computer malware, viruses, social engineering (including phishing), and other compromises are prevalent in our industry, the industries of certain of our service providers and our customers' industries. We have in the past experienced threats and security incidents related to our data and systems, and we may in the future experience other threats, compromises, breaches, or incidents.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with the expansion of remote work and resource access,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incidents, or compromises by third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parties seeking unauthorized access to our or our customers' data, systems, or infrastructure, or to disrupt our operations or ability to provide our services.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technology infringes the intellectual property rights of others.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ind w:right="100"/>
        <w:spacing w:after="0" w:line="255" w:lineRule="auto"/>
        <w:rPr>
          <w:sz w:val="20"/>
          <w:szCs w:val="20"/>
          <w:color w:val="auto"/>
        </w:rPr>
      </w:pPr>
      <w:r>
        <w:rPr>
          <w:rFonts w:ascii="Times New Roman" w:cs="Times New Roman" w:eastAsia="Times New Roman" w:hAnsi="Times New Roman"/>
          <w:sz w:val="18"/>
          <w:szCs w:val="18"/>
          <w:color w:val="auto"/>
        </w:rPr>
        <w:t>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spacing w:after="0" w:line="18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our subscription agreements with customers, we agree to indemnify them against claims by a third party alleging infringement of a valid patent, registered copyright or registered trademark. Customers can also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copyrights and patents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offer our platform and subject us to possible litigation.</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60"/>
        <w:spacing w:after="0" w:line="258" w:lineRule="auto"/>
        <w:rPr>
          <w:sz w:val="20"/>
          <w:szCs w:val="20"/>
          <w:color w:val="auto"/>
        </w:rPr>
      </w:pPr>
      <w:r>
        <w:rPr>
          <w:rFonts w:ascii="Times New Roman" w:cs="Times New Roman" w:eastAsia="Times New Roman" w:hAnsi="Times New Roman"/>
          <w:sz w:val="18"/>
          <w:szCs w:val="18"/>
          <w:color w:val="auto"/>
        </w:rPr>
        <w:t>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limitations on the collection, processing, distribution, use, storage and safeguarding of personal data. In the U.S.,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Laws and regulations governing privacy, data protection, cybersecurity, and online safety are rapidly evolving, and changes to such laws and regulations could require us to change features of our platform or restrict our customers’ ability to collect and use email addresses, page viewing data and other personal data, which may reduce demand for our platform or inhibit our improvement and development of our platform or its features, including AI models. Our failure to comply with federal, state and foreign privacy and cybersecurity laws and regulations could harm our ability to successfully operate our business and pursue our business goals.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example, the California Consumer Privacy Act, as amended by the California Privacy Rights Act (collective, the “CCPA”), among other things, requires covered companies to provide disclosures to California residents and afford such individuals the ability to opt out of the sales or sharing of their personal data. New and proposed regulations implementing the CCPA continue to evolve the standards of protection required by the CCPA. In addition to increasing our potential exposure to regulatory enforcement, the CCPA also provides for violations and a limited private right of action, which may increase our exposure to civil litigation.</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Recently, plaintiffs’ attorneys have initiated a wave of demand letters, claims and class action lawsuits alleging companies’ use of online trackers, such as cookies and pixels, constitutes a violation of state wiretapping laws, primarily the California Invasion of Privacy Act (“CIPA”). Plaintiffs’ attorneys have also expanded their claims and threatened claims to other privacy-related statutes that provide for private rights of action, including statutes governing text messaging and other commercial communications. So far, most of these claims have settled outside the courthouse, though a risk of costly litigation now exists for business practices that are common. We have been subject to these actions and may become subject to additional such actions in the future.</w:t>
      </w:r>
    </w:p>
    <w:p>
      <w:pPr>
        <w:spacing w:after="0" w:line="183" w:lineRule="exact"/>
        <w:rPr>
          <w:sz w:val="20"/>
          <w:szCs w:val="20"/>
          <w:color w:val="auto"/>
        </w:rPr>
      </w:pPr>
    </w:p>
    <w:p>
      <w:pPr>
        <w:ind w:right="20" w:firstLine="520"/>
        <w:spacing w:after="0" w:line="255" w:lineRule="auto"/>
        <w:rPr>
          <w:sz w:val="20"/>
          <w:szCs w:val="20"/>
          <w:color w:val="auto"/>
        </w:rPr>
      </w:pPr>
      <w:r>
        <w:rPr>
          <w:rFonts w:ascii="Times New Roman" w:cs="Times New Roman" w:eastAsia="Times New Roman" w:hAnsi="Times New Roman"/>
          <w:sz w:val="18"/>
          <w:szCs w:val="18"/>
          <w:color w:val="auto"/>
        </w:rPr>
        <w:t>The landscape of privacy and cybersecurity regulation in the U.S. is increasingly complex. Numerous states have passed comprehensive privacy and data security laws, which impose obligations on covered businesses similar – but not identical – to those under the CCPA, and some states have passed privacy and cybersecurity laws governing specific sectors, technologies, or categories of personal data, such as laws regulating health data, children’s data, and online chatbots. Many of those states have also passed – or proposed to pass – laws and regulations that amend the standard of protection required by such laws. A number of other states have proposed similar privacy legislation, and the U.S. Congress has considered – and may reintroduce – federal privacy and cybersecurity legislation that may or may not preempt some or all of such U.S. state privacy laws, and may provide a private right of action. Through executive and legislative action, the federal government has also taken steps to restrict data transactions involving persons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right="20"/>
        <w:spacing w:after="0" w:line="255" w:lineRule="auto"/>
        <w:rPr>
          <w:sz w:val="20"/>
          <w:szCs w:val="20"/>
          <w:color w:val="auto"/>
        </w:rPr>
      </w:pPr>
      <w:r>
        <w:rPr>
          <w:rFonts w:ascii="Times New Roman" w:cs="Times New Roman" w:eastAsia="Times New Roman" w:hAnsi="Times New Roman"/>
          <w:sz w:val="18"/>
          <w:szCs w:val="18"/>
          <w:color w:val="auto"/>
        </w:rPr>
        <w:t>affiliated with China, Russia, Venezuela, and other countries of concern. For example, Executive Order 14117 on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The evolving complexity of privacy and data security legislation in the U.S. may complicate our compliance efforts and further increase our risk of regulatory enforcement, penalties and litigation.</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spacing w:after="0" w:line="19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operation of some of our business lines, such as business intelligence and AI services, we collect, process and share personal data, such as business contact information or other personal data individuals make available in their professional capacity. We may be subject to additional requirements under privacy and data protection laws that could lead to additional compliance costs, regulatory scrutiny, claims,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1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currently use and integrate AI technologies into our business processes and services. Development, use, and deployment of these technologies present risks and challenges that could affect our business. If we enable or use solutions that draw controversy due to perceived or actual negative societal impact or otherwise cause harm, we may experience brand or reputational harm, competitive harm, legal liability, and defensive costs and expenses.</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addressing, and have focused enforcement efforts on the development and adoption of AI technologies and use of such technologies in compliance with ethical standards and societal expectations. Several states, including Colorado, California, and Texas passed laws that will take effect in 2026 to regulate various uses of AI, from making consequential decisions to requiring companies to disclose sources of training data for AI technologies, among other requirements. In addition, U.S. states and the federal government have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 A proposed 10-year federal moratorium on the enforcement of certain state AI laws, which was included in the Trump Administration’s budget reconciliation bill, was excluded from the One Big Beautiful Bill Act (“OBBBA”). This, in turn, may further stimulate AI regulation in the states, contributing to a complicated legislative patchwork.</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Outside the U.S., lawmaking and regulation relating to AI is proceeding at a similar pace. In Europe, for example, the EU’s Artificial Intelligence Act (“AI Act”) entered into force on August 1, 2024 and, with some exceptions,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that are governed by the AI Act or other emerging regulations,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rapid evolution of AI technologies and regulatory frameworks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intellectual property, or by undermining our ability to assert or defend ownership rights in intellectual property created with the assistance of AI tools.</w:t>
      </w:r>
    </w:p>
    <w:p>
      <w:pPr>
        <w:spacing w:after="0" w:line="225"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vendors have in turn incorporated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39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Several U.S. federal statutes may apply to us with respect to various customer activities:</w:t>
      </w:r>
    </w:p>
    <w:p>
      <w:pPr>
        <w:spacing w:after="0" w:line="117" w:lineRule="exact"/>
        <w:rPr>
          <w:sz w:val="20"/>
          <w:szCs w:val="20"/>
          <w:color w:val="auto"/>
        </w:rPr>
      </w:pPr>
    </w:p>
    <w:p>
      <w:pPr>
        <w:ind w:left="1020" w:right="40" w:hanging="503"/>
        <w:spacing w:after="0" w:line="25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83"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0" w:lineRule="exact"/>
        <w:rPr>
          <w:rFonts w:ascii="Times New Roman" w:cs="Times New Roman" w:eastAsia="Times New Roman" w:hAnsi="Times New Roman"/>
          <w:sz w:val="18"/>
          <w:szCs w:val="18"/>
          <w:color w:val="auto"/>
        </w:rPr>
      </w:pPr>
    </w:p>
    <w:p>
      <w:pPr>
        <w:ind w:left="1020" w:right="80" w:hanging="503"/>
        <w:spacing w:after="0" w:line="25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8"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spacing w:after="0" w:line="266" w:lineRule="auto"/>
        <w:rPr>
          <w:sz w:val="20"/>
          <w:szCs w:val="20"/>
          <w:color w:val="auto"/>
        </w:rPr>
      </w:pPr>
      <w:r>
        <w:rPr>
          <w:rFonts w:ascii="Times New Roman" w:cs="Times New Roman" w:eastAsia="Times New Roman" w:hAnsi="Times New Roman"/>
          <w:sz w:val="18"/>
          <w:szCs w:val="18"/>
          <w:color w:val="auto"/>
        </w:rPr>
        <w:t>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our end-to-end payment solution, as well as our Stripe payment processing integration (“Payments”),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94"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72"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that private entities use to regulate the use of email have in the past interfered with, and may in the future interfere with, the effectiveness of our customer platform and our ability to conduct business.</w:t>
      </w:r>
    </w:p>
    <w:p>
      <w:pPr>
        <w:spacing w:after="0" w:line="15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federal, state and foreign laws regulate Internet tracking software, commercial emails and text messages, website owners and other activities, and could impact the use of our customer platform and potentially subject us to regulatory enforcement or private litigation.</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Related regulations may restrict the use or disclosure of consumer information without sufficient consent.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impair our attractiveness to customers, and lead to claims or threatened claims, which would harm our business.</w:t>
      </w:r>
    </w:p>
    <w:p>
      <w:pPr>
        <w:spacing w:after="0" w:line="19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Many of our customers and potential customers in the healthcare, financial services and other industries are subject to substantial regulation regarding their collection, use and protection of data and may be the subject of further regulation in the future.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60" w:name="page61"/>
    <w:bookmarkEnd w:id="60"/>
    <w:p>
      <w:pPr>
        <w:ind w:right="160"/>
        <w:spacing w:after="0" w:line="266" w:lineRule="auto"/>
        <w:rPr>
          <w:sz w:val="20"/>
          <w:szCs w:val="20"/>
          <w:color w:val="auto"/>
        </w:rPr>
      </w:pPr>
      <w:r>
        <w:rPr>
          <w:rFonts w:ascii="Times New Roman" w:cs="Times New Roman" w:eastAsia="Times New Roman" w:hAnsi="Times New Roman"/>
          <w:sz w:val="18"/>
          <w:szCs w:val="18"/>
          <w:color w:val="auto"/>
        </w:rPr>
        <w:t>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could increase the costs of our customer platform and adversely impact our business.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t>
      </w:r>
      <w:r>
        <w:rPr>
          <w:rFonts w:ascii="Times New Roman" w:cs="Times New Roman" w:eastAsia="Times New Roman" w:hAnsi="Times New Roman"/>
          <w:sz w:val="18"/>
          <w:szCs w:val="18"/>
          <w:color w:val="1D1C1D"/>
        </w:rPr>
        <w:t>We also may invest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companies located in jurisdictions outside the United States, and these investments may result in complex U.S. or non-U.S. tax consequences. New global tax developments may have a material impact to our business, cash flows, or financial results. Such developments, may include certain Organization for Economic Co-operation and Development's proposals including the implementation of global minimum tax under the Pillar Two model rules, the European Commission’s and certain major jurisdictions’ heightened interest in and taxation of companies participating in the digital economy. </w:t>
      </w:r>
      <w:r>
        <w:rPr>
          <w:rFonts w:ascii="Times New Roman" w:cs="Times New Roman" w:eastAsia="Times New Roman" w:hAnsi="Times New Roman"/>
          <w:sz w:val="18"/>
          <w:szCs w:val="18"/>
          <w:color w:val="000000"/>
        </w:rPr>
        <w:t>In addition, the</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which could adversely affect our profitability.</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we had $640.0 million of U.S. federal and $723.7 million of state net operating loss carryforwards. U.S. federal net operating losses generated in taxable years beginning after December 31, 2017 have an indefinite carryforward and state net operating losses begin to expire in 2027. The state net operating loss carryforwards could expire unused and be unavailable to offset future income tax liabilities, which could adversely 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become consistently profitable or maintain or increase profitability in the future.</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generated net losses of $8.5 million for the nine months ended September 30, 2025 and net losses of $0.4 million for the nine months ended September 30, 2024. As of September 30, 2025 we had an accumulated deficit of $808.3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2" w:name="page63"/>
    <w:bookmarkEnd w:id="62"/>
    <w:p>
      <w:pPr>
        <w:ind w:right="160"/>
        <w:spacing w:after="0" w:line="282" w:lineRule="auto"/>
        <w:rPr>
          <w:sz w:val="20"/>
          <w:szCs w:val="20"/>
          <w:color w:val="auto"/>
        </w:rPr>
      </w:pPr>
      <w:r>
        <w:rPr>
          <w:rFonts w:ascii="Times New Roman" w:cs="Times New Roman" w:eastAsia="Times New Roman" w:hAnsi="Times New Roman"/>
          <w:sz w:val="18"/>
          <w:szCs w:val="18"/>
          <w:color w:val="auto"/>
        </w:rPr>
        <w:t>Report on Form 10-Q, and unforeseen expenses, difficulties, complications and delays and other unknown events. If we are unable to achieve and sustain profitability, the market price of our common stock may decrease significantly.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invest funds in social impact investment funds, and may receive no return on our investment or lose our entire investment.</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invest in social impact investment funds. As of September 30, 2025, we have invested $12.2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5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on software by our current or prospective customers;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our customer platform subscriptions effectively so that we are able to attract and retain customers without compromising our profitability;</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customers for our customer platform, increasing our existing customers’ use of our customer platform and providing our customers with excellent customer support;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amounts for which agreements are renewed;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awareness of our thought leadership and brand;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commission plans, quotas and other compensation-related metrics for our sales representatives;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customer platform in new markets outside of the United States;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related to the expansion of our business, operations and infrastructure, including disruptions in our hosting network infrastructure and privacy and data security;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inflation in the economies in which we operate and our ability to control costs, including operating expenses;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 including economic sanctions, trade policy changes and restrictions, trade wars, tariffs, or the threat posed by such actions.</w:t>
      </w:r>
    </w:p>
    <w:p>
      <w:pPr>
        <w:spacing w:after="0" w:line="16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3" w:name="page64"/>
    <w:bookmarkEnd w:id="6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market, equity research analysts or investors, which could harm the price of our common stock.</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condition and results of operations.</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be unable to sell your shares at or above the price you purchased them.</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September 30, 2025. The market price of our common stock may fluctuate significantly in response to numerous factors, many of which are beyond our control, including:</w:t>
      </w:r>
    </w:p>
    <w:p>
      <w:pPr>
        <w:spacing w:after="0" w:line="72" w:lineRule="exact"/>
        <w:rPr>
          <w:sz w:val="20"/>
          <w:szCs w:val="20"/>
          <w:color w:val="auto"/>
        </w:rPr>
      </w:pPr>
    </w:p>
    <w:p>
      <w:pPr>
        <w:ind w:left="1020" w:right="3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 including as a result of the addition or loss of any number of customers;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cloud-based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trading of our common stock and in the overall stock market, including as a result of trends in the economy as a whole;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or the dilutive effect of our Notes or any other equity or equity-linked financings;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or industry, including data privacy and data security;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economic, industry and market conditions and trends, international disputes, wars, and political stability.</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4" w:name="page65"/>
    <w:bookmarkEnd w:id="64"/>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may delay or prevent an acquisition of our company.</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8" w:lineRule="exact"/>
        <w:rPr>
          <w:sz w:val="20"/>
          <w:szCs w:val="20"/>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the board of directors, the chief executive officer or the president;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modify, alter or repeal our amended and restated bylaws;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left="520" w:right="960" w:hanging="3"/>
        <w:spacing w:after="0" w:line="530" w:lineRule="auto"/>
        <w:tabs>
          <w:tab w:leader="none" w:pos="102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majority vote of the holders of our outstanding common stock to amend specified provisions of our charter documents. These provisions, alone or together, could delay or prevent hostile takeovers and changes in control or changes in our management.</w:t>
      </w:r>
    </w:p>
    <w:p>
      <w:pPr>
        <w:spacing w:after="0" w:line="1"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could harm our business.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litigation results could affect our business.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on acceptable terms, we may be unable to invest in future growth opportunities, which could seriously harm our business and operating results. If we incur debt, the debt holders could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could disrupt our business and adversely affect our financial condition and results of operations.</w:t>
      </w:r>
    </w:p>
    <w:p>
      <w:pPr>
        <w:spacing w:after="0" w:line="22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right="200"/>
        <w:spacing w:after="0" w:line="254" w:lineRule="auto"/>
        <w:rPr>
          <w:sz w:val="20"/>
          <w:szCs w:val="20"/>
          <w:color w:val="auto"/>
        </w:rPr>
      </w:pPr>
      <w:r>
        <w:rPr>
          <w:rFonts w:ascii="Times New Roman" w:cs="Times New Roman" w:eastAsia="Times New Roman" w:hAnsi="Times New Roman"/>
          <w:sz w:val="18"/>
          <w:szCs w:val="18"/>
          <w:color w:val="auto"/>
        </w:rPr>
        <w:t>earthquake, fire, flood, tsunami or other weather event, power loss, telecommunications failure, software or hardware malfunctions, 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harms our business and results of operations, many of the other risks described in this “Risk Factors” section, may be heightened.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Climate-related risks, regulatory compliance and evolving stakeholder expectations may impact our business.</w:t>
      </w:r>
    </w:p>
    <w:p>
      <w:pPr>
        <w:spacing w:after="0" w:line="22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w:t>
      </w:r>
    </w:p>
    <w:p>
      <w:pPr>
        <w:spacing w:after="0" w:line="6"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In addition to physical risks, regulatory developments, evolving market dynamics and stakeholder expectations regarding climate change may impact our business, financial condition and results of operations. We are working to align our reporting with recognized disclosure standards such as the Financial Stability Board’s Task Force on Climate-Related Financial Disclosures, the Sustainability Accounting Standards Board and the Global Reporting Initiative, as well as new disclosure requirements from regulators. For example, we may be subject to California’s recently enacted climate disclosure laws, which will require in-scope companies to report on greenhouse gas emissions and climate-related financial risks. The future of these laws is uncertain given pending litigation, and the California Air Resources Board, which has been tasked with implementing the climate-disclosure laws, has not yet released implementing regulations. Collecting, measuring and reporting sustainability information and metrics can be resource-intensive and time-consuming, requiring new systems and processes. These efforts may also expose us to operational challenges, reputational scrutiny, and legal and other risks as expectations continue to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 repurchases of the Company’s common stock for the three months ended September 30, 2025 were as follows (in thousands, except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00" w:type="dxa"/>
            <w:vAlign w:val="bottom"/>
          </w:tcPr>
          <w:p>
            <w:pPr>
              <w:spacing w:after="0"/>
              <w:rPr>
                <w:sz w:val="13"/>
                <w:szCs w:val="13"/>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660" w:type="dxa"/>
            <w:vAlign w:val="bottom"/>
            <w:vMerge w:val="restart"/>
          </w:tcPr>
          <w:p>
            <w:pPr>
              <w:jc w:val="right"/>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5"/>
                <w:szCs w:val="5"/>
                <w:color w:val="auto"/>
              </w:rPr>
            </w:pPr>
          </w:p>
        </w:tc>
        <w:tc>
          <w:tcPr>
            <w:tcW w:w="14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79"/>
        </w:trPr>
        <w:tc>
          <w:tcPr>
            <w:tcW w:w="362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620" w:type="dxa"/>
            <w:vAlign w:val="bottom"/>
            <w:vMerge w:val="continue"/>
          </w:tcPr>
          <w:p>
            <w:pPr>
              <w:spacing w:after="0"/>
              <w:rPr>
                <w:sz w:val="12"/>
                <w:szCs w:val="12"/>
                <w:color w:val="auto"/>
              </w:rPr>
            </w:pPr>
          </w:p>
        </w:tc>
        <w:tc>
          <w:tcPr>
            <w:tcW w:w="1660" w:type="dxa"/>
            <w:vAlign w:val="bottom"/>
          </w:tcPr>
          <w:p>
            <w:pPr>
              <w:jc w:val="right"/>
              <w:ind w:right="436"/>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415"/>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Share </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9"/>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Program </w:t>
            </w:r>
            <w:r>
              <w:rPr>
                <w:rFonts w:ascii="Times New Roman" w:cs="Times New Roman" w:eastAsia="Times New Roman" w:hAnsi="Times New Roman"/>
                <w:sz w:val="19"/>
                <w:szCs w:val="19"/>
                <w:b w:val="1"/>
                <w:bCs w:val="1"/>
                <w:color w:val="auto"/>
                <w:w w:val="97"/>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to July 31, 2025</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228,807</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546.33</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228,807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444.57</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400,807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150,497</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10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150,497</w:t>
            </w:r>
          </w:p>
        </w:tc>
        <w:tc>
          <w:tcPr>
            <w:tcW w:w="2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restart"/>
          </w:tcPr>
          <w:p>
            <w:pPr>
              <w:jc w:val="right"/>
              <w:ind w:right="1075"/>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-1079500</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-1079500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left="160" w:hanging="15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Average price paid per share includes costs associated with the repurchases.</w:t>
      </w:r>
    </w:p>
    <w:p>
      <w:pPr>
        <w:spacing w:after="0" w:line="27" w:lineRule="exact"/>
        <w:rPr>
          <w:rFonts w:ascii="Times New Roman" w:cs="Times New Roman" w:eastAsia="Times New Roman" w:hAnsi="Times New Roman"/>
          <w:sz w:val="10"/>
          <w:szCs w:val="10"/>
          <w:color w:val="auto"/>
        </w:rPr>
      </w:pPr>
    </w:p>
    <w:p>
      <w:pPr>
        <w:ind w:firstLine="8"/>
        <w:spacing w:after="0" w:line="253" w:lineRule="auto"/>
        <w:tabs>
          <w:tab w:leader="none" w:pos="148"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In May 2025, the Company’s Board of Directors authorized a share repurchase program for the repurchase of shares of the Company’s common stock, in an aggregate amount of up to $500 million over a period of up to 12 months. All repurchases under the program are made in the open market pursuant to 10b5-1 plans. Refer to Note 14 to the consolidated financial statements contained within this Quarterly Report on Form 10-Q for additional information related to our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or Executive Officers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of the Securities Exchange Act of 1934, as amended) adopted, terminated or modified the amount, pricing or provisions in a “Rule 10b5-1 trading arrangement” or a “non-Rule 10b5-1 trading agreement”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8" w:name="page69"/>
    <w:bookmarkEnd w:id="6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exhibits listed below are filed or incorporated by reference into this Report.</w:t>
      </w:r>
    </w:p>
    <w:p>
      <w:pPr>
        <w:sectPr>
          <w:pgSz w:w="11900" w:h="16838" w:orient="portrait"/>
          <w:cols w:equalWidth="0" w:num="1">
            <w:col w:w="11140"/>
          </w:cols>
          <w:pgMar w:left="320" w:top="981"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3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98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1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3.1</w:t>
            </w:r>
          </w:p>
        </w:tc>
        <w:tc>
          <w:tcPr>
            <w:tcW w:w="32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Eighth Amended and Restated Certificate of</w:t>
              </w:r>
            </w:hyperlink>
          </w:p>
        </w:tc>
        <w:tc>
          <w:tcPr>
            <w:tcW w:w="7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2420" w:type="dxa"/>
            <w:vAlign w:val="bottom"/>
            <w:gridSpan w:val="4"/>
            <w:vMerge w:val="restart"/>
          </w:tcPr>
          <w:p>
            <w:pPr>
              <w:spacing w:after="0" w:line="196" w:lineRule="exact"/>
              <w:rPr>
                <w:rFonts w:ascii="Times New Roman" w:cs="Times New Roman" w:eastAsia="Times New Roman" w:hAnsi="Times New Roman"/>
                <w:sz w:val="18"/>
                <w:szCs w:val="18"/>
                <w:color w:val="0000FF"/>
                <w:w w:val="99"/>
              </w:rPr>
            </w:pPr>
            <w:hyperlink r:id="rId448">
              <w:r>
                <w:rPr>
                  <w:rFonts w:ascii="Times New Roman" w:cs="Times New Roman" w:eastAsia="Times New Roman" w:hAnsi="Times New Roman"/>
                  <w:sz w:val="18"/>
                  <w:szCs w:val="18"/>
                  <w:color w:val="0000FF"/>
                  <w:w w:val="99"/>
                </w:rPr>
                <w:t>Incorporation dated June 4, 2025.</w:t>
              </w:r>
            </w:hyperlink>
          </w:p>
        </w:tc>
        <w:tc>
          <w:tcPr>
            <w:tcW w:w="20" w:type="dxa"/>
            <w:vAlign w:val="bottom"/>
            <w:vMerge w:val="restart"/>
          </w:tcPr>
          <w:p>
            <w:pPr>
              <w:spacing w:after="0"/>
              <w:rPr>
                <w:sz w:val="11"/>
                <w:szCs w:val="11"/>
                <w:color w:val="auto"/>
              </w:rPr>
            </w:pPr>
          </w:p>
        </w:tc>
        <w:tc>
          <w:tcPr>
            <w:tcW w:w="1540" w:type="dxa"/>
            <w:vAlign w:val="bottom"/>
            <w:gridSpan w:val="1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242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154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3.2</w:t>
            </w:r>
          </w:p>
        </w:tc>
        <w:tc>
          <w:tcPr>
            <w:tcW w:w="3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49">
              <w:r>
                <w:rPr>
                  <w:rFonts w:ascii="Times New Roman" w:cs="Times New Roman" w:eastAsia="Times New Roman" w:hAnsi="Times New Roman"/>
                  <w:sz w:val="18"/>
                  <w:szCs w:val="18"/>
                  <w:color w:val="0000FF"/>
                  <w:w w:val="99"/>
                </w:rPr>
                <w:t>Sixth Amended and Restated By-laws of HubSpot, Inc.</w:t>
              </w:r>
            </w:hyperlink>
          </w:p>
        </w:tc>
        <w:tc>
          <w:tcPr>
            <w:tcW w:w="0" w:type="dxa"/>
            <w:vAlign w:val="bottom"/>
          </w:tcPr>
          <w:p>
            <w:pPr>
              <w:spacing w:after="0"/>
              <w:rPr>
                <w:sz w:val="1"/>
                <w:szCs w:val="1"/>
                <w:color w:val="auto"/>
              </w:rPr>
            </w:pPr>
          </w:p>
        </w:tc>
      </w:tr>
      <w:tr>
        <w:trPr>
          <w:trHeight w:val="318"/>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4.1</w:t>
            </w: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1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3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451">
              <w:r>
                <w:rPr>
                  <w:rFonts w:ascii="Times New Roman" w:cs="Times New Roman" w:eastAsia="Times New Roman" w:hAnsi="Times New Roman"/>
                  <w:sz w:val="18"/>
                  <w:szCs w:val="18"/>
                  <w:color w:val="0000FF"/>
                  <w:w w:val="99"/>
                </w:rPr>
                <w:t>Executive Severance Plan, effective April 10, 2025</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3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 (as</w:t>
            </w:r>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140" w:type="dxa"/>
            <w:vAlign w:val="bottom"/>
            <w:vMerge w:val="continue"/>
          </w:tcPr>
          <w:p>
            <w:pPr>
              <w:spacing w:after="0"/>
              <w:rPr>
                <w:sz w:val="11"/>
                <w:szCs w:val="11"/>
                <w:color w:val="auto"/>
              </w:rPr>
            </w:pPr>
          </w:p>
        </w:tc>
        <w:tc>
          <w:tcPr>
            <w:tcW w:w="398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amended and currently in effect)</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398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3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for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398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Non-Employee Directors</w:t>
            </w: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398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31.1</w:t>
            </w:r>
          </w:p>
        </w:tc>
        <w:tc>
          <w:tcPr>
            <w:tcW w:w="3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31.2</w:t>
            </w: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32.1*</w:t>
            </w:r>
          </w:p>
        </w:tc>
        <w:tc>
          <w:tcPr>
            <w:tcW w:w="3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Section 906 of the</w:t>
            </w:r>
          </w:p>
        </w:tc>
        <w:tc>
          <w:tcPr>
            <w:tcW w:w="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3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338"/>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3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40" w:hanging="75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5"/>
              </w:rPr>
              <w:t>Filing Date</w:t>
            </w:r>
          </w:p>
        </w:tc>
      </w:tr>
      <w:tr>
        <w:trPr>
          <w:trHeight w:val="55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001-36680</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6/10/2025</w:t>
            </w:r>
          </w:p>
        </w:tc>
      </w:tr>
      <w:tr>
        <w:trPr>
          <w:trHeight w:val="44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001-36680</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6/10/2025</w:t>
            </w:r>
          </w:p>
        </w:tc>
      </w:tr>
      <w:tr>
        <w:trPr>
          <w:trHeight w:val="37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333-198333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9/26/2014</w:t>
            </w:r>
          </w:p>
        </w:tc>
      </w:tr>
      <w:tr>
        <w:trPr>
          <w:trHeight w:val="37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001-36680</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05/08/2025</w:t>
            </w:r>
          </w:p>
        </w:tc>
      </w:tr>
    </w:tbl>
    <w:p>
      <w:pPr>
        <w:spacing w:after="0" w:line="5054" w:lineRule="exact"/>
        <w:rPr>
          <w:sz w:val="20"/>
          <w:szCs w:val="20"/>
          <w:color w:val="auto"/>
        </w:rPr>
      </w:pPr>
    </w:p>
    <w:p>
      <w:pPr>
        <w:sectPr>
          <w:pgSz w:w="11900" w:h="16838" w:orient="portrait"/>
          <w:cols w:equalWidth="0" w:num="3">
            <w:col w:w="5260" w:space="220"/>
            <w:col w:w="720" w:space="600"/>
            <w:col w:w="4340"/>
          </w:cols>
          <w:pgMar w:left="320" w:top="981" w:right="439" w:bottom="1440" w:gutter="0" w:footer="0" w:header="0"/>
          <w:type w:val="continuous"/>
        </w:sectPr>
      </w:pPr>
    </w:p>
    <w:p>
      <w:pPr>
        <w:spacing w:after="0" w:line="165" w:lineRule="exact"/>
        <w:rPr>
          <w:sz w:val="20"/>
          <w:szCs w:val="20"/>
          <w:color w:val="auto"/>
        </w:rPr>
      </w:pPr>
    </w:p>
    <w:p>
      <w:pPr>
        <w:ind w:left="520" w:hanging="512"/>
        <w:spacing w:after="0" w:line="261" w:lineRule="auto"/>
        <w:tabs>
          <w:tab w:leader="none" w:pos="4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type w:val="continuous"/>
        </w:sectPr>
      </w:pPr>
    </w:p>
    <w:bookmarkStart w:id="69" w:name="page70"/>
    <w:bookmarkEnd w:id="6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630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34" w:lineRule="exact"/>
        <w:rPr>
          <w:sz w:val="20"/>
          <w:szCs w:val="20"/>
          <w:color w:val="auto"/>
        </w:rPr>
      </w:pPr>
    </w:p>
    <w:tbl>
      <w:tblPr>
        <w:tblLayout w:type="fixed"/>
        <w:tblInd w:w="630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Kate Bueker</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Kate Bueker</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w:t>
            </w:r>
          </w:p>
        </w:tc>
      </w:tr>
      <w:tr>
        <w:trPr>
          <w:trHeight w:val="236"/>
        </w:trPr>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3362960</wp:posOffset>
            </wp:positionH>
            <wp:positionV relativeFrom="page">
              <wp:posOffset>500380</wp:posOffset>
            </wp:positionV>
            <wp:extent cx="822960" cy="2317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822960" cy="231775"/>
                    </a:xfrm>
                    <a:prstGeom prst="rect">
                      <a:avLst/>
                    </a:prstGeom>
                    <a:noFill/>
                  </pic:spPr>
                </pic:pic>
              </a:graphicData>
            </a:graphic>
          </wp:anchor>
        </w:drawing>
        <w:t>Exhibit 10.2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NON-EMPLOYEE DIRECTOR COMPENSATION POLICY</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purpose of this Amended and Restated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of HubSpot,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to provide a total compensation package that enables the Company to attract and retain, on a long-term basis, high-caliber directors who are not employees or officers of the Company or its subsidiaries (“</w:t>
      </w:r>
      <w:r>
        <w:rPr>
          <w:rFonts w:ascii="Times New Roman" w:cs="Times New Roman" w:eastAsia="Times New Roman" w:hAnsi="Times New Roman"/>
          <w:sz w:val="18"/>
          <w:szCs w:val="18"/>
          <w:b w:val="1"/>
          <w:bCs w:val="1"/>
          <w:color w:val="auto"/>
        </w:rPr>
        <w:t>Outside Directors</w:t>
      </w:r>
      <w:r>
        <w:rPr>
          <w:rFonts w:ascii="Times New Roman" w:cs="Times New Roman" w:eastAsia="Times New Roman" w:hAnsi="Times New Roman"/>
          <w:sz w:val="18"/>
          <w:szCs w:val="18"/>
          <w:color w:val="auto"/>
        </w:rPr>
        <w:t>”). This Policy will become effective as of June 1, 2025 (the “Effective Date”). In furtherance of the purpose stated above, all Outside Directors shall be paid compensation for services provided to the Company as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Retainers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$50,000 for general availability and participation in meetings and conference calls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be paid quarterly in advance. No additional compensation will be paid for attending individual meetings of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Retainer for Independent Chairperson:</w:t>
      </w:r>
      <w:r>
        <w:rPr>
          <w:rFonts w:ascii="Times New Roman" w:cs="Times New Roman" w:eastAsia="Times New Roman" w:hAnsi="Times New Roman"/>
          <w:sz w:val="18"/>
          <w:szCs w:val="18"/>
          <w:color w:val="auto"/>
        </w:rPr>
        <w:t xml:space="preserve"> $75,000 to be paid quarterly, in advance.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Retainer for Lead Independent Director</w:t>
      </w:r>
      <w:r>
        <w:rPr>
          <w:rFonts w:ascii="Times New Roman" w:cs="Times New Roman" w:eastAsia="Times New Roman" w:hAnsi="Times New Roman"/>
          <w:sz w:val="18"/>
          <w:szCs w:val="18"/>
          <w:color w:val="auto"/>
        </w:rPr>
        <w:t>: $25,000 to be paid quarterly, in advance.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Retainers for Committee Membership to be paid quarterly, in advance: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 Committee member:</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8,500</w:t>
            </w:r>
          </w:p>
        </w:tc>
      </w:tr>
      <w:tr>
        <w:trPr>
          <w:trHeight w:val="234"/>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w:t>
            </w:r>
          </w:p>
        </w:tc>
      </w:tr>
    </w:tbl>
    <w:p>
      <w:pPr>
        <w:spacing w:after="0" w:line="19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Note: Chairperson retainers are in addition to member retainers. No equity retainers shall be paid as compensation for committee membership. No additional compensation will be paid for attending individual committee meetings.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Outside Directors shall be entitled to retain any retainer fees paid in advance with respect to the quarter in which the Outside Director ceases to be a director or ceases to serve on a committee, as committee Chair or as Lead Independent Director.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Retainers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equity grants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On the date of each annual meeting of stockholders of the Company (each,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each Outside Director will receive an annual equity award (the “</w:t>
      </w: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with a Value of $250,000. Annual Grants will be in the form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Annual Grants will vest in equal quarterly installments over a one-year period from the grant date, with the final installment vesting on the earlier of (i) the first anniversary of the date of grant or (ii) the date of the next Annual Meeting following the date of grant, provided, however, that all vesting shall cease if the Outside Director ceases to serve as a member of the Board, unless the Board determines that the circumstances warrant continuation of vesting. Newly elected Outside Directors will receive a pro-rated Annual Grant in connection with their appointment or election to the Board</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1" w:name="page72"/>
    <w:bookmarkEnd w:id="71"/>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3362960</wp:posOffset>
            </wp:positionH>
            <wp:positionV relativeFrom="page">
              <wp:posOffset>500380</wp:posOffset>
            </wp:positionV>
            <wp:extent cx="822960" cy="2317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822960" cy="231775"/>
                    </a:xfrm>
                    <a:prstGeom prst="rect">
                      <a:avLst/>
                    </a:prstGeom>
                    <a:noFill/>
                  </pic:spPr>
                </pic:pic>
              </a:graphicData>
            </a:graphic>
          </wp:anchor>
        </w:drawing>
        <w:t>Exhibit 10.2</w:t>
      </w:r>
    </w:p>
    <w:p>
      <w:pPr>
        <w:spacing w:after="0" w:line="200" w:lineRule="exact"/>
        <w:rPr>
          <w:sz w:val="20"/>
          <w:szCs w:val="20"/>
          <w:color w:val="auto"/>
        </w:rPr>
      </w:pPr>
    </w:p>
    <w:p>
      <w:pPr>
        <w:spacing w:after="0" w:line="25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For purposes of this Policy, “</w:t>
      </w: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8"/>
          <w:szCs w:val="18"/>
          <w:color w:val="auto"/>
        </w:rPr>
        <w:t>” means with respect to RSUs, the product of (A) the 30-trading day trailing average of the closing price of one share of the Company’s common stock on the New York Stock Exchange (or such other market on which the Company’s common stock is then principally listed) on the grant date, and (B) the aggregate number of shares of common stock underlying such award.</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Acceleration of Equity Awards</w:t>
      </w:r>
      <w:r>
        <w:rPr>
          <w:rFonts w:ascii="Times New Roman" w:cs="Times New Roman" w:eastAsia="Times New Roman" w:hAnsi="Times New Roman"/>
          <w:sz w:val="18"/>
          <w:szCs w:val="18"/>
          <w:color w:val="auto"/>
        </w:rPr>
        <w:t>: All unvested equity awards held by Outside Directors will accelerate and immediately vest if the Outside Director’s service relationship ends within three months prior to or twelve months following a Sale Event (as defined in the Company’s 2024 Stock Option and Incentive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non-employee directors in attending meetings of the Board or any Committee.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reviewed and amended: June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 FOR NON-EMPLOYEE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HUBSPOT,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STOCK OPTION AND INCENTIVE PLAN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0" w:lineRule="exact"/>
        <w:rPr>
          <w:sz w:val="20"/>
          <w:szCs w:val="20"/>
          <w:color w:val="auto"/>
        </w:rPr>
      </w:pPr>
    </w:p>
    <w:p>
      <w:pPr>
        <w:spacing w:after="0" w:line="2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Pursuant to the HubSpot, Inc. 2024 Stock Option and Incentive Plan as amended through the date hereof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this Restricted Stock Unit Award Agreement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HubSpot,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w:t>
      </w:r>
    </w:p>
    <w:p>
      <w:pPr>
        <w:spacing w:after="0" w:line="231" w:lineRule="auto"/>
        <w:rPr>
          <w:sz w:val="20"/>
          <w:szCs w:val="20"/>
          <w:color w:val="auto"/>
        </w:rPr>
      </w:pPr>
      <w:r>
        <w:rPr>
          <w:rFonts w:ascii="Times New Roman" w:cs="Times New Roman" w:eastAsia="Times New Roman" w:hAnsi="Times New Roman"/>
          <w:sz w:val="22"/>
          <w:szCs w:val="22"/>
          <w:color w:val="auto"/>
        </w:rPr>
        <w:t>an award of the number of Restricted Stock Units listed above (an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to the Grantee named above. Each Restricted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Unit shall relate to one share of Common Stock, par value $0.001 per share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w:t>
      </w:r>
    </w:p>
    <w:p>
      <w:pPr>
        <w:spacing w:after="0" w:line="182" w:lineRule="exact"/>
        <w:rPr>
          <w:sz w:val="20"/>
          <w:szCs w:val="20"/>
          <w:color w:val="auto"/>
        </w:rPr>
      </w:pPr>
    </w:p>
    <w:p>
      <w:pPr>
        <w:ind w:right="200" w:firstLine="751"/>
        <w:spacing w:after="0" w:line="238" w:lineRule="auto"/>
        <w:tabs>
          <w:tab w:leader="none" w:pos="115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ind w:right="140" w:firstLine="751"/>
        <w:spacing w:after="0" w:line="236" w:lineRule="auto"/>
        <w:tabs>
          <w:tab w:leader="none" w:pos="115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Except as set forth below, the restrictions and conditions of Paragraph 1 of this Agreement shall lapse in equal quarterly installments over a one-year period from the date of grant, with the restrictions and conditions of Paragraph 1 of this Agreement lapsing with respect to the final installment on the first anniversary of such grant date (or, if earlier, immediately prior to the Company’s next annual meeting of stockholders following the grant date) so long as the Grantee remains in a Service Relationship through the applicable vesting date. The Administrator may at any time accelerate the vesting schedule specified in this Paragraph 2.</w:t>
      </w:r>
    </w:p>
    <w:p>
      <w:pPr>
        <w:spacing w:after="0" w:line="1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Notwithstanding the foregoing, in the event that the Grantee’s Service Relationship terminates due to the Grantee’s death, the Restricted Stock Units shall be deemed fully vested and nonforfeitable upon the date of the Grantee’s death.</w:t>
      </w:r>
    </w:p>
    <w:p>
      <w:pPr>
        <w:spacing w:after="0" w:line="158" w:lineRule="exact"/>
        <w:rPr>
          <w:sz w:val="20"/>
          <w:szCs w:val="20"/>
          <w:color w:val="auto"/>
        </w:rPr>
      </w:pPr>
    </w:p>
    <w:p>
      <w:pPr>
        <w:ind w:right="380" w:firstLine="751"/>
        <w:spacing w:after="0" w:line="238" w:lineRule="auto"/>
        <w:tabs>
          <w:tab w:leader="none" w:pos="1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Except as set forth above, if the Grantee’s Service Relationship terminates for any reason (including due to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716915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751"/>
        <w:spacing w:after="0" w:line="235" w:lineRule="auto"/>
        <w:tabs>
          <w:tab w:leader="none" w:pos="114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practicable following each vesting date specified in Paragraph 2 (each such date,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(but in no event later than two and one-half months after the end of the year in which the Vesting Date occurs), the Company shall issue to the Grantee (or in the event of the Grantee’s death, the Grantee’s designated beneficiary or the Grantee’s estate or legal heirs if the Grantee has not designated a beneficiary) the number of Shares equal to the aggregate number of Restricted Stock Units that have vested pursuant to Paragraph 2 of this Agreement on such Vesting Date and the Grantee shall thereafter have all the rights of a stockholder of the Company with respect to such Shares. No fractional Shares shall be issued.</w:t>
      </w:r>
    </w:p>
    <w:p>
      <w:pPr>
        <w:spacing w:after="0" w:line="183" w:lineRule="exact"/>
        <w:rPr>
          <w:rFonts w:ascii="Times New Roman" w:cs="Times New Roman" w:eastAsia="Times New Roman" w:hAnsi="Times New Roman"/>
          <w:sz w:val="22"/>
          <w:szCs w:val="22"/>
          <w:color w:val="auto"/>
        </w:rPr>
      </w:pPr>
    </w:p>
    <w:p>
      <w:pPr>
        <w:ind w:right="180" w:firstLine="751"/>
        <w:spacing w:after="0" w:line="239" w:lineRule="auto"/>
        <w:tabs>
          <w:tab w:leader="none" w:pos="115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right="20" w:firstLine="751"/>
        <w:spacing w:after="0" w:line="234" w:lineRule="auto"/>
        <w:tabs>
          <w:tab w:leader="none" w:pos="115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Grantee shall, not later than the date as of which of this Award becomes includable in the gross income of the Grantee for income tax purposes, pay to the Company or its Affiliates,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subject to the Award are immediately sold and proceeds from such sale are remitted to the Company in an amount that would satisfy the withholding amount due.</w:t>
      </w:r>
    </w:p>
    <w:p>
      <w:pPr>
        <w:spacing w:after="0" w:line="179" w:lineRule="exact"/>
        <w:rPr>
          <w:rFonts w:ascii="Times New Roman" w:cs="Times New Roman" w:eastAsia="Times New Roman" w:hAnsi="Times New Roman"/>
          <w:sz w:val="22"/>
          <w:szCs w:val="22"/>
          <w:color w:val="auto"/>
        </w:rPr>
      </w:pPr>
    </w:p>
    <w:p>
      <w:pPr>
        <w:ind w:right="180" w:firstLine="751"/>
        <w:spacing w:after="0" w:line="244" w:lineRule="auto"/>
        <w:tabs>
          <w:tab w:leader="none" w:pos="114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as “short-term deferrals” as described in Section 409A.</w:t>
      </w:r>
    </w:p>
    <w:p>
      <w:pPr>
        <w:spacing w:after="0" w:line="173" w:lineRule="exact"/>
        <w:rPr>
          <w:rFonts w:ascii="Times New Roman" w:cs="Times New Roman" w:eastAsia="Times New Roman" w:hAnsi="Times New Roman"/>
          <w:sz w:val="22"/>
          <w:szCs w:val="22"/>
          <w:color w:val="auto"/>
        </w:rPr>
      </w:pPr>
    </w:p>
    <w:p>
      <w:pPr>
        <w:jc w:val="both"/>
        <w:ind w:right="140" w:firstLine="751"/>
        <w:spacing w:after="0" w:line="239" w:lineRule="auto"/>
        <w:tabs>
          <w:tab w:leader="none" w:pos="11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Company nor any Affiliate is obligated by or as a result of the Plan or this Agreement to continue the Grantee’s Service Relationship and neither the Plan nor this Agreement shall interfere in any way with the right of the Company or any Affiliate to terminate the Grantee’s Service Relationship at any time.</w:t>
      </w:r>
    </w:p>
    <w:p>
      <w:pPr>
        <w:spacing w:after="0" w:line="180" w:lineRule="exact"/>
        <w:rPr>
          <w:rFonts w:ascii="Times New Roman" w:cs="Times New Roman" w:eastAsia="Times New Roman" w:hAnsi="Times New Roman"/>
          <w:sz w:val="22"/>
          <w:szCs w:val="22"/>
          <w:color w:val="auto"/>
        </w:rPr>
      </w:pPr>
    </w:p>
    <w:p>
      <w:pPr>
        <w:ind w:right="400" w:firstLine="751"/>
        <w:spacing w:after="0" w:line="258" w:lineRule="auto"/>
        <w:tabs>
          <w:tab w:leader="none" w:pos="11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right="160" w:firstLine="751"/>
        <w:spacing w:after="0" w:line="239" w:lineRule="auto"/>
        <w:tabs>
          <w:tab w:leader="none" w:pos="115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2"/>
          <w:szCs w:val="22"/>
          <w:b w:val="1"/>
          <w:bCs w:val="1"/>
          <w:i w:val="1"/>
          <w:iCs w:val="1"/>
          <w:color w:val="auto"/>
        </w:rPr>
        <w:t>Relevant Companies</w:t>
      </w:r>
      <w:r>
        <w:rPr>
          <w:rFonts w:ascii="Times New Roman" w:cs="Times New Roman" w:eastAsia="Times New Roman" w:hAnsi="Times New Roman"/>
          <w:sz w:val="22"/>
          <w:szCs w:val="22"/>
          <w:color w:val="auto"/>
        </w:rPr>
        <w:t>”) may process any and all personal or professional data, including but not limited to Social Security or other identification number, home address and telephone number, date of birth and other information that is necessary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727710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3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right="80"/>
        <w:spacing w:after="0" w:line="236" w:lineRule="auto"/>
        <w:rPr>
          <w:sz w:val="20"/>
          <w:szCs w:val="20"/>
          <w:color w:val="auto"/>
        </w:rPr>
      </w:pPr>
      <w:r>
        <w:rPr>
          <w:rFonts w:ascii="Times New Roman" w:cs="Times New Roman" w:eastAsia="Times New Roman" w:hAnsi="Times New Roman"/>
          <w:sz w:val="22"/>
          <w:szCs w:val="22"/>
          <w:color w:val="auto"/>
        </w:rPr>
        <w:t>desirable for the administration of the Plan and/or this Agreement (the “</w:t>
      </w:r>
      <w:r>
        <w:rPr>
          <w:rFonts w:ascii="Times New Roman" w:cs="Times New Roman" w:eastAsia="Times New Roman" w:hAnsi="Times New Roman"/>
          <w:sz w:val="22"/>
          <w:szCs w:val="22"/>
          <w:b w:val="1"/>
          <w:bCs w:val="1"/>
          <w:i w:val="1"/>
          <w:iCs w:val="1"/>
          <w:color w:val="auto"/>
        </w:rPr>
        <w:t>Relevant Information</w:t>
      </w:r>
      <w:r>
        <w:rPr>
          <w:rFonts w:ascii="Times New Roman" w:cs="Times New Roman" w:eastAsia="Times New Roman" w:hAnsi="Times New Roman"/>
          <w:sz w:val="22"/>
          <w:szCs w:val="22"/>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w:t>
      </w:r>
    </w:p>
    <w:p>
      <w:pPr>
        <w:spacing w:after="0" w:line="182" w:lineRule="exact"/>
        <w:rPr>
          <w:sz w:val="20"/>
          <w:szCs w:val="20"/>
          <w:color w:val="auto"/>
        </w:rPr>
      </w:pPr>
    </w:p>
    <w:p>
      <w:pPr>
        <w:ind w:left="280" w:right="60" w:firstLine="751"/>
        <w:spacing w:after="0" w:line="244" w:lineRule="auto"/>
        <w:tabs>
          <w:tab w:leader="none" w:pos="143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left="280" w:right="60" w:firstLine="751"/>
        <w:spacing w:after="0" w:line="235" w:lineRule="auto"/>
        <w:tabs>
          <w:tab w:leader="none" w:pos="143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The Grantee acknowledges and agrees that this Award is subject in all respects to the Company’s Compensation Recovery Policy (the “</w:t>
      </w:r>
      <w:r>
        <w:rPr>
          <w:rFonts w:ascii="Times New Roman" w:cs="Times New Roman" w:eastAsia="Times New Roman" w:hAnsi="Times New Roman"/>
          <w:sz w:val="22"/>
          <w:szCs w:val="22"/>
          <w:b w:val="1"/>
          <w:bCs w:val="1"/>
          <w:i w:val="1"/>
          <w:iCs w:val="1"/>
          <w:color w:val="auto"/>
        </w:rPr>
        <w:t>Clawback Policy</w:t>
      </w:r>
      <w:r>
        <w:rPr>
          <w:rFonts w:ascii="Times New Roman" w:cs="Times New Roman" w:eastAsia="Times New Roman" w:hAnsi="Times New Roman"/>
          <w:sz w:val="22"/>
          <w:szCs w:val="22"/>
          <w:color w:val="auto"/>
        </w:rPr>
        <w:t>”), to the extent applicable, including the Company’s ability to recoup Erroneously Awarded Compensation (as defined in the Clawback Policy) thereunder.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This Paragraph 12 is a material term of this Agreement.</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tabs>
          <w:tab w:leader="none" w:pos="60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-13970</wp:posOffset>
            </wp:positionV>
            <wp:extent cx="3162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316230" cy="8255"/>
                    </a:xfrm>
                    <a:prstGeom prst="rect">
                      <a:avLst/>
                    </a:prstGeom>
                    <a:noFill/>
                  </pic:spPr>
                </pic:pic>
              </a:graphicData>
            </a:graphic>
          </wp:anchor>
        </w:drawing>
      </w:r>
    </w:p>
    <w:p>
      <w:pPr>
        <w:spacing w:after="0" w:line="389" w:lineRule="exact"/>
        <w:rPr>
          <w:sz w:val="20"/>
          <w:szCs w:val="20"/>
          <w:color w:val="auto"/>
        </w:rPr>
      </w:pPr>
    </w:p>
    <w:p>
      <w:pPr>
        <w:ind w:left="280" w:right="1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6400" w:val="left"/>
        </w:tabs>
        <w:rPr>
          <w:sz w:val="20"/>
          <w:szCs w:val="20"/>
          <w:color w:val="auto"/>
        </w:rPr>
      </w:pPr>
      <w:r>
        <w:rPr>
          <w:rFonts w:ascii="Times New Roman" w:cs="Times New Roman" w:eastAsia="Times New Roman" w:hAnsi="Times New Roman"/>
          <w:sz w:val="22"/>
          <w:szCs w:val="22"/>
          <w:b w:val="1"/>
          <w:bCs w:val="1"/>
          <w:color w:val="auto"/>
        </w:rPr>
        <w:t>Dated:</w:t>
      </w:r>
      <w:r>
        <w:rPr>
          <w:sz w:val="20"/>
          <w:szCs w:val="20"/>
          <w:color w:val="auto"/>
        </w:rPr>
        <w:tab/>
      </w:r>
      <w:r>
        <w:rPr>
          <w:rFonts w:ascii="Times New Roman" w:cs="Times New Roman" w:eastAsia="Times New Roman" w:hAnsi="Times New Roman"/>
          <w:sz w:val="22"/>
          <w:szCs w:val="22"/>
          <w:color w:val="auto"/>
        </w:rPr>
        <w:t>&lt;Acceptance Date&gt;</w:t>
      </w:r>
      <w:r>
        <w:rPr>
          <w:sz w:val="20"/>
          <w:szCs w:val="20"/>
          <w:color w:val="auto"/>
        </w:rPr>
        <w:tab/>
      </w:r>
      <w:r>
        <w:rPr>
          <w:rFonts w:ascii="Times New Roman" w:cs="Times New Roman" w:eastAsia="Times New Roman" w:hAnsi="Times New Roman"/>
          <w:sz w:val="21"/>
          <w:szCs w:val="21"/>
          <w:color w:val="auto"/>
        </w:rPr>
        <w:t>&lt;Electronic Signature&gt;</w:t>
      </w:r>
    </w:p>
    <w:p>
      <w:pPr>
        <w:spacing w:after="0" w:line="26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&lt;Participant Name&gt;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889635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33" w:right="33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Yamini Rangan,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HubSpot,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31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Yamini Rangan</w:t>
            </w:r>
          </w:p>
        </w:tc>
      </w:tr>
      <w:tr>
        <w:trPr>
          <w:trHeight w:val="191"/>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Yamini Rangan</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08"/>
        </w:trPr>
        <w:tc>
          <w:tcPr>
            <w:tcW w:w="42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HubSpot,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69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Kate Bueker</w:t>
            </w:r>
          </w:p>
        </w:tc>
      </w:tr>
      <w:tr>
        <w:trPr>
          <w:trHeight w:val="191"/>
        </w:trPr>
        <w:tc>
          <w:tcPr>
            <w:tcW w:w="42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Kate Bueker</w:t>
            </w:r>
          </w:p>
        </w:tc>
      </w:tr>
      <w:tr>
        <w:trPr>
          <w:trHeight w:val="216"/>
        </w:trPr>
        <w:tc>
          <w:tcPr>
            <w:tcW w:w="4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195"/>
        </w:trPr>
        <w:tc>
          <w:tcPr>
            <w:tcW w:w="42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 Yamini Rangan, certify, pursuant to 18 U.S.C. Section 1350, as adopted pursuant to Section 906 of the Sarbanes-Oxley Act of 2002, that, to my knowledge, the Quarterly Report on Form 10-Q of HubSpot, Inc. for the period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69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Yamini Rangan</w:t>
            </w:r>
          </w:p>
        </w:tc>
      </w:tr>
      <w:tr>
        <w:trPr>
          <w:trHeight w:val="191"/>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Yamini Rangan</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5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 Kate Bueker, certify, pursuant to 18 U.S.C. Section 1350, as adopted pursuant to Section 906 of the Sarbanes-Oxley Act of 2002, that, to my knowledge, the Quarterly Report on Form 10-Q of HubSpot, Inc. for the period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69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Kate Bueker</w:t>
            </w:r>
          </w:p>
        </w:tc>
      </w:tr>
      <w:tr>
        <w:trPr>
          <w:trHeight w:val="191"/>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Kate Bueker</w:t>
            </w:r>
          </w:p>
        </w:tc>
      </w:tr>
      <w:tr>
        <w:trPr>
          <w:trHeight w:val="216"/>
        </w:trPr>
        <w:tc>
          <w:tcPr>
            <w:tcW w:w="4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23"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04"/>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3"/>
    </w:lvl>
  </w:abstractNum>
  <w:abstractNum w:abstractNumId="24">
    <w:nsid w:val="189A769B"/>
    <w:multiLevelType w:val="hybridMultilevel"/>
    <w:lvl w:ilvl="0">
      <w:lvlJc w:val="left"/>
      <w:lvlText w:val="%1."/>
      <w:numFmt w:val="decimal"/>
      <w:start w:val="4"/>
    </w:lvl>
  </w:abstractNum>
  <w:abstractNum w:abstractNumId="25">
    <w:nsid w:val="54E49EB4"/>
    <w:multiLevelType w:val="hybridMultilevel"/>
    <w:lvl w:ilvl="0">
      <w:lvlJc w:val="left"/>
      <w:lvlText w:val="%1."/>
      <w:numFmt w:val="decimal"/>
      <w:start w:val="1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jpeg"/><Relationship Id="rId455" Type="http://schemas.openxmlformats.org/officeDocument/2006/relationships/image" Target="media/image444.png"/><Relationship Id="rId456" Type="http://schemas.openxmlformats.org/officeDocument/2006/relationships/image" Target="media/image445.jpe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48" Type="http://schemas.openxmlformats.org/officeDocument/2006/relationships/hyperlink" Target="https://www.sec.gov/Archives/edgar/data/1404655/000095017025084424/hubs-ex3_1.htm" TargetMode="External"/><Relationship Id="rId449" Type="http://schemas.openxmlformats.org/officeDocument/2006/relationships/hyperlink" Target="https://www.sec.gov/Archives/edgar/data/1404655/000095017025084424/hubs-ex3_2.htm" TargetMode="External"/><Relationship Id="rId450" Type="http://schemas.openxmlformats.org/officeDocument/2006/relationships/hyperlink" Target="https://www.sec.gov/Archives/edgar/data/1404655/000119312514353746/d697256dex41.htm" TargetMode="External"/><Relationship Id="rId451" Type="http://schemas.openxmlformats.org/officeDocument/2006/relationships/hyperlink" Target="https://www.sec.gov/Archives/edgar/data/1404655/000095017025053284/hubs-ex10_execsev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2025-11-05T16:09:09Z</dcterms:created>
  <dcterms:modified xsi:type="dcterms:W3CDTF">2025-11-05T16:09:09Z</dcterms:modified>
</cp:coreProperties>
</file>